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SOLAREDGE TECHNOLOGIES,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3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001-36894</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23"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20-5338862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745" w:right="339" w:bottom="1440" w:gutter="0" w:footer="0" w:header="0"/>
          <w:type w:val="continuous"/>
        </w:sectPr>
      </w:pPr>
    </w:p>
    <w:p>
      <w:pPr>
        <w:spacing w:after="0" w:line="3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1 Hamada Street, Herziliya Pituach, Israel</w:t>
      </w:r>
    </w:p>
    <w:p>
      <w:pPr>
        <w:spacing w:after="0" w:line="4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4673335</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 957-6620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61"/>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256"/>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SEDG</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61"/>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bl>
    <w:p>
      <w:pPr>
        <w:spacing w:after="0" w:line="198" w:lineRule="exact"/>
        <w:rPr>
          <w:sz w:val="24"/>
          <w:szCs w:val="24"/>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tabs>
          <w:tab w:leader="none" w:pos="24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type w:val="continuous"/>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ind w:right="200" w:firstLine="583"/>
        <w:spacing w:after="0" w:line="266" w:lineRule="auto"/>
        <w:rPr>
          <w:sz w:val="20"/>
          <w:szCs w:val="20"/>
          <w:color w:val="auto"/>
        </w:rPr>
      </w:pPr>
      <w:r>
        <w:rPr>
          <w:rFonts w:ascii="Times New Roman" w:cs="Times New Roman" w:eastAsia="Times New Roman" w:hAnsi="Times New Roman"/>
          <w:sz w:val="18"/>
          <w:szCs w:val="18"/>
          <w:color w:val="auto"/>
        </w:rPr>
        <w:t>SolarEdge Technologies, Inc. (the “Company”) held its annual meeting of stockholders on June 3, 2026 (the “Annual Meeting”). At the Annual Meeting, the stockholders voted on four matters: (i) the election of Mr. Avery More, Ms. Betsy Atkins, Ms. Dana Gross, Mr. Gilad Almogy, Mr. Guy Gecht, Mr. Shuki Nir and Mr. Yoram Tietz as members of the Board of Directors; (ii) ratification of the appointment of Kost Forer Gabbay &amp; Kasierer, a member of EY Global as the Company’s auditors for the year ending December 31, 2026; (iii) approval, on an advisory and non-binding basis, of the compensation of the Company’s named executive officers; and (iv) approval of the amendment to the Company’s Restated Certificate of Incorporation to limit the liability of certain officers as permitted by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243" w:lineRule="exact"/>
        <w:rPr>
          <w:sz w:val="20"/>
          <w:szCs w:val="20"/>
          <w:color w:val="auto"/>
        </w:rPr>
      </w:pPr>
    </w:p>
    <w:p>
      <w:pPr>
        <w:ind w:right="40" w:firstLine="583"/>
        <w:spacing w:after="0" w:line="297" w:lineRule="auto"/>
        <w:rPr>
          <w:sz w:val="20"/>
          <w:szCs w:val="20"/>
          <w:color w:val="auto"/>
        </w:rPr>
      </w:pPr>
      <w:r>
        <w:rPr>
          <w:rFonts w:ascii="Times New Roman" w:cs="Times New Roman" w:eastAsia="Times New Roman" w:hAnsi="Times New Roman"/>
          <w:sz w:val="18"/>
          <w:szCs w:val="18"/>
          <w:color w:val="auto"/>
        </w:rPr>
        <w:t>The following director nominees were elected as directors, each to hold office until the 2027 annual meeting of stockholders and/ or until his or her successor is elected and qualified, by the vote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59"/>
        </w:trPr>
        <w:tc>
          <w:tcPr>
            <w:tcW w:w="5980" w:type="dxa"/>
            <w:vAlign w:val="bottom"/>
          </w:tcPr>
          <w:p>
            <w:pPr>
              <w:spacing w:after="0"/>
              <w:rPr>
                <w:sz w:val="22"/>
                <w:szCs w:val="22"/>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Avery More</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28,203,122</w:t>
            </w:r>
          </w:p>
        </w:tc>
        <w:tc>
          <w:tcPr>
            <w:tcW w:w="26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771,824</w:t>
            </w:r>
          </w:p>
        </w:tc>
        <w:tc>
          <w:tcPr>
            <w:tcW w:w="22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38,367</w:t>
            </w: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6,226,473</w:t>
            </w: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Ms. Betsy Atkins</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27,469,116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1,510,853</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33,344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6,226,473</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Dana Gross</w:t>
            </w: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28,305,539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672,144</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35,630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6,226,473</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Mr. Gilad Almogy</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28,919,959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56,558</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36,796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6,226,473</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Guy Gecht</w:t>
            </w: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28,818,315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157,856</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37,142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6,226,473</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Mr. Shuki Nir</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28,914,278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61,440</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37,595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6,226,473</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Yoram Tietz</w:t>
            </w: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28,691,944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241,369</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6,226,473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 Ratification of Appointment of Registered Public Accounting Firm.</w:t>
      </w:r>
    </w:p>
    <w:p>
      <w:pPr>
        <w:spacing w:after="0" w:line="243" w:lineRule="exact"/>
        <w:rPr>
          <w:sz w:val="20"/>
          <w:szCs w:val="20"/>
          <w:color w:val="auto"/>
        </w:rPr>
      </w:pPr>
    </w:p>
    <w:p>
      <w:pPr>
        <w:ind w:right="220" w:firstLine="583"/>
        <w:spacing w:after="0" w:line="282" w:lineRule="auto"/>
        <w:rPr>
          <w:sz w:val="20"/>
          <w:szCs w:val="20"/>
          <w:color w:val="auto"/>
        </w:rPr>
      </w:pPr>
      <w:r>
        <w:rPr>
          <w:rFonts w:ascii="Times New Roman" w:cs="Times New Roman" w:eastAsia="Times New Roman" w:hAnsi="Times New Roman"/>
          <w:sz w:val="18"/>
          <w:szCs w:val="18"/>
          <w:color w:val="auto"/>
        </w:rPr>
        <w:t>The appointment of Kost Forer Gabbay &amp; Kasierer, a member of EY Global as the Company’s independent registered public accounting firm for the year ending December 31, 2026 was ratified by the vote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59"/>
        </w:trPr>
        <w:tc>
          <w:tcPr>
            <w:tcW w:w="284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6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30"/>
        </w:trPr>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35,005,162</w:t>
            </w:r>
          </w:p>
        </w:tc>
        <w:tc>
          <w:tcPr>
            <w:tcW w:w="460" w:type="dxa"/>
            <w:vAlign w:val="bottom"/>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188,372</w:t>
            </w:r>
          </w:p>
        </w:tc>
        <w:tc>
          <w:tcPr>
            <w:tcW w:w="460" w:type="dxa"/>
            <w:vAlign w:val="bottom"/>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46,252</w:t>
            </w:r>
          </w:p>
        </w:tc>
        <w:tc>
          <w:tcPr>
            <w:tcW w:w="460" w:type="dxa"/>
            <w:vAlign w:val="bottom"/>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3. Advisory Vote to Approve the Compensation of the Company’s Named Executive Officers.</w:t>
      </w:r>
    </w:p>
    <w:p>
      <w:pPr>
        <w:spacing w:after="0" w:line="2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compensation of the Company’s named executive officers as disclosed in the proxy statement was approved by an advisory vote, as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59"/>
        </w:trPr>
        <w:tc>
          <w:tcPr>
            <w:tcW w:w="284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6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29"/>
        </w:trPr>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26,568,856</w:t>
            </w:r>
          </w:p>
        </w:tc>
        <w:tc>
          <w:tcPr>
            <w:tcW w:w="460" w:type="dxa"/>
            <w:vAlign w:val="bottom"/>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2,335,161</w:t>
            </w:r>
          </w:p>
        </w:tc>
        <w:tc>
          <w:tcPr>
            <w:tcW w:w="460" w:type="dxa"/>
            <w:vAlign w:val="bottom"/>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109,296</w:t>
            </w:r>
          </w:p>
        </w:tc>
        <w:tc>
          <w:tcPr>
            <w:tcW w:w="460" w:type="dxa"/>
            <w:vAlign w:val="bottom"/>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6,226,473</w:t>
            </w:r>
          </w:p>
        </w:tc>
        <w:tc>
          <w:tcPr>
            <w:tcW w:w="240" w:type="dxa"/>
            <w:vAlign w:val="bottom"/>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4. Amendment to the Company’s Restated Certificate of Incorporation to limit the liability of certain officers.</w:t>
      </w:r>
    </w:p>
    <w:p>
      <w:pPr>
        <w:spacing w:after="0" w:line="256" w:lineRule="exact"/>
        <w:rPr>
          <w:sz w:val="20"/>
          <w:szCs w:val="20"/>
          <w:color w:val="auto"/>
        </w:rPr>
      </w:pPr>
    </w:p>
    <w:p>
      <w:pPr>
        <w:ind w:right="700" w:firstLine="583"/>
        <w:spacing w:after="0" w:line="282" w:lineRule="auto"/>
        <w:rPr>
          <w:sz w:val="20"/>
          <w:szCs w:val="20"/>
          <w:color w:val="auto"/>
        </w:rPr>
      </w:pPr>
      <w:r>
        <w:rPr>
          <w:rFonts w:ascii="Times New Roman" w:cs="Times New Roman" w:eastAsia="Times New Roman" w:hAnsi="Times New Roman"/>
          <w:sz w:val="18"/>
          <w:szCs w:val="18"/>
          <w:color w:val="auto"/>
        </w:rPr>
        <w:t>The amendment to the Company’s Restated Certificate of Incorporation which provides for the elimination of monetary liability of certain officers in certain limited circumstances as permitted by law, was approved by the votes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59"/>
        </w:trPr>
        <w:tc>
          <w:tcPr>
            <w:tcW w:w="284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6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30"/>
        </w:trPr>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25,773,141</w:t>
            </w:r>
          </w:p>
        </w:tc>
        <w:tc>
          <w:tcPr>
            <w:tcW w:w="460" w:type="dxa"/>
            <w:vAlign w:val="bottom"/>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3,142,428</w:t>
            </w:r>
          </w:p>
        </w:tc>
        <w:tc>
          <w:tcPr>
            <w:tcW w:w="460" w:type="dxa"/>
            <w:vAlign w:val="bottom"/>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97,744</w:t>
            </w:r>
          </w:p>
        </w:tc>
        <w:tc>
          <w:tcPr>
            <w:tcW w:w="460" w:type="dxa"/>
            <w:vAlign w:val="bottom"/>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6,226,473</w:t>
            </w:r>
          </w:p>
        </w:tc>
        <w:tc>
          <w:tcPr>
            <w:tcW w:w="24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Proposal No. 4 was not approved even though over 89% of the votes cast voted FOR the approval of an exculpation amendment to the Company’s Restated Certificate of Incorporation. This is solely due to the higher applicable voting standard under Delaware law that applies to certificate amendments (majority of outstanding shares as opposed to majority of voting power of the stock, present or represented by proxy and entitled to vote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SOLAREDGE TECHNOLOGIES, INC.</w:t>
      </w:r>
    </w:p>
    <w:p>
      <w:pPr>
        <w:spacing w:after="0" w:line="239" w:lineRule="exact"/>
        <w:rPr>
          <w:sz w:val="20"/>
          <w:szCs w:val="20"/>
          <w:color w:val="auto"/>
        </w:rPr>
      </w:pPr>
    </w:p>
    <w:p>
      <w:pPr>
        <w:spacing w:after="0"/>
        <w:tabs>
          <w:tab w:leader="none" w:pos="5600" w:val="left"/>
          <w:tab w:leader="none" w:pos="610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Dalia Litay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26035</wp:posOffset>
            </wp:positionV>
            <wp:extent cx="32575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Name:Dalia Litay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20"/>
      </w:cols>
      <w:pgMar w:left="320" w:top="34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2026-06-04T11:13:41Z</dcterms:created>
  <dcterms:modified xsi:type="dcterms:W3CDTF">2026-06-04T11:13:41Z</dcterms:modified>
</cp:coreProperties>
</file>