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jc w:val="left"/>
        <w:rPr>
          <w:bdr w:val="single" w:sz="16" w:space="1" w:color="000000"/>
        </w:rPr>
      </w:pPr>
      <w:bookmarkStart w:id="0" w:name="zk2636103.htm"/>
      <w:bookmarkStart w:id="1" w:name="kszk2636103"/>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8"/>
        </w:rPr>
        <w:t>UNITED STATES</w:t>
        <w:br/>
        <w:t>SECURITIES AND EXCHANGE COMMISSION</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FORM </w:t>
      </w:r>
      <w:bookmarkStart w:id="2" w:name="xdx_90E_edei--DocumentType_c20260910__20"/>
      <w:bookmarkEnd w:id="2"/>
      <w:r>
        <w:rPr>
          <w:rFonts w:ascii="Times New Roman;Times;Serif" w:hAnsi="Times New Roman;Times;Serif"/>
          <w:b/>
          <w:i w:val="false"/>
          <w:caps w:val="false"/>
          <w:smallCaps w:val="false"/>
          <w:sz w:val="28"/>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br/>
        <w:t>PURSUANT TO SECTION 13 OR 15(d) OF THE</w:t>
        <w:b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 xml:space="preserve">Date of report (Date of earliest event reported): </w:t>
      </w:r>
      <w:bookmarkStart w:id="3" w:name="xdx_901_edei--DocumentPeriodEndDate_c202"/>
      <w:bookmarkEnd w:id="3"/>
      <w:r>
        <w:rPr>
          <w:rFonts w:ascii="Times New Roman;Times;Serif" w:hAnsi="Times New Roman;Times;Serif"/>
          <w:b/>
          <w:i w:val="false"/>
          <w:caps w:val="false"/>
          <w:smallCaps w:val="false"/>
          <w:sz w:val="20"/>
          <w:bdr w:val="single" w:sz="8" w:space="1" w:color="000000"/>
        </w:rPr>
        <w:t>September 10, 2026</w:t>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4" w:name="xdx_902_edei--EntityRegistrantName_c2026"/>
      <w:bookmarkEnd w:id="4"/>
      <w:r>
        <w:rPr>
          <w:rFonts w:ascii="Times New Roman;Times;Serif" w:hAnsi="Times New Roman;Times;Serif"/>
          <w:b/>
          <w:i w:val="false"/>
          <w:caps w:val="false"/>
          <w:smallCaps w:val="false"/>
          <w:sz w:val="32"/>
        </w:rPr>
        <w:t>SOLAREDGE TECHNOLOGIES, INC.</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(Exact name of registrant as specified in its charter) </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20" w:after="20"/>
        <w:jc w:val="left"/>
        <w:rPr>
          <w:bdr w:val="single" w:sz="8" w:space="1" w:color="000000"/>
        </w:rPr>
      </w:pPr>
      <w:r>
        <w:rPr>
          <w:bdr w:val="single" w:sz="8" w:space="1" w:color="000000"/>
        </w:rPr>
        <w:t> </w:t>
      </w:r>
    </w:p>
    <w:tbl>
      <w:tblPr>
        <w:tblW w:w="5175" w:type="dxa"/>
        <w:jc w:val="left"/>
        <w:tblInd w:w="0" w:type="dxa"/>
        <w:tblLayout w:type="fixed"/>
        <w:tblCellMar>
          <w:top w:w="0" w:type="dxa"/>
          <w:left w:w="0" w:type="dxa"/>
          <w:bottom w:w="0" w:type="dxa"/>
          <w:right w:w="0" w:type="dxa"/>
        </w:tblCellMar>
      </w:tblPr>
      <w:tblGrid>
        <w:gridCol w:w="2270"/>
        <w:gridCol w:w="60"/>
        <w:gridCol w:w="1175"/>
        <w:gridCol w:w="60"/>
        <w:gridCol w:w="1610"/>
      </w:tblGrid>
      <w:tr>
        <w:trPr/>
        <w:tc>
          <w:tcPr>
            <w:tcW w:w="22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left"/>
              <w:rPr/>
            </w:pPr>
            <w:r>
              <w:rPr/>
              <w:t> </w:t>
            </w:r>
          </w:p>
        </w:tc>
      </w:tr>
      <w:tr>
        <w:trPr/>
        <w:tc>
          <w:tcPr>
            <w:tcW w:w="2270" w:type="dxa"/>
            <w:tcBorders/>
            <w:vAlign w:val="center"/>
          </w:tcPr>
          <w:p>
            <w:pPr>
              <w:pStyle w:val="TableContents"/>
              <w:bidi w:val="0"/>
              <w:spacing w:before="0" w:after="283"/>
              <w:jc w:val="center"/>
              <w:rPr>
                <w:b/>
                <w:sz w:val="20"/>
              </w:rPr>
            </w:pPr>
            <w:bookmarkStart w:id="5" w:name="xdx_909_edei--EntityIncorporationStateCo"/>
            <w:bookmarkEnd w:id="5"/>
            <w:r>
              <w:rPr>
                <w:b/>
                <w:sz w:val="20"/>
              </w:rPr>
              <w:t>Delaware</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center"/>
              <w:rPr>
                <w:b/>
                <w:sz w:val="20"/>
              </w:rPr>
            </w:pPr>
            <w:bookmarkStart w:id="6" w:name="xdx_90D_edei--EntityFileNumber_c20260910"/>
            <w:bookmarkEnd w:id="6"/>
            <w:r>
              <w:rPr>
                <w:b/>
                <w:sz w:val="20"/>
              </w:rPr>
              <w:t>001-36894</w:t>
            </w:r>
          </w:p>
        </w:tc>
        <w:tc>
          <w:tcPr>
            <w:tcW w:w="6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center"/>
              <w:rPr>
                <w:b/>
                <w:sz w:val="20"/>
              </w:rPr>
            </w:pPr>
            <w:bookmarkStart w:id="7" w:name="xdx_907_edei--EntityTaxIdentificationNum"/>
            <w:bookmarkEnd w:id="7"/>
            <w:r>
              <w:rPr>
                <w:b/>
                <w:sz w:val="20"/>
              </w:rPr>
              <w:t>20-5338862</w:t>
            </w:r>
          </w:p>
        </w:tc>
      </w:tr>
      <w:tr>
        <w:trPr/>
        <w:tc>
          <w:tcPr>
            <w:tcW w:w="227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incorporation)</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Number)</w:t>
            </w:r>
          </w:p>
        </w:tc>
        <w:tc>
          <w:tcPr>
            <w:tcW w:w="6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Identification No.)</w:t>
            </w:r>
            <w:r>
              <w:rPr>
                <w:rFonts w:ascii="Times New Roman;Times;Serif" w:hAnsi="Times New Roman;Times;Serif"/>
                <w:b w:val="false"/>
                <w:i w:val="false"/>
                <w:caps w:val="false"/>
                <w:smallCaps w:val="false"/>
                <w:sz w:val="20"/>
              </w:rPr>
              <w:t> </w:t>
            </w:r>
          </w:p>
        </w:tc>
      </w:tr>
    </w:tbl>
    <w:p>
      <w:pPr>
        <w:pStyle w:val="TextBody"/>
        <w:bidi w:val="0"/>
        <w:spacing w:before="0" w:after="283"/>
        <w:jc w:val="left"/>
        <w:rPr/>
      </w:pPr>
      <w:r>
        <w:rPr/>
        <w:t> </w:t>
      </w:r>
    </w:p>
    <w:tbl>
      <w:tblPr>
        <w:tblW w:w="4750" w:type="dxa"/>
        <w:jc w:val="left"/>
        <w:tblInd w:w="0" w:type="dxa"/>
        <w:tblLayout w:type="fixed"/>
        <w:tblCellMar>
          <w:top w:w="0" w:type="dxa"/>
          <w:left w:w="0" w:type="dxa"/>
          <w:bottom w:w="0" w:type="dxa"/>
          <w:right w:w="0" w:type="dxa"/>
        </w:tblCellMar>
      </w:tblPr>
      <w:tblGrid>
        <w:gridCol w:w="75"/>
        <w:gridCol w:w="3620"/>
        <w:gridCol w:w="60"/>
        <w:gridCol w:w="920"/>
        <w:gridCol w:w="75"/>
      </w:tblGrid>
      <w:tr>
        <w:trPr/>
        <w:tc>
          <w:tcPr>
            <w:tcW w:w="75" w:type="dxa"/>
            <w:tcBorders/>
            <w:vAlign w:val="center"/>
          </w:tcPr>
          <w:p>
            <w:pPr>
              <w:pStyle w:val="TableContents"/>
              <w:bidi w:val="0"/>
              <w:spacing w:before="0" w:after="283"/>
              <w:jc w:val="left"/>
              <w:rPr/>
            </w:pPr>
            <w:r>
              <w:rPr/>
              <w:t> </w:t>
            </w:r>
          </w:p>
        </w:tc>
        <w:tc>
          <w:tcPr>
            <w:tcW w:w="3620" w:type="dxa"/>
            <w:tcBorders/>
            <w:vAlign w:val="center"/>
          </w:tcPr>
          <w:p>
            <w:pPr>
              <w:pStyle w:val="TableContents"/>
              <w:bidi w:val="0"/>
              <w:spacing w:before="0" w:after="283"/>
              <w:jc w:val="center"/>
              <w:rPr>
                <w:b/>
                <w:sz w:val="20"/>
              </w:rPr>
            </w:pPr>
            <w:bookmarkStart w:id="8" w:name="xdx_90E_edei--EntityAddressAddressLine1_"/>
            <w:bookmarkEnd w:id="8"/>
            <w:r>
              <w:rPr>
                <w:b/>
                <w:sz w:val="20"/>
              </w:rPr>
              <w:t xml:space="preserve">1 Hamada Street, </w:t>
            </w:r>
            <w:bookmarkStart w:id="9" w:name="xdx_90A_edei--EntityAddressCityOrTown_c2"/>
            <w:bookmarkEnd w:id="9"/>
            <w:r>
              <w:rPr>
                <w:b/>
                <w:sz w:val="20"/>
              </w:rPr>
              <w:t xml:space="preserve">Herziliya Pituach, </w:t>
            </w:r>
            <w:bookmarkStart w:id="10" w:name="xdx_90D_edei--EntityAddressCountry_c2026"/>
            <w:bookmarkEnd w:id="10"/>
            <w:r>
              <w:rPr>
                <w:b/>
                <w:sz w:val="20"/>
              </w:rPr>
              <w:t>Israel</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b/>
                <w:sz w:val="20"/>
              </w:rPr>
            </w:pPr>
            <w:bookmarkStart w:id="11" w:name="xdx_901_edei--EntityAddressPostalZipCode"/>
            <w:bookmarkEnd w:id="11"/>
            <w:r>
              <w:rPr>
                <w:b/>
                <w:sz w:val="20"/>
              </w:rPr>
              <w:t>4673335</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20" w:type="dxa"/>
            <w:tcBorders/>
            <w:vAlign w:val="center"/>
          </w:tcPr>
          <w:p>
            <w:pPr>
              <w:pStyle w:val="TableContents"/>
              <w:bidi w:val="0"/>
              <w:spacing w:before="0" w:after="283"/>
              <w:jc w:val="center"/>
              <w:rPr>
                <w:b/>
                <w:sz w:val="20"/>
              </w:rPr>
            </w:pPr>
            <w:r>
              <w:rPr>
                <w:b/>
                <w:sz w:val="20"/>
              </w:rPr>
              <w:t>(Address of Principal executive offices)</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b/>
                <w:sz w:val="20"/>
              </w:rPr>
            </w:pPr>
            <w:r>
              <w:rPr>
                <w:b/>
                <w:sz w:val="20"/>
              </w:rPr>
              <w:t>(Zip Code)</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Registrant’s Telephone number, including area code: </w:t>
      </w:r>
      <w:bookmarkStart w:id="12" w:name="xdx_904_edei--CityAreaCode_c20260910__20"/>
      <w:bookmarkEnd w:id="12"/>
      <w:r>
        <w:rPr>
          <w:rFonts w:ascii="Times New Roman;Times;Serif" w:hAnsi="Times New Roman;Times;Serif"/>
          <w:b/>
          <w:i w:val="false"/>
          <w:caps w:val="false"/>
          <w:smallCaps w:val="false"/>
          <w:sz w:val="20"/>
        </w:rPr>
        <w:t xml:space="preserve">972 </w:t>
      </w:r>
      <w:bookmarkStart w:id="13" w:name="xdx_909_edei--LocalPhoneNumber_c20260910"/>
      <w:bookmarkEnd w:id="13"/>
      <w:r>
        <w:rPr>
          <w:rFonts w:ascii="Times New Roman;Times;Serif" w:hAnsi="Times New Roman;Times;Serif"/>
          <w:b/>
          <w:i w:val="false"/>
          <w:caps w:val="false"/>
          <w:smallCaps w:val="false"/>
          <w:sz w:val="20"/>
        </w:rPr>
        <w:t>(9) 957-6620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 Applicable </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(Former name or former address, if changed since last report.)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Instructions A.2 below):</w:t>
      </w:r>
    </w:p>
    <w:p>
      <w:pPr>
        <w:pStyle w:val="TextBody"/>
        <w:bidi w:val="0"/>
        <w:spacing w:before="0" w:after="0"/>
        <w:ind w:left="0" w:right="0" w:hanging="0"/>
        <w:jc w:val="left"/>
        <w:rPr>
          <w:caps w:val="false"/>
          <w:smallCaps w:val="false"/>
        </w:rPr>
      </w:pPr>
      <w:r>
        <w:rPr>
          <w:caps w:val="false"/>
          <w:smallCaps w:val="false"/>
        </w:rPr>
        <w:t> </w:t>
      </w:r>
    </w:p>
    <w:tbl>
      <w:tblPr>
        <w:tblW w:w="9422" w:type="dxa"/>
        <w:jc w:val="left"/>
        <w:tblInd w:w="0" w:type="dxa"/>
        <w:tblLayout w:type="fixed"/>
        <w:tblCellMar>
          <w:top w:w="28" w:type="dxa"/>
          <w:left w:w="28" w:type="dxa"/>
          <w:bottom w:w="28" w:type="dxa"/>
          <w:right w:w="28" w:type="dxa"/>
        </w:tblCellMar>
      </w:tblPr>
      <w:tblGrid>
        <w:gridCol w:w="301"/>
        <w:gridCol w:w="9121"/>
      </w:tblGrid>
      <w:tr>
        <w:trPr/>
        <w:tc>
          <w:tcPr>
            <w:tcW w:w="301" w:type="dxa"/>
            <w:tcBorders/>
            <w:vAlign w:val="center"/>
          </w:tcPr>
          <w:p>
            <w:pPr>
              <w:pStyle w:val="TableContents"/>
              <w:bidi w:val="0"/>
              <w:spacing w:before="0" w:after="283"/>
              <w:jc w:val="left"/>
              <w:rPr/>
            </w:pPr>
            <w:bookmarkStart w:id="14" w:name="xdx_90E_edei--WrittenCommunications_c202"/>
            <w:bookmarkEnd w:id="14"/>
            <w:r>
              <w:rPr/>
              <w:t>☐</w:t>
            </w:r>
          </w:p>
        </w:tc>
        <w:tc>
          <w:tcPr>
            <w:tcW w:w="9121" w:type="dxa"/>
            <w:tcBorders/>
            <w:vAlign w:val="center"/>
          </w:tcPr>
          <w:p>
            <w:pPr>
              <w:pStyle w:val="TableContents"/>
              <w:bidi w:val="0"/>
              <w:spacing w:before="0" w:after="283"/>
              <w:jc w:val="left"/>
              <w:rPr>
                <w:sz w:val="20"/>
              </w:rPr>
            </w:pPr>
            <w:r>
              <w:rPr>
                <w:sz w:val="20"/>
              </w:rPr>
              <w:t>Written communications pursuant to Rule 425 under the Securities Act (17 CFR 230.425)</w:t>
            </w:r>
          </w:p>
        </w:tc>
      </w:tr>
      <w:tr>
        <w:trPr/>
        <w:tc>
          <w:tcPr>
            <w:tcW w:w="301" w:type="dxa"/>
            <w:tcBorders/>
            <w:vAlign w:val="center"/>
          </w:tcPr>
          <w:p>
            <w:pPr>
              <w:pStyle w:val="TableContents"/>
              <w:bidi w:val="0"/>
              <w:spacing w:before="0" w:after="283"/>
              <w:jc w:val="left"/>
              <w:rPr/>
            </w:pPr>
            <w:bookmarkStart w:id="15" w:name="xdx_909_edei--SolicitingMaterial_c202609"/>
            <w:bookmarkEnd w:id="15"/>
            <w:r>
              <w:rPr/>
              <w:t>☐</w:t>
            </w:r>
          </w:p>
        </w:tc>
        <w:tc>
          <w:tcPr>
            <w:tcW w:w="9121" w:type="dxa"/>
            <w:tcBorders/>
            <w:vAlign w:val="center"/>
          </w:tcPr>
          <w:p>
            <w:pPr>
              <w:pStyle w:val="TableContents"/>
              <w:bidi w:val="0"/>
              <w:spacing w:before="0" w:after="283"/>
              <w:jc w:val="left"/>
              <w:rPr>
                <w:sz w:val="20"/>
              </w:rPr>
            </w:pPr>
            <w:r>
              <w:rPr>
                <w:sz w:val="20"/>
              </w:rPr>
              <w:t>Soliciting material pursuant to Rule 14a-12 under the Exchange Act (17 CFR 240.14a-12)</w:t>
            </w:r>
          </w:p>
        </w:tc>
      </w:tr>
      <w:tr>
        <w:trPr/>
        <w:tc>
          <w:tcPr>
            <w:tcW w:w="301" w:type="dxa"/>
            <w:tcBorders/>
            <w:vAlign w:val="center"/>
          </w:tcPr>
          <w:p>
            <w:pPr>
              <w:pStyle w:val="TableContents"/>
              <w:bidi w:val="0"/>
              <w:spacing w:before="0" w:after="283"/>
              <w:jc w:val="left"/>
              <w:rPr/>
            </w:pPr>
            <w:bookmarkStart w:id="16" w:name="xdx_900_edei--PreCommencementTenderOffer"/>
            <w:bookmarkEnd w:id="16"/>
            <w:r>
              <w:rPr/>
              <w:t>☐</w:t>
            </w:r>
          </w:p>
        </w:tc>
        <w:tc>
          <w:tcPr>
            <w:tcW w:w="9121" w:type="dxa"/>
            <w:tcBorders/>
            <w:vAlign w:val="center"/>
          </w:tcPr>
          <w:p>
            <w:pPr>
              <w:pStyle w:val="TableContents"/>
              <w:bidi w:val="0"/>
              <w:spacing w:before="0" w:after="283"/>
              <w:jc w:val="left"/>
              <w:rPr>
                <w:sz w:val="20"/>
              </w:rPr>
            </w:pPr>
            <w:r>
              <w:rPr>
                <w:sz w:val="20"/>
              </w:rPr>
              <w:t>Pre-commencement communications pursuant to Rule 14d-2(b) under the Exchange Act (17 CFR 240.14d-2(b))</w:t>
            </w:r>
          </w:p>
        </w:tc>
      </w:tr>
      <w:tr>
        <w:trPr/>
        <w:tc>
          <w:tcPr>
            <w:tcW w:w="301" w:type="dxa"/>
            <w:tcBorders/>
            <w:vAlign w:val="center"/>
          </w:tcPr>
          <w:p>
            <w:pPr>
              <w:pStyle w:val="TableContents"/>
              <w:bidi w:val="0"/>
              <w:spacing w:before="0" w:after="283"/>
              <w:jc w:val="left"/>
              <w:rPr/>
            </w:pPr>
            <w:bookmarkStart w:id="17" w:name="xdx_90B_edei--PreCommencementIssuerTende"/>
            <w:bookmarkEnd w:id="17"/>
            <w:r>
              <w:rPr/>
              <w:t>☐</w:t>
            </w:r>
          </w:p>
        </w:tc>
        <w:tc>
          <w:tcPr>
            <w:tcW w:w="9121" w:type="dxa"/>
            <w:tcBorders/>
            <w:vAlign w:val="center"/>
          </w:tcPr>
          <w:p>
            <w:pPr>
              <w:pStyle w:val="TableContents"/>
              <w:bidi w:val="0"/>
              <w:spacing w:before="0" w:after="283"/>
              <w:jc w:val="left"/>
              <w:rPr>
                <w:sz w:val="20"/>
              </w:rPr>
            </w:pPr>
            <w:r>
              <w:rPr>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027"/>
        <w:gridCol w:w="1903"/>
        <w:gridCol w:w="4275"/>
      </w:tblGrid>
      <w:tr>
        <w:trPr/>
        <w:tc>
          <w:tcPr>
            <w:tcW w:w="4027" w:type="dxa"/>
            <w:tcBorders>
              <w:bottom w:val="single" w:sz="8" w:space="0" w:color="000000"/>
            </w:tcBorders>
            <w:vAlign w:val="center"/>
          </w:tcPr>
          <w:p>
            <w:pPr>
              <w:pStyle w:val="TableContents"/>
              <w:bidi w:val="0"/>
              <w:spacing w:before="0" w:after="283"/>
              <w:jc w:val="center"/>
              <w:rPr>
                <w:b/>
              </w:rPr>
            </w:pPr>
            <w:r>
              <w:rPr>
                <w:b/>
              </w:rPr>
              <w:t>Title of each class</w:t>
            </w:r>
          </w:p>
        </w:tc>
        <w:tc>
          <w:tcPr>
            <w:tcW w:w="1903" w:type="dxa"/>
            <w:tcBorders>
              <w:bottom w:val="single" w:sz="8" w:space="0" w:color="000000"/>
            </w:tcBorders>
            <w:vAlign w:val="center"/>
          </w:tcPr>
          <w:p>
            <w:pPr>
              <w:pStyle w:val="TableContents"/>
              <w:bidi w:val="0"/>
              <w:spacing w:before="0" w:after="283"/>
              <w:jc w:val="center"/>
              <w:rPr>
                <w:b/>
              </w:rPr>
            </w:pPr>
            <w:r>
              <w:rPr>
                <w:b/>
              </w:rPr>
              <w:t>Trading Symbol(s)</w:t>
            </w:r>
          </w:p>
        </w:tc>
        <w:tc>
          <w:tcPr>
            <w:tcW w:w="4275" w:type="dxa"/>
            <w:tcBorders>
              <w:bottom w:val="single" w:sz="8" w:space="0" w:color="000000"/>
            </w:tcBorders>
            <w:vAlign w:val="center"/>
          </w:tcPr>
          <w:p>
            <w:pPr>
              <w:pStyle w:val="TableContents"/>
              <w:bidi w:val="0"/>
              <w:spacing w:before="0" w:after="283"/>
              <w:jc w:val="center"/>
              <w:rPr>
                <w:b/>
              </w:rPr>
            </w:pPr>
            <w:r>
              <w:rPr>
                <w:b/>
              </w:rPr>
              <w:t>Name of each exchange on which registered</w:t>
            </w:r>
          </w:p>
        </w:tc>
      </w:tr>
      <w:tr>
        <w:trPr/>
        <w:tc>
          <w:tcPr>
            <w:tcW w:w="4027" w:type="dxa"/>
            <w:tcBorders/>
            <w:tcMar>
              <w:top w:w="30" w:type="dxa"/>
              <w:left w:w="30" w:type="dxa"/>
              <w:bottom w:w="30" w:type="dxa"/>
              <w:right w:w="30" w:type="dxa"/>
            </w:tcMar>
            <w:vAlign w:val="center"/>
          </w:tcPr>
          <w:p>
            <w:pPr>
              <w:pStyle w:val="TableContents"/>
              <w:bidi w:val="0"/>
              <w:spacing w:before="0" w:after="283"/>
              <w:jc w:val="center"/>
              <w:rPr/>
            </w:pPr>
            <w:bookmarkStart w:id="18" w:name="xdx_908_edei--Security12bTitle_c20260910"/>
            <w:bookmarkEnd w:id="18"/>
            <w:r>
              <w:rPr/>
              <w:t>Common stock, par value $0.0001 per share</w:t>
            </w:r>
          </w:p>
        </w:tc>
        <w:tc>
          <w:tcPr>
            <w:tcW w:w="1903" w:type="dxa"/>
            <w:tcBorders/>
            <w:tcMar>
              <w:top w:w="30" w:type="dxa"/>
              <w:left w:w="30" w:type="dxa"/>
              <w:bottom w:w="30" w:type="dxa"/>
              <w:right w:w="30" w:type="dxa"/>
            </w:tcMar>
            <w:vAlign w:val="center"/>
          </w:tcPr>
          <w:p>
            <w:pPr>
              <w:pStyle w:val="TableContents"/>
              <w:bidi w:val="0"/>
              <w:spacing w:before="0" w:after="283"/>
              <w:jc w:val="center"/>
              <w:rPr/>
            </w:pPr>
            <w:bookmarkStart w:id="19" w:name="xdx_90D_edei--TradingSymbol_c20260910__2"/>
            <w:bookmarkEnd w:id="19"/>
            <w:r>
              <w:rPr/>
              <w:t>SEDG</w:t>
            </w:r>
          </w:p>
        </w:tc>
        <w:tc>
          <w:tcPr>
            <w:tcW w:w="4275" w:type="dxa"/>
            <w:tcBorders/>
            <w:tcMar>
              <w:top w:w="30" w:type="dxa"/>
              <w:left w:w="30" w:type="dxa"/>
              <w:bottom w:w="30" w:type="dxa"/>
              <w:right w:w="30" w:type="dxa"/>
            </w:tcMar>
            <w:vAlign w:val="center"/>
          </w:tcPr>
          <w:p>
            <w:pPr>
              <w:pStyle w:val="TableContents"/>
              <w:bidi w:val="0"/>
              <w:spacing w:before="0" w:after="283"/>
              <w:jc w:val="center"/>
              <w:rPr/>
            </w:pPr>
            <w:bookmarkStart w:id="20" w:name="xdx_90E_edei--SecurityExchangeName_c2026"/>
            <w:bookmarkEnd w:id="20"/>
            <w:r>
              <w:rPr/>
              <w:t>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E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tbl>
      <w:tblPr>
        <w:tblW w:w="3768" w:type="dxa"/>
        <w:jc w:val="left"/>
        <w:tblInd w:w="0" w:type="dxa"/>
        <w:tblLayout w:type="fixed"/>
        <w:tblCellMar>
          <w:top w:w="0" w:type="dxa"/>
          <w:left w:w="0" w:type="dxa"/>
          <w:bottom w:w="0" w:type="dxa"/>
          <w:right w:w="0" w:type="dxa"/>
        </w:tblCellMar>
      </w:tblPr>
      <w:tblGrid>
        <w:gridCol w:w="38"/>
        <w:gridCol w:w="1025"/>
        <w:gridCol w:w="2705"/>
      </w:tblGrid>
      <w:tr>
        <w:trPr/>
        <w:tc>
          <w:tcPr>
            <w:tcW w:w="3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b/>
              </w:rPr>
            </w:pPr>
            <w:r>
              <w:rPr>
                <w:b/>
              </w:rPr>
              <w:t>Item 7.01.</w:t>
            </w:r>
          </w:p>
        </w:tc>
        <w:tc>
          <w:tcPr>
            <w:tcW w:w="2705" w:type="dxa"/>
            <w:tcBorders/>
            <w:vAlign w:val="center"/>
          </w:tcPr>
          <w:p>
            <w:pPr>
              <w:pStyle w:val="TableContents"/>
              <w:bidi w:val="0"/>
              <w:spacing w:before="0" w:after="283"/>
              <w:jc w:val="left"/>
              <w:rPr>
                <w:b/>
              </w:rPr>
            </w:pPr>
            <w:r>
              <w:rPr>
                <w:b/>
              </w:rPr>
              <w:t>Regulation FD Disclosure.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SolarEdge Technologies, Inc. (Nasdaq: SEDG), a global leader in smart energy technology, is webcasting its 2026 Investor Day today, Thursday, September 10, 2026. Management will share details about the Company’s strategy, market trends, product and technology roadmap as well as operational and financial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live webcast will begin today at 10:00 AM ET and can be accessed in the Investor Relations section of SolarEdge’s website at: https://investors.solaredge.com/events. Presentations will conclude at approximately 12:30 PM ET. Following the conclusion of the event, the Investor Day presentation materials will be posted on the same page of SolarEdge’s Investor Relations website at https://investors.solaredge.com/events. A replay of the webcast will also be available approximately two hours after the conclusion of the event and will remain available for approximately 30 calendar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left"/>
        <w:rPr>
          <w:caps w:val="false"/>
          <w:smallCaps w:val="false"/>
        </w:rPr>
      </w:pPr>
      <w:r>
        <w:rPr>
          <w:caps w:val="false"/>
          <w:smallCaps w:val="false"/>
        </w:rPr>
        <w:t> </w:t>
      </w:r>
    </w:p>
    <w:tbl>
      <w:tblPr>
        <w:tblW w:w="6609" w:type="dxa"/>
        <w:jc w:val="left"/>
        <w:tblInd w:w="0" w:type="dxa"/>
        <w:tblLayout w:type="fixed"/>
        <w:tblCellMar>
          <w:top w:w="0" w:type="dxa"/>
          <w:left w:w="0" w:type="dxa"/>
          <w:bottom w:w="0" w:type="dxa"/>
          <w:right w:w="0" w:type="dxa"/>
        </w:tblCellMar>
      </w:tblPr>
      <w:tblGrid>
        <w:gridCol w:w="2570"/>
        <w:gridCol w:w="902"/>
        <w:gridCol w:w="3137"/>
      </w:tblGrid>
      <w:tr>
        <w:trPr/>
        <w:tc>
          <w:tcPr>
            <w:tcW w:w="2570" w:type="dxa"/>
            <w:tcBorders/>
            <w:vAlign w:val="center"/>
          </w:tcPr>
          <w:p>
            <w:pPr>
              <w:pStyle w:val="TableContents"/>
              <w:bidi w:val="0"/>
              <w:spacing w:before="0" w:after="283"/>
              <w:jc w:val="left"/>
              <w:rPr/>
            </w:pPr>
            <w:r>
              <w:rPr/>
              <w:t> </w:t>
            </w:r>
          </w:p>
        </w:tc>
        <w:tc>
          <w:tcPr>
            <w:tcW w:w="4039" w:type="dxa"/>
            <w:gridSpan w:val="2"/>
            <w:tcBorders/>
            <w:vAlign w:val="center"/>
          </w:tcPr>
          <w:p>
            <w:pPr>
              <w:pStyle w:val="TableContents"/>
              <w:bidi w:val="0"/>
              <w:spacing w:before="0" w:after="283"/>
              <w:jc w:val="left"/>
              <w:rPr/>
            </w:pPr>
            <w:r>
              <w:rPr/>
              <w:t>SOLAREDGE TECHNOLOGIES, INC.</w:t>
            </w:r>
          </w:p>
        </w:tc>
      </w:tr>
      <w:tr>
        <w:trPr/>
        <w:tc>
          <w:tcPr>
            <w:tcW w:w="2570" w:type="dxa"/>
            <w:tcBorders/>
            <w:vAlign w:val="center"/>
          </w:tcPr>
          <w:p>
            <w:pPr>
              <w:pStyle w:val="TableContents"/>
              <w:bidi w:val="0"/>
              <w:spacing w:before="0" w:after="283"/>
              <w:jc w:val="left"/>
              <w:rPr/>
            </w:pPr>
            <w:r>
              <w:rPr/>
              <w:t> </w:t>
            </w:r>
          </w:p>
        </w:tc>
        <w:tc>
          <w:tcPr>
            <w:tcW w:w="4039" w:type="dxa"/>
            <w:gridSpan w:val="2"/>
            <w:tcBorders/>
            <w:vAlign w:val="center"/>
          </w:tcPr>
          <w:p>
            <w:pPr>
              <w:pStyle w:val="TableContents"/>
              <w:bidi w:val="0"/>
              <w:spacing w:before="0" w:after="283"/>
              <w:jc w:val="left"/>
              <w:rPr/>
            </w:pPr>
            <w:r>
              <w:rPr/>
              <w:t> </w:t>
            </w:r>
          </w:p>
        </w:tc>
      </w:tr>
      <w:tr>
        <w:trPr/>
        <w:tc>
          <w:tcPr>
            <w:tcW w:w="2570" w:type="dxa"/>
            <w:tcBorders/>
            <w:vAlign w:val="center"/>
          </w:tcPr>
          <w:p>
            <w:pPr>
              <w:pStyle w:val="TableContents"/>
              <w:bidi w:val="0"/>
              <w:spacing w:before="0" w:after="283"/>
              <w:jc w:val="left"/>
              <w:rPr/>
            </w:pPr>
            <w:r>
              <w:rPr/>
              <w:t>Date:  September 10, 2026</w:t>
            </w:r>
          </w:p>
        </w:tc>
        <w:tc>
          <w:tcPr>
            <w:tcW w:w="902" w:type="dxa"/>
            <w:tcBorders/>
            <w:vAlign w:val="center"/>
          </w:tcPr>
          <w:p>
            <w:pPr>
              <w:pStyle w:val="TableContents"/>
              <w:bidi w:val="0"/>
              <w:spacing w:before="0" w:after="283"/>
              <w:jc w:val="left"/>
              <w:rPr/>
            </w:pPr>
            <w:r>
              <w:rPr/>
              <w:t>By:</w:t>
            </w:r>
          </w:p>
        </w:tc>
        <w:tc>
          <w:tcPr>
            <w:tcW w:w="3137" w:type="dxa"/>
            <w:tcBorders>
              <w:bottom w:val="single" w:sz="8" w:space="0" w:color="000000"/>
            </w:tcBorders>
            <w:tcMar>
              <w:bottom w:w="28" w:type="dxa"/>
            </w:tcMar>
            <w:vAlign w:val="center"/>
          </w:tcPr>
          <w:p>
            <w:pPr>
              <w:pStyle w:val="TableContents"/>
              <w:bidi w:val="0"/>
              <w:spacing w:before="0" w:after="283"/>
              <w:jc w:val="left"/>
              <w:rPr/>
            </w:pPr>
            <w:r>
              <w:rPr/>
              <w:t>/s/ Dalia Litay</w:t>
            </w:r>
          </w:p>
        </w:tc>
      </w:tr>
      <w:tr>
        <w:trPr/>
        <w:tc>
          <w:tcPr>
            <w:tcW w:w="2570" w:type="dxa"/>
            <w:tcBorders/>
            <w:vAlign w:val="center"/>
          </w:tcPr>
          <w:p>
            <w:pPr>
              <w:pStyle w:val="TableContents"/>
              <w:bidi w:val="0"/>
              <w:spacing w:before="0" w:after="283"/>
              <w:jc w:val="left"/>
              <w:rPr/>
            </w:pPr>
            <w:r>
              <w:rPr/>
              <w:t> </w:t>
            </w:r>
          </w:p>
        </w:tc>
        <w:tc>
          <w:tcPr>
            <w:tcW w:w="902"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137"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Dalia Litay</w:t>
            </w:r>
          </w:p>
        </w:tc>
      </w:tr>
      <w:tr>
        <w:trPr/>
        <w:tc>
          <w:tcPr>
            <w:tcW w:w="2570" w:type="dxa"/>
            <w:tcBorders/>
            <w:vAlign w:val="center"/>
          </w:tcPr>
          <w:p>
            <w:pPr>
              <w:pStyle w:val="TableContents"/>
              <w:bidi w:val="0"/>
              <w:spacing w:before="0" w:after="283"/>
              <w:jc w:val="left"/>
              <w:rPr/>
            </w:pPr>
            <w:r>
              <w:rPr/>
              <w:t> </w:t>
            </w:r>
          </w:p>
        </w:tc>
        <w:tc>
          <w:tcPr>
            <w:tcW w:w="902" w:type="dxa"/>
            <w:tcBorders/>
            <w:vAlign w:val="center"/>
          </w:tcPr>
          <w:p>
            <w:pPr>
              <w:pStyle w:val="TableContents"/>
              <w:bidi w:val="0"/>
              <w:spacing w:before="0" w:after="283"/>
              <w:jc w:val="left"/>
              <w:rPr/>
            </w:pPr>
            <w:r>
              <w:rPr/>
              <w:t>Title:</w:t>
            </w:r>
          </w:p>
        </w:tc>
        <w:tc>
          <w:tcPr>
            <w:tcW w:w="3137" w:type="dxa"/>
            <w:tcBorders/>
            <w:vAlign w:val="center"/>
          </w:tcPr>
          <w:p>
            <w:pPr>
              <w:pStyle w:val="TableContents"/>
              <w:bidi w:val="0"/>
              <w:spacing w:before="0" w:after="283"/>
              <w:jc w:val="left"/>
              <w:rPr/>
            </w:pPr>
            <w:r>
              <w:rPr/>
              <w:t>Chief Legal Officer</w:t>
            </w:r>
          </w:p>
        </w:tc>
      </w:tr>
    </w:tbl>
    <w:p>
      <w:pPr>
        <w:pStyle w:val="TextBody"/>
        <w:bidi w:val="0"/>
        <w:spacing w:before="0" w:after="283"/>
        <w:jc w:val="left"/>
        <w:rPr/>
      </w:pPr>
      <w:r>
        <w:rPr/>
        <w:t> </w:t>
      </w:r>
    </w:p>
    <w:p>
      <w:pPr>
        <w:pStyle w:val="TextBody"/>
        <w:bidi w:val="0"/>
        <w:spacing w:before="60" w:after="24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490</Words>
  <Characters>2801</Characters>
  <CharactersWithSpaces>3298</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