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00" w:lineRule="exact"/>
        <w:rPr>
          <w:sz w:val="24"/>
          <w:szCs w:val="24"/>
          <w:color w:val="auto"/>
        </w:rPr>
      </w:pPr>
    </w:p>
    <w:p>
      <w:pPr>
        <w:ind w:left="1260" w:hanging="658"/>
        <w:spacing w:after="0"/>
        <w:tabs>
          <w:tab w:leader="none" w:pos="126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93" w:lineRule="exact"/>
        <w:rPr>
          <w:sz w:val="24"/>
          <w:szCs w:val="24"/>
          <w:color w:val="auto"/>
        </w:rPr>
      </w:pPr>
    </w:p>
    <w:p>
      <w:pPr>
        <w:ind w:left="1260" w:hanging="658"/>
        <w:spacing w:after="0"/>
        <w:tabs>
          <w:tab w:leader="none" w:pos="126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304" w:lineRule="exact"/>
        <w:rPr>
          <w:rFonts w:ascii="MS PGothic" w:cs="MS PGothic" w:eastAsia="MS PGothic" w:hAnsi="MS PGothic"/>
          <w:sz w:val="17"/>
          <w:szCs w:val="17"/>
          <w:color w:val="auto"/>
          <w:highlight w:val="black"/>
        </w:rPr>
      </w:pPr>
    </w:p>
    <w:p>
      <w:pPr>
        <w:ind w:left="362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8"/>
          <w:szCs w:val="18"/>
          <w:b w:val="1"/>
          <w:bCs w:val="1"/>
          <w:color w:val="auto"/>
        </w:rPr>
        <w:t>For the transition period from _________ to __________</w:t>
      </w:r>
    </w:p>
    <w:p>
      <w:pPr>
        <w:spacing w:after="0" w:line="292" w:lineRule="exact"/>
        <w:rPr>
          <w:rFonts w:ascii="MS PGothic" w:cs="MS PGothic" w:eastAsia="MS PGothic" w:hAnsi="MS PGothic"/>
          <w:sz w:val="17"/>
          <w:szCs w:val="17"/>
          <w:color w:val="auto"/>
          <w:highlight w:val="black"/>
        </w:rPr>
      </w:pPr>
    </w:p>
    <w:p>
      <w:pPr>
        <w:ind w:left="436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8"/>
          <w:szCs w:val="18"/>
          <w:b w:val="1"/>
          <w:bCs w:val="1"/>
          <w:color w:val="auto"/>
        </w:rPr>
        <w:t>Commission File Number: 001-36894</w:t>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SOLAREDGE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0"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813" w:right="339" w:bottom="0" w:gutter="0" w:footer="0" w:header="0"/>
        </w:sectPr>
      </w:pPr>
    </w:p>
    <w:p>
      <w:pPr>
        <w:spacing w:after="0" w:line="293"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3"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20-5338862</w:t>
      </w:r>
    </w:p>
    <w:p>
      <w:pPr>
        <w:spacing w:after="0" w:line="31"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2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2">
            <w:col w:w="7000" w:space="720"/>
            <w:col w:w="3520"/>
          </w:cols>
          <w:pgMar w:left="320" w:top="813" w:right="3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HaMada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Herziliya Pituach, 4673335, Israel</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84"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972 (9) 957-6620</w:t>
      </w:r>
    </w:p>
    <w:p>
      <w:pPr>
        <w:sectPr>
          <w:pgSz w:w="11900" w:h="16838" w:orient="portrait"/>
          <w:cols w:equalWidth="0" w:num="1">
            <w:col w:w="11240"/>
          </w:cols>
          <w:pgMar w:left="320" w:top="813" w:right="339" w:bottom="0" w:gutter="0" w:footer="0" w:header="0"/>
          <w:type w:val="continuous"/>
        </w:sectPr>
      </w:pPr>
    </w:p>
    <w:p>
      <w:pPr>
        <w:spacing w:after="0" w:line="293"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7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95" w:lineRule="exact"/>
        <w:rPr>
          <w:sz w:val="24"/>
          <w:szCs w:val="24"/>
          <w:color w:val="auto"/>
        </w:rPr>
      </w:pPr>
    </w:p>
    <w:tbl>
      <w:tblPr>
        <w:tblLayout w:type="fixed"/>
        <w:tblInd w:w="10" w:type="dxa"/>
        <w:tblCellMar>
          <w:top w:w="0" w:type="dxa"/>
          <w:left w:w="0" w:type="dxa"/>
          <w:bottom w:w="0" w:type="dxa"/>
          <w:right w:w="0" w:type="dxa"/>
        </w:tblCellMar>
      </w:tblPr>
      <w:tr>
        <w:trPr>
          <w:trHeight w:val="280"/>
        </w:trPr>
        <w:tc>
          <w:tcPr>
            <w:tcW w:w="4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0"/>
        </w:trPr>
        <w:tc>
          <w:tcPr>
            <w:tcW w:w="4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SEDG</w:t>
            </w:r>
          </w:p>
        </w:tc>
        <w:tc>
          <w:tcPr>
            <w:tcW w:w="4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48"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97" w:lineRule="exact"/>
        <w:rPr>
          <w:sz w:val="24"/>
          <w:szCs w:val="24"/>
          <w:color w:val="auto"/>
        </w:rPr>
      </w:pPr>
    </w:p>
    <w:p>
      <w:pPr>
        <w:jc w:val="both"/>
        <w:ind w:left="40" w:right="20" w:firstLine="644"/>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requirements for the past 90 days.</w:t>
      </w:r>
    </w:p>
    <w:p>
      <w:pPr>
        <w:spacing w:after="0" w:line="234"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333" w:lineRule="exact"/>
        <w:rPr>
          <w:sz w:val="24"/>
          <w:szCs w:val="24"/>
          <w:color w:val="auto"/>
        </w:rPr>
      </w:pPr>
    </w:p>
    <w:p>
      <w:pPr>
        <w:ind w:left="740" w:right="120" w:firstLine="20"/>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63"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333" w:lineRule="exact"/>
        <w:rPr>
          <w:sz w:val="24"/>
          <w:szCs w:val="24"/>
          <w:color w:val="auto"/>
        </w:rPr>
      </w:pPr>
    </w:p>
    <w:p>
      <w:pPr>
        <w:ind w:left="780" w:right="120" w:firstLine="677"/>
        <w:spacing w:after="0" w:line="28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w:t>
      </w:r>
    </w:p>
    <w:p>
      <w:pPr>
        <w:spacing w:after="0" w:line="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“emerging growth company” in Rule 12b-2 of the Exchange Act.</w:t>
      </w:r>
    </w:p>
    <w:p>
      <w:pPr>
        <w:spacing w:after="0" w:line="234" w:lineRule="exact"/>
        <w:rPr>
          <w:sz w:val="24"/>
          <w:szCs w:val="24"/>
          <w:color w:val="auto"/>
        </w:rPr>
      </w:pPr>
    </w:p>
    <w:tbl>
      <w:tblPr>
        <w:tblLayout w:type="fixed"/>
        <w:tblInd w:w="480" w:type="dxa"/>
        <w:tblCellMar>
          <w:top w:w="0" w:type="dxa"/>
          <w:left w:w="0" w:type="dxa"/>
          <w:bottom w:w="0" w:type="dxa"/>
          <w:right w:w="0" w:type="dxa"/>
        </w:tblCellMar>
      </w:tblPr>
      <w:tr>
        <w:trPr>
          <w:trHeight w:val="229"/>
        </w:trPr>
        <w:tc>
          <w:tcPr>
            <w:tcW w:w="3100" w:type="dxa"/>
            <w:vAlign w:val="bottom"/>
          </w:tcPr>
          <w:p>
            <w:pPr>
              <w:jc w:val="center"/>
              <w:ind w:right="1390"/>
              <w:spacing w:after="0"/>
              <w:rPr>
                <w:sz w:val="20"/>
                <w:szCs w:val="20"/>
                <w:color w:val="auto"/>
              </w:rPr>
            </w:pPr>
            <w:r>
              <w:rPr>
                <w:rFonts w:ascii="Times New Roman" w:cs="Times New Roman" w:eastAsia="Times New Roman" w:hAnsi="Times New Roman"/>
                <w:sz w:val="18"/>
                <w:szCs w:val="18"/>
                <w:color w:val="auto"/>
              </w:rPr>
              <w:t>Large accelerated filer</w:t>
            </w:r>
          </w:p>
        </w:tc>
        <w:tc>
          <w:tcPr>
            <w:tcW w:w="312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3100" w:type="dxa"/>
            <w:vAlign w:val="bottom"/>
          </w:tcPr>
          <w:p>
            <w:pPr>
              <w:jc w:val="center"/>
              <w:ind w:right="1390"/>
              <w:spacing w:after="0"/>
              <w:rPr>
                <w:sz w:val="20"/>
                <w:szCs w:val="20"/>
                <w:color w:val="auto"/>
              </w:rPr>
            </w:pPr>
            <w:r>
              <w:rPr>
                <w:rFonts w:ascii="Times New Roman" w:cs="Times New Roman" w:eastAsia="Times New Roman" w:hAnsi="Times New Roman"/>
                <w:sz w:val="18"/>
                <w:szCs w:val="18"/>
                <w:color w:val="auto"/>
              </w:rPr>
              <w:t>Non-accelerated filer</w:t>
            </w:r>
          </w:p>
        </w:tc>
        <w:tc>
          <w:tcPr>
            <w:tcW w:w="312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9"/>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88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37" w:lineRule="exact"/>
        <w:rPr>
          <w:sz w:val="24"/>
          <w:szCs w:val="24"/>
          <w:color w:val="auto"/>
        </w:rPr>
      </w:pPr>
    </w:p>
    <w:p>
      <w:pPr>
        <w:jc w:val="both"/>
        <w:ind w:right="160" w:firstLine="648"/>
        <w:spacing w:after="0" w:line="24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813" w:right="339" w:bottom="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color w:val="auto"/>
        </w:rPr>
        <w:t>Indicate by checkmark whether the registrant is a shell company (as defined in Rule 12b-2 of the Exchange Act).</w:t>
      </w:r>
    </w:p>
    <w:p>
      <w:pPr>
        <w:spacing w:after="0" w:line="252" w:lineRule="exact"/>
        <w:rPr>
          <w:sz w:val="20"/>
          <w:szCs w:val="20"/>
          <w:color w:val="auto"/>
        </w:rPr>
      </w:pPr>
    </w:p>
    <w:p>
      <w:pPr>
        <w:jc w:val="center"/>
        <w:ind w:right="-39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November 1, 2025, there were 59,800,051 shares of the registrant’s common stock, par value of $0.0001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487680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40"/>
          </w:cols>
          <w:pgMar w:left="920" w:top="121" w:right="1339" w:bottom="1440" w:gutter="0" w:footer="0" w:header="0"/>
        </w:sectPr>
      </w:pPr>
    </w:p>
    <w:bookmarkStart w:id="2" w:name="page3"/>
    <w:bookmarkEnd w:id="2"/>
    <w:p>
      <w:pPr>
        <w:ind w:left="48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ITEM 1. Financial Statements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Condensed Consolidated Balance Sheets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Condensed Consolidated Statements of Income (Loss)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Condensed Consolidated Statements of Comprehensive Income (Loss)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Condensed Consolidated Statements of Stockholders’ Equity</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Condensed Consolidated Statements of Cash Flows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Notes to the Condensed Consolidated Financial Statements (unaudited)</w:t>
      </w:r>
    </w:p>
    <w:p>
      <w:pPr>
        <w:spacing w:after="0" w:line="23" w:lineRule="exact"/>
        <w:rPr>
          <w:sz w:val="20"/>
          <w:szCs w:val="20"/>
          <w:color w:val="auto"/>
        </w:rPr>
      </w:pPr>
    </w:p>
    <w:p>
      <w:pPr>
        <w:ind w:right="2700"/>
        <w:spacing w:after="0" w:line="279" w:lineRule="auto"/>
        <w:rPr>
          <w:sz w:val="20"/>
          <w:szCs w:val="20"/>
          <w:color w:val="auto"/>
        </w:rPr>
      </w:pPr>
      <w:r>
        <w:rPr>
          <w:rFonts w:ascii="Times New Roman" w:cs="Times New Roman" w:eastAsia="Times New Roman" w:hAnsi="Times New Roman"/>
          <w:sz w:val="18"/>
          <w:szCs w:val="18"/>
          <w:u w:val="single" w:color="auto"/>
          <w:color w:val="0000EE"/>
        </w:rPr>
        <w:t>ITEM 2. Management’s Discussion and Analysis of Financial Condition and Results of Operations ITEM 3. Quantitative and Qualitative Disclosures About Market Risk ITEM 4. Controls and Procedures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PART II.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ITEM 1. Legal Proceedings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ITEM 1A. Risk Factors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ITEM 2. Unregistered Sales of Equity Securities and Use of Proceeds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ITEM 3. Defaults upon Senior Securities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ITEM 4. Mine Safety Disclosures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ITEM 5. Other Information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ITEM 6. Exhibits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INDEX</w:t>
      </w:r>
    </w:p>
    <w:p>
      <w:pPr>
        <w:spacing w:after="0" w:line="28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F-1</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F-1</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F-1</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F-3</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F-4</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F-5</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F-7</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F-9</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w:t>
      </w: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20</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20</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20</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21</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21</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22</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22</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22</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22</w:t>
      </w:r>
    </w:p>
    <w:p>
      <w:pPr>
        <w:sectPr>
          <w:pgSz w:w="11900" w:h="16838" w:orient="portrait"/>
          <w:cols w:equalWidth="0" w:num="2">
            <w:col w:w="9820" w:space="720"/>
            <w:col w:w="260"/>
          </w:cols>
          <w:pgMar w:left="320" w:top="387" w:right="7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9"/>
        </w:trPr>
        <w:tc>
          <w:tcPr>
            <w:tcW w:w="380" w:type="dxa"/>
            <w:vAlign w:val="bottom"/>
          </w:tcPr>
          <w:p>
            <w:pPr>
              <w:spacing w:after="0"/>
              <w:rPr>
                <w:sz w:val="24"/>
                <w:szCs w:val="24"/>
                <w:color w:val="auto"/>
              </w:rPr>
            </w:pPr>
          </w:p>
        </w:tc>
        <w:tc>
          <w:tcPr>
            <w:tcW w:w="8300" w:type="dxa"/>
            <w:vAlign w:val="bottom"/>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w w:val="99"/>
              </w:rPr>
              <w:t>SOLAREDGE TECHNOLOGIES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380" w:type="dxa"/>
            <w:vAlign w:val="bottom"/>
          </w:tcPr>
          <w:p>
            <w:pPr>
              <w:spacing w:after="0"/>
              <w:rPr>
                <w:sz w:val="24"/>
                <w:szCs w:val="24"/>
                <w:color w:val="auto"/>
              </w:rPr>
            </w:pPr>
          </w:p>
        </w:tc>
        <w:tc>
          <w:tcPr>
            <w:tcW w:w="8300" w:type="dxa"/>
            <w:vAlign w:val="bottom"/>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(Unaudited)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9"/>
        </w:trPr>
        <w:tc>
          <w:tcPr>
            <w:tcW w:w="380" w:type="dxa"/>
            <w:vAlign w:val="bottom"/>
          </w:tcPr>
          <w:p>
            <w:pPr>
              <w:spacing w:after="0"/>
              <w:rPr>
                <w:sz w:val="24"/>
                <w:szCs w:val="24"/>
                <w:color w:val="auto"/>
              </w:rPr>
            </w:pPr>
          </w:p>
        </w:tc>
        <w:tc>
          <w:tcPr>
            <w:tcW w:w="8300" w:type="dxa"/>
            <w:vAlign w:val="bottom"/>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38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9"/>
        </w:trPr>
        <w:tc>
          <w:tcPr>
            <w:tcW w:w="38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439,515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274,611</w:t>
            </w:r>
          </w:p>
        </w:tc>
      </w:tr>
      <w:tr>
        <w:trPr>
          <w:trHeight w:val="229"/>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47,481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135,328</w:t>
            </w:r>
          </w:p>
        </w:tc>
      </w:tr>
      <w:tr>
        <w:trPr>
          <w:trHeight w:val="230"/>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59,064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311,279</w:t>
            </w:r>
          </w:p>
        </w:tc>
      </w:tr>
      <w:tr>
        <w:trPr>
          <w:trHeight w:val="229"/>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Trade receivables, net of allowances of $20,840 and $43,038, respectively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286,258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160,423</w:t>
            </w:r>
          </w:p>
        </w:tc>
      </w:tr>
      <w:tr>
        <w:trPr>
          <w:trHeight w:val="230"/>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530,799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645,897</w:t>
            </w:r>
          </w:p>
        </w:tc>
      </w:tr>
      <w:tr>
        <w:trPr>
          <w:trHeight w:val="236"/>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404,399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523,027</w:t>
            </w:r>
          </w:p>
        </w:tc>
      </w:tr>
      <w:tr>
        <w:trPr>
          <w:trHeight w:val="210"/>
        </w:trPr>
        <w:tc>
          <w:tcPr>
            <w:tcW w:w="8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1,767,516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2,050,565</w:t>
            </w:r>
          </w:p>
        </w:tc>
        <w:tc>
          <w:tcPr>
            <w:tcW w:w="100" w:type="dxa"/>
            <w:vAlign w:val="bottom"/>
            <w:shd w:val="clear" w:color="auto" w:fill="CCEEFF"/>
          </w:tcPr>
          <w:p>
            <w:pPr>
              <w:spacing w:after="0"/>
              <w:rPr>
                <w:sz w:val="18"/>
                <w:szCs w:val="18"/>
                <w:color w:val="auto"/>
              </w:rPr>
            </w:pPr>
          </w:p>
        </w:tc>
      </w:tr>
      <w:tr>
        <w:trPr>
          <w:trHeight w:val="27"/>
        </w:trPr>
        <w:tc>
          <w:tcPr>
            <w:tcW w:w="380" w:type="dxa"/>
            <w:vAlign w:val="bottom"/>
            <w:tcBorders>
              <w:top w:val="single" w:sz="8" w:color="auto"/>
            </w:tcBorders>
            <w:shd w:val="clear" w:color="auto" w:fill="CCEEFF"/>
          </w:tcPr>
          <w:p>
            <w:pPr>
              <w:spacing w:after="0"/>
              <w:rPr>
                <w:sz w:val="2"/>
                <w:szCs w:val="2"/>
                <w:color w:val="auto"/>
              </w:rPr>
            </w:pPr>
          </w:p>
        </w:tc>
        <w:tc>
          <w:tcPr>
            <w:tcW w:w="83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88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88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42,597</w:t>
            </w:r>
          </w:p>
        </w:tc>
      </w:tr>
      <w:tr>
        <w:trPr>
          <w:trHeight w:val="229"/>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318,230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343,438</w:t>
            </w:r>
          </w:p>
        </w:tc>
      </w:tr>
      <w:tr>
        <w:trPr>
          <w:trHeight w:val="230"/>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41,937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41,393</w:t>
            </w:r>
          </w:p>
        </w:tc>
      </w:tr>
      <w:tr>
        <w:trPr>
          <w:trHeight w:val="229"/>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9,666</w:t>
            </w:r>
          </w:p>
        </w:tc>
      </w:tr>
      <w:tr>
        <w:trPr>
          <w:trHeight w:val="230"/>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50,520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48,380</w:t>
            </w:r>
          </w:p>
        </w:tc>
      </w:tr>
      <w:tr>
        <w:trPr>
          <w:trHeight w:val="229"/>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Loan receivables,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45,678</w:t>
            </w:r>
          </w:p>
        </w:tc>
      </w:tr>
      <w:tr>
        <w:trPr>
          <w:trHeight w:val="237"/>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46,353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64,736</w:t>
            </w:r>
          </w:p>
        </w:tc>
      </w:tr>
      <w:tr>
        <w:trPr>
          <w:trHeight w:val="175"/>
        </w:trPr>
        <w:tc>
          <w:tcPr>
            <w:tcW w:w="868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Total long-term assets</w:t>
            </w: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464,794</w:t>
            </w: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595,888</w:t>
            </w:r>
          </w:p>
        </w:tc>
        <w:tc>
          <w:tcPr>
            <w:tcW w:w="100" w:type="dxa"/>
            <w:vAlign w:val="bottom"/>
            <w:tcBorders>
              <w:top w:val="single" w:sz="8" w:color="CCEEFF"/>
            </w:tcBorders>
          </w:tcPr>
          <w:p>
            <w:pPr>
              <w:spacing w:after="0"/>
              <w:rPr>
                <w:sz w:val="15"/>
                <w:szCs w:val="15"/>
                <w:color w:val="auto"/>
              </w:rPr>
            </w:pPr>
          </w:p>
        </w:tc>
      </w:tr>
      <w:tr>
        <w:trPr>
          <w:trHeight w:val="41"/>
        </w:trPr>
        <w:tc>
          <w:tcPr>
            <w:tcW w:w="380" w:type="dxa"/>
            <w:vAlign w:val="bottom"/>
            <w:tcBorders>
              <w:top w:val="single" w:sz="8" w:color="auto"/>
            </w:tcBorders>
          </w:tcPr>
          <w:p>
            <w:pPr>
              <w:spacing w:after="0"/>
              <w:rPr>
                <w:sz w:val="3"/>
                <w:szCs w:val="3"/>
                <w:color w:val="auto"/>
              </w:rPr>
            </w:pPr>
          </w:p>
        </w:tc>
        <w:tc>
          <w:tcPr>
            <w:tcW w:w="83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8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2,232,310</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2,646,453</w:t>
            </w:r>
          </w:p>
        </w:tc>
        <w:tc>
          <w:tcPr>
            <w:tcW w:w="100" w:type="dxa"/>
            <w:vAlign w:val="bottom"/>
            <w:shd w:val="clear" w:color="auto" w:fill="CCEEFF"/>
          </w:tcPr>
          <w:p>
            <w:pPr>
              <w:spacing w:after="0"/>
              <w:rPr>
                <w:sz w:val="21"/>
                <w:szCs w:val="21"/>
                <w:color w:val="auto"/>
              </w:rPr>
            </w:pPr>
          </w:p>
        </w:tc>
      </w:tr>
      <w:tr>
        <w:trPr>
          <w:trHeight w:val="20"/>
        </w:trPr>
        <w:tc>
          <w:tcPr>
            <w:tcW w:w="380" w:type="dxa"/>
            <w:vAlign w:val="bottom"/>
            <w:tcBorders>
              <w:top w:val="single" w:sz="8" w:color="auto"/>
            </w:tcBorders>
            <w:shd w:val="clear" w:color="auto" w:fill="CCEEFF"/>
          </w:tcPr>
          <w:p>
            <w:pPr>
              <w:spacing w:after="0" w:line="20" w:lineRule="exact"/>
              <w:rPr>
                <w:sz w:val="1"/>
                <w:szCs w:val="1"/>
                <w:color w:val="auto"/>
              </w:rPr>
            </w:pPr>
          </w:p>
        </w:tc>
        <w:tc>
          <w:tcPr>
            <w:tcW w:w="8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5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SOLAREDGE TECHNOLOGIES INC. | 2025 Form 10-Q | F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 w:name="page5"/>
    <w:bookmarkEnd w:id="4"/>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29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 (Cont.)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8300" w:type="dxa"/>
            <w:vAlign w:val="bottom"/>
          </w:tcPr>
          <w:p>
            <w:pPr>
              <w:ind w:left="400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38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38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Trade payables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283,505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107,543</w:t>
            </w:r>
          </w:p>
        </w:tc>
        <w:tc>
          <w:tcPr>
            <w:tcW w:w="0" w:type="dxa"/>
            <w:vAlign w:val="bottom"/>
          </w:tcPr>
          <w:p>
            <w:pPr>
              <w:spacing w:after="0"/>
              <w:rPr>
                <w:sz w:val="1"/>
                <w:szCs w:val="1"/>
                <w:color w:val="auto"/>
              </w:rPr>
            </w:pPr>
          </w:p>
        </w:tc>
      </w:tr>
      <w:tr>
        <w:trPr>
          <w:trHeight w:val="230"/>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Employees and payroll accruals</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70,829</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76,292</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Warranty obligations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111,738</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140,249</w:t>
            </w:r>
          </w:p>
        </w:tc>
        <w:tc>
          <w:tcPr>
            <w:tcW w:w="0" w:type="dxa"/>
            <w:vAlign w:val="bottom"/>
          </w:tcPr>
          <w:p>
            <w:pPr>
              <w:spacing w:after="0"/>
              <w:rPr>
                <w:sz w:val="1"/>
                <w:szCs w:val="1"/>
                <w:color w:val="auto"/>
              </w:rPr>
            </w:pPr>
          </w:p>
        </w:tc>
      </w:tr>
      <w:tr>
        <w:trPr>
          <w:trHeight w:val="229"/>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Deferred revenues and customers advances</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45,873</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140,870</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262,842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246,078</w:t>
            </w:r>
          </w:p>
        </w:tc>
        <w:tc>
          <w:tcPr>
            <w:tcW w:w="0" w:type="dxa"/>
            <w:vAlign w:val="bottom"/>
          </w:tcPr>
          <w:p>
            <w:pPr>
              <w:spacing w:after="0"/>
              <w:rPr>
                <w:sz w:val="1"/>
                <w:szCs w:val="1"/>
                <w:color w:val="auto"/>
              </w:rPr>
            </w:pPr>
          </w:p>
        </w:tc>
      </w:tr>
      <w:tr>
        <w:trPr>
          <w:trHeight w:val="237"/>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346,305</w:t>
            </w:r>
          </w:p>
        </w:tc>
        <w:tc>
          <w:tcPr>
            <w:tcW w:w="0" w:type="dxa"/>
            <w:vAlign w:val="bottom"/>
          </w:tcPr>
          <w:p>
            <w:pPr>
              <w:spacing w:after="0"/>
              <w:rPr>
                <w:sz w:val="1"/>
                <w:szCs w:val="1"/>
                <w:color w:val="auto"/>
              </w:rPr>
            </w:pPr>
          </w:p>
        </w:tc>
      </w:tr>
      <w:tr>
        <w:trPr>
          <w:trHeight w:val="209"/>
        </w:trPr>
        <w:tc>
          <w:tcPr>
            <w:tcW w:w="8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774,787</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1,057,337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0" w:type="dxa"/>
            <w:vAlign w:val="bottom"/>
            <w:tcBorders>
              <w:top w:val="single" w:sz="8" w:color="auto"/>
            </w:tcBorders>
            <w:shd w:val="clear" w:color="auto" w:fill="CCEEFF"/>
          </w:tcPr>
          <w:p>
            <w:pPr>
              <w:spacing w:after="0"/>
              <w:rPr>
                <w:sz w:val="2"/>
                <w:szCs w:val="2"/>
                <w:color w:val="auto"/>
              </w:rPr>
            </w:pPr>
          </w:p>
        </w:tc>
        <w:tc>
          <w:tcPr>
            <w:tcW w:w="8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331,169</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330,006</w:t>
            </w:r>
          </w:p>
        </w:tc>
        <w:tc>
          <w:tcPr>
            <w:tcW w:w="0" w:type="dxa"/>
            <w:vAlign w:val="bottom"/>
          </w:tcPr>
          <w:p>
            <w:pPr>
              <w:spacing w:after="0"/>
              <w:rPr>
                <w:sz w:val="1"/>
                <w:szCs w:val="1"/>
                <w:color w:val="auto"/>
              </w:rPr>
            </w:pPr>
          </w:p>
        </w:tc>
      </w:tr>
      <w:tr>
        <w:trPr>
          <w:trHeight w:val="230"/>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Warranty obligations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283,106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292,116</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277,131</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231,049</w:t>
            </w:r>
          </w:p>
        </w:tc>
        <w:tc>
          <w:tcPr>
            <w:tcW w:w="0" w:type="dxa"/>
            <w:vAlign w:val="bottom"/>
          </w:tcPr>
          <w:p>
            <w:pPr>
              <w:spacing w:after="0"/>
              <w:rPr>
                <w:sz w:val="1"/>
                <w:szCs w:val="1"/>
                <w:color w:val="auto"/>
              </w:rPr>
            </w:pPr>
          </w:p>
        </w:tc>
      </w:tr>
      <w:tr>
        <w:trPr>
          <w:trHeight w:val="229"/>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40,959</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39,159</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29,961</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30,018</w:t>
            </w:r>
          </w:p>
        </w:tc>
        <w:tc>
          <w:tcPr>
            <w:tcW w:w="0" w:type="dxa"/>
            <w:vAlign w:val="bottom"/>
          </w:tcPr>
          <w:p>
            <w:pPr>
              <w:spacing w:after="0"/>
              <w:rPr>
                <w:sz w:val="1"/>
                <w:szCs w:val="1"/>
                <w:color w:val="auto"/>
              </w:rPr>
            </w:pPr>
          </w:p>
        </w:tc>
      </w:tr>
      <w:tr>
        <w:trPr>
          <w:trHeight w:val="236"/>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15,437</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8,426</w:t>
            </w:r>
          </w:p>
        </w:tc>
        <w:tc>
          <w:tcPr>
            <w:tcW w:w="0" w:type="dxa"/>
            <w:vAlign w:val="bottom"/>
          </w:tcPr>
          <w:p>
            <w:pPr>
              <w:spacing w:after="0"/>
              <w:rPr>
                <w:sz w:val="1"/>
                <w:szCs w:val="1"/>
                <w:color w:val="auto"/>
              </w:rPr>
            </w:pPr>
          </w:p>
        </w:tc>
      </w:tr>
      <w:tr>
        <w:trPr>
          <w:trHeight w:val="210"/>
        </w:trPr>
        <w:tc>
          <w:tcPr>
            <w:tcW w:w="8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long-term liabilities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977,763</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930,774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0" w:type="dxa"/>
            <w:vAlign w:val="bottom"/>
            <w:tcBorders>
              <w:top w:val="single" w:sz="8" w:color="auto"/>
            </w:tcBorders>
            <w:shd w:val="clear" w:color="auto" w:fill="CCEEFF"/>
          </w:tcPr>
          <w:p>
            <w:pPr>
              <w:spacing w:after="0"/>
              <w:rPr>
                <w:sz w:val="2"/>
                <w:szCs w:val="2"/>
                <w:color w:val="auto"/>
              </w:rPr>
            </w:pPr>
          </w:p>
        </w:tc>
        <w:tc>
          <w:tcPr>
            <w:tcW w:w="8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Common stock of $0.0001 par value - Authorized: 125,000,000 shares; issued: 59,800,052 shares as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of September 30, 2025 and 58,780,490 shares as of December 31, 2024; outstanding: 59,559,546</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shares as of September 30, 2025 and 58,027,126 shares as of December 31, 2024.</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6"/>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1,861,340</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1,813,198</w:t>
            </w:r>
          </w:p>
        </w:tc>
        <w:tc>
          <w:tcPr>
            <w:tcW w:w="0" w:type="dxa"/>
            <w:vAlign w:val="bottom"/>
          </w:tcPr>
          <w:p>
            <w:pPr>
              <w:spacing w:after="0"/>
              <w:rPr>
                <w:sz w:val="1"/>
                <w:szCs w:val="1"/>
                <w:color w:val="auto"/>
              </w:rPr>
            </w:pPr>
          </w:p>
        </w:tc>
      </w:tr>
      <w:tr>
        <w:trPr>
          <w:trHeight w:val="211"/>
        </w:trPr>
        <w:tc>
          <w:tcPr>
            <w:tcW w:w="8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Treasury stock, at cost; 240,506 and 753,364 stocks held as of September 30, 2025 and December 31, 2024,</w:t>
            </w:r>
          </w:p>
        </w:tc>
        <w:tc>
          <w:tcPr>
            <w:tcW w:w="220" w:type="dxa"/>
            <w:vAlign w:val="bottom"/>
          </w:tcPr>
          <w:p>
            <w:pPr>
              <w:spacing w:after="0"/>
              <w:rPr>
                <w:sz w:val="18"/>
                <w:szCs w:val="18"/>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(16,024)</w:t>
            </w:r>
          </w:p>
        </w:tc>
        <w:tc>
          <w:tcPr>
            <w:tcW w:w="220" w:type="dxa"/>
            <w:vAlign w:val="bottom"/>
          </w:tcPr>
          <w:p>
            <w:pPr>
              <w:spacing w:after="0"/>
              <w:rPr>
                <w:sz w:val="18"/>
                <w:szCs w:val="18"/>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(50,194)</w:t>
            </w:r>
          </w:p>
        </w:tc>
        <w:tc>
          <w:tcPr>
            <w:tcW w:w="0" w:type="dxa"/>
            <w:vAlign w:val="bottom"/>
          </w:tcPr>
          <w:p>
            <w:pPr>
              <w:spacing w:after="0"/>
              <w:rPr>
                <w:sz w:val="1"/>
                <w:szCs w:val="1"/>
                <w:color w:val="auto"/>
              </w:rPr>
            </w:pPr>
          </w:p>
        </w:tc>
      </w:tr>
      <w:tr>
        <w:trPr>
          <w:trHeight w:val="234"/>
        </w:trPr>
        <w:tc>
          <w:tcPr>
            <w:tcW w:w="8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(64,044)</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(76,477)</w:t>
            </w:r>
          </w:p>
        </w:tc>
        <w:tc>
          <w:tcPr>
            <w:tcW w:w="0" w:type="dxa"/>
            <w:vAlign w:val="bottom"/>
          </w:tcPr>
          <w:p>
            <w:pPr>
              <w:spacing w:after="0"/>
              <w:rPr>
                <w:sz w:val="1"/>
                <w:szCs w:val="1"/>
                <w:color w:val="auto"/>
              </w:rPr>
            </w:pPr>
          </w:p>
        </w:tc>
      </w:tr>
      <w:tr>
        <w:trPr>
          <w:trHeight w:val="236"/>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(1,301,518)</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(1,028,191)</w:t>
            </w:r>
          </w:p>
        </w:tc>
        <w:tc>
          <w:tcPr>
            <w:tcW w:w="0" w:type="dxa"/>
            <w:vAlign w:val="bottom"/>
          </w:tcPr>
          <w:p>
            <w:pPr>
              <w:spacing w:after="0"/>
              <w:rPr>
                <w:sz w:val="1"/>
                <w:szCs w:val="1"/>
                <w:color w:val="auto"/>
              </w:rPr>
            </w:pPr>
          </w:p>
        </w:tc>
      </w:tr>
      <w:tr>
        <w:trPr>
          <w:trHeight w:val="210"/>
        </w:trPr>
        <w:tc>
          <w:tcPr>
            <w:tcW w:w="8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479,760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658,342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0" w:type="dxa"/>
            <w:vAlign w:val="bottom"/>
            <w:tcBorders>
              <w:top w:val="single" w:sz="8" w:color="auto"/>
            </w:tcBorders>
            <w:shd w:val="clear" w:color="auto" w:fill="CCEEFF"/>
          </w:tcPr>
          <w:p>
            <w:pPr>
              <w:spacing w:after="0"/>
              <w:rPr>
                <w:sz w:val="2"/>
                <w:szCs w:val="2"/>
                <w:color w:val="auto"/>
              </w:rPr>
            </w:pPr>
          </w:p>
        </w:tc>
        <w:tc>
          <w:tcPr>
            <w:tcW w:w="8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2,232,310</w:t>
            </w:r>
          </w:p>
        </w:tc>
        <w:tc>
          <w:tcPr>
            <w:tcW w:w="220" w:type="dxa"/>
            <w:vAlign w:val="bottom"/>
          </w:tcPr>
          <w:p>
            <w:pPr>
              <w:spacing w:after="0"/>
              <w:rPr>
                <w:sz w:val="15"/>
                <w:szCs w:val="15"/>
                <w:color w:val="auto"/>
              </w:rPr>
            </w:pPr>
          </w:p>
        </w:tc>
        <w:tc>
          <w:tcPr>
            <w:tcW w:w="22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2,646,453</w:t>
            </w:r>
          </w:p>
        </w:tc>
        <w:tc>
          <w:tcPr>
            <w:tcW w:w="0" w:type="dxa"/>
            <w:vAlign w:val="bottom"/>
          </w:tcPr>
          <w:p>
            <w:pPr>
              <w:spacing w:after="0"/>
              <w:rPr>
                <w:sz w:val="1"/>
                <w:szCs w:val="1"/>
                <w:color w:val="auto"/>
              </w:rPr>
            </w:pPr>
          </w:p>
        </w:tc>
      </w:tr>
      <w:tr>
        <w:trPr>
          <w:trHeight w:val="34"/>
        </w:trPr>
        <w:tc>
          <w:tcPr>
            <w:tcW w:w="380" w:type="dxa"/>
            <w:vAlign w:val="bottom"/>
            <w:tcBorders>
              <w:top w:val="single" w:sz="8" w:color="auto"/>
            </w:tcBorders>
          </w:tcPr>
          <w:p>
            <w:pPr>
              <w:spacing w:after="0"/>
              <w:rPr>
                <w:sz w:val="2"/>
                <w:szCs w:val="2"/>
                <w:color w:val="auto"/>
              </w:rPr>
            </w:pPr>
          </w:p>
        </w:tc>
        <w:tc>
          <w:tcPr>
            <w:tcW w:w="8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SOLAREDGE TECHNOLOGIES INC. | 2025 Form 10-Q | 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 w:name="page6"/>
    <w:bookmarkEnd w:id="5"/>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29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LOSS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2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3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38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1"/>
                <w:szCs w:val="21"/>
                <w:color w:val="auto"/>
              </w:rPr>
            </w:pPr>
          </w:p>
        </w:tc>
        <w:tc>
          <w:tcPr>
            <w:tcW w:w="23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340,177</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235,435</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849,086</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705,239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268,034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963,229</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727,276</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1,470,189</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18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72,143</w:t>
            </w:r>
          </w:p>
        </w:tc>
        <w:tc>
          <w:tcPr>
            <w:tcW w:w="2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(727,794)</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121,810</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(764,950)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54,146</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70,372</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169,529</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214,999</w:t>
            </w:r>
          </w:p>
        </w:tc>
        <w:tc>
          <w:tcPr>
            <w:tcW w:w="0" w:type="dxa"/>
            <w:vAlign w:val="bottom"/>
          </w:tcPr>
          <w:p>
            <w:pPr>
              <w:spacing w:after="0"/>
              <w:rPr>
                <w:sz w:val="1"/>
                <w:szCs w:val="1"/>
                <w:color w:val="auto"/>
              </w:rPr>
            </w:pPr>
          </w:p>
        </w:tc>
      </w:tr>
      <w:tr>
        <w:trPr>
          <w:trHeight w:val="229"/>
        </w:trPr>
        <w:tc>
          <w:tcPr>
            <w:tcW w:w="4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37,427</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87,293</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116,316</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26,574</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41,212</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76,546</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111,085</w:t>
            </w:r>
          </w:p>
        </w:tc>
        <w:tc>
          <w:tcPr>
            <w:tcW w:w="0" w:type="dxa"/>
            <w:vAlign w:val="bottom"/>
          </w:tcPr>
          <w:p>
            <w:pPr>
              <w:spacing w:after="0"/>
              <w:rPr>
                <w:sz w:val="1"/>
                <w:szCs w:val="1"/>
                <w:color w:val="auto"/>
              </w:rPr>
            </w:pPr>
          </w:p>
        </w:tc>
      </w:tr>
      <w:tr>
        <w:trPr>
          <w:trHeight w:val="237"/>
        </w:trPr>
        <w:tc>
          <w:tcPr>
            <w:tcW w:w="4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(338)</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233,929</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41,811</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237,271</w:t>
            </w:r>
          </w:p>
        </w:tc>
        <w:tc>
          <w:tcPr>
            <w:tcW w:w="0" w:type="dxa"/>
            <w:vAlign w:val="bottom"/>
          </w:tcPr>
          <w:p>
            <w:pPr>
              <w:spacing w:after="0"/>
              <w:rPr>
                <w:sz w:val="1"/>
                <w:szCs w:val="1"/>
                <w:color w:val="auto"/>
              </w:rPr>
            </w:pPr>
          </w:p>
        </w:tc>
      </w:tr>
      <w:tr>
        <w:trPr>
          <w:trHeight w:val="210"/>
        </w:trPr>
        <w:tc>
          <w:tcPr>
            <w:tcW w:w="41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operating expenses</w:t>
            </w:r>
          </w:p>
        </w:tc>
        <w:tc>
          <w:tcPr>
            <w:tcW w:w="18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107,293</w:t>
            </w: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382,940</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375,179</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679,671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0" w:type="dxa"/>
            <w:vAlign w:val="bottom"/>
            <w:tcBorders>
              <w:top w:val="single" w:sz="8" w:color="auto"/>
            </w:tcBorders>
            <w:shd w:val="clear" w:color="auto" w:fill="CCEEFF"/>
          </w:tcPr>
          <w:p>
            <w:pPr>
              <w:spacing w:after="0"/>
              <w:rPr>
                <w:sz w:val="2"/>
                <w:szCs w:val="2"/>
                <w:color w:val="auto"/>
              </w:rPr>
            </w:pPr>
          </w:p>
        </w:tc>
        <w:tc>
          <w:tcPr>
            <w:tcW w:w="374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000000"/>
          </w:tcPr>
          <w:p>
            <w:pPr>
              <w:spacing w:after="0"/>
              <w:rPr>
                <w:sz w:val="2"/>
                <w:szCs w:val="2"/>
                <w:color w:val="auto"/>
              </w:rPr>
            </w:pPr>
          </w:p>
        </w:tc>
        <w:tc>
          <w:tcPr>
            <w:tcW w:w="920" w:type="dxa"/>
            <w:vAlign w:val="bottom"/>
            <w:tcBorders>
              <w:top w:val="single" w:sz="8" w:color="CCEEFF"/>
            </w:tcBorders>
            <w:shd w:val="clear" w:color="auto" w:fill="000000"/>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000000"/>
          </w:tcPr>
          <w:p>
            <w:pPr>
              <w:spacing w:after="0"/>
              <w:rPr>
                <w:sz w:val="2"/>
                <w:szCs w:val="2"/>
                <w:color w:val="auto"/>
              </w:rPr>
            </w:pPr>
          </w:p>
        </w:tc>
        <w:tc>
          <w:tcPr>
            <w:tcW w:w="92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000000"/>
          </w:tcPr>
          <w:p>
            <w:pPr>
              <w:spacing w:after="0"/>
              <w:rPr>
                <w:sz w:val="2"/>
                <w:szCs w:val="2"/>
                <w:color w:val="auto"/>
              </w:rPr>
            </w:pPr>
          </w:p>
        </w:tc>
        <w:tc>
          <w:tcPr>
            <w:tcW w:w="92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(35,150)</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(1,110,734)</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(253,369)</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(1,444,621)</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1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5,558</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5,785</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(2,371)</w:t>
            </w:r>
          </w:p>
        </w:tc>
        <w:tc>
          <w:tcPr>
            <w:tcW w:w="0" w:type="dxa"/>
            <w:vAlign w:val="bottom"/>
          </w:tcPr>
          <w:p>
            <w:pPr>
              <w:spacing w:after="0"/>
              <w:rPr>
                <w:sz w:val="1"/>
                <w:szCs w:val="1"/>
                <w:color w:val="auto"/>
              </w:rPr>
            </w:pPr>
          </w:p>
        </w:tc>
      </w:tr>
      <w:tr>
        <w:trPr>
          <w:trHeight w:val="237"/>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00"/>
              <w:spacing w:after="0" w:line="230" w:lineRule="exact"/>
              <w:rPr>
                <w:sz w:val="20"/>
                <w:szCs w:val="20"/>
                <w:color w:val="auto"/>
              </w:rPr>
            </w:pPr>
            <w:r>
              <w:rPr>
                <w:rFonts w:ascii="Times New Roman" w:cs="Times New Roman" w:eastAsia="Times New Roman" w:hAnsi="Times New Roman"/>
                <w:sz w:val="15"/>
                <w:szCs w:val="15"/>
                <w:color w:val="auto"/>
              </w:rPr>
              <w:t>(15,011</w:t>
            </w:r>
            <w:r>
              <w:rPr>
                <w:rFonts w:ascii="Times New Roman" w:cs="Times New Roman" w:eastAsia="Times New Roman" w:hAnsi="Times New Roman"/>
                <w:sz w:val="26"/>
                <w:szCs w:val="26"/>
                <w:color w:val="auto"/>
                <w:vertAlign w:val="subscript"/>
              </w:rPr>
              <w:t>)</w:t>
            </w: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(3,928)</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line="230" w:lineRule="exact"/>
              <w:rPr>
                <w:sz w:val="20"/>
                <w:szCs w:val="20"/>
                <w:color w:val="auto"/>
              </w:rPr>
            </w:pPr>
            <w:r>
              <w:rPr>
                <w:rFonts w:ascii="Times New Roman" w:cs="Times New Roman" w:eastAsia="Times New Roman" w:hAnsi="Times New Roman"/>
                <w:sz w:val="15"/>
                <w:szCs w:val="15"/>
                <w:color w:val="auto"/>
              </w:rPr>
              <w:t>(10,846</w:t>
            </w:r>
            <w:r>
              <w:rPr>
                <w:rFonts w:ascii="Times New Roman" w:cs="Times New Roman" w:eastAsia="Times New Roman" w:hAnsi="Times New Roman"/>
                <w:sz w:val="26"/>
                <w:szCs w:val="26"/>
                <w:color w:val="auto"/>
                <w:vertAlign w:val="subscript"/>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14,623</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6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(47,121)</w:t>
            </w:r>
          </w:p>
        </w:tc>
        <w:tc>
          <w:tcPr>
            <w:tcW w:w="26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(1,109,104)</w:t>
            </w:r>
          </w:p>
        </w:tc>
        <w:tc>
          <w:tcPr>
            <w:tcW w:w="2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(258,430)</w:t>
            </w:r>
          </w:p>
        </w:tc>
        <w:tc>
          <w:tcPr>
            <w:tcW w:w="2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(1,432,369)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(2,563)</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(121,108)</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(13,946)</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(85,109)</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equity method investments</w:t>
            </w:r>
          </w:p>
        </w:tc>
        <w:tc>
          <w:tcPr>
            <w:tcW w:w="1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(376)</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(577)</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7"/>
        </w:trPr>
        <w:tc>
          <w:tcPr>
            <w:tcW w:w="38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0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(50,060)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(1,230,789)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(273,327)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(1,518,918)</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basic and diluted loss per share of common stock</w:t>
            </w:r>
          </w:p>
        </w:tc>
        <w:tc>
          <w:tcPr>
            <w:tcW w:w="18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618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Weighted average number of shares used in computing net basic and diluted loss</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59,278,269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57,029,983</w:t>
            </w:r>
          </w:p>
        </w:tc>
        <w:tc>
          <w:tcPr>
            <w:tcW w:w="200" w:type="dxa"/>
            <w:vAlign w:val="bottom"/>
          </w:tcPr>
          <w:p>
            <w:pPr>
              <w:spacing w:after="0"/>
              <w:rPr>
                <w:sz w:val="17"/>
                <w:szCs w:val="17"/>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58,659,959</w:t>
            </w:r>
          </w:p>
        </w:tc>
        <w:tc>
          <w:tcPr>
            <w:tcW w:w="200" w:type="dxa"/>
            <w:vAlign w:val="bottom"/>
          </w:tcPr>
          <w:p>
            <w:pPr>
              <w:spacing w:after="0"/>
              <w:rPr>
                <w:sz w:val="17"/>
                <w:szCs w:val="17"/>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56,952,656</w:t>
            </w: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 share of common stock</w:t>
            </w:r>
          </w:p>
        </w:tc>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SOLAREDGE TECHNOLOGIES INC. | 2025 Form 10-Q | 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6" w:name="page7"/>
    <w:bookmarkEnd w:id="6"/>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29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33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4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40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9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(50,060)</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(1,230,789)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(273,327)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(1,518,918)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Available-for-sale marketable securities</w:t>
            </w:r>
          </w:p>
        </w:tc>
        <w:tc>
          <w:tcPr>
            <w:tcW w:w="1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2,975</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644</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4,470</w:t>
            </w:r>
          </w:p>
        </w:tc>
        <w:tc>
          <w:tcPr>
            <w:tcW w:w="0" w:type="dxa"/>
            <w:vAlign w:val="bottom"/>
          </w:tcPr>
          <w:p>
            <w:pPr>
              <w:spacing w:after="0"/>
              <w:rPr>
                <w:sz w:val="1"/>
                <w:szCs w:val="1"/>
                <w:color w:val="auto"/>
              </w:rPr>
            </w:pPr>
          </w:p>
        </w:tc>
      </w:tr>
      <w:tr>
        <w:trPr>
          <w:trHeight w:val="230"/>
        </w:trPr>
        <w:tc>
          <w:tcPr>
            <w:tcW w:w="4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flow hedges</w:t>
            </w: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(2,597)</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1,512</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(2,970)</w:t>
            </w:r>
          </w:p>
        </w:tc>
        <w:tc>
          <w:tcPr>
            <w:tcW w:w="0" w:type="dxa"/>
            <w:vAlign w:val="bottom"/>
          </w:tcPr>
          <w:p>
            <w:pPr>
              <w:spacing w:after="0"/>
              <w:rPr>
                <w:sz w:val="1"/>
                <w:szCs w:val="1"/>
                <w:color w:val="auto"/>
              </w:rPr>
            </w:pPr>
          </w:p>
        </w:tc>
      </w:tr>
      <w:tr>
        <w:trPr>
          <w:trHeight w:val="211"/>
        </w:trPr>
        <w:tc>
          <w:tcPr>
            <w:tcW w:w="62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 on intra-entity transactions that are</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13,555</w:t>
            </w:r>
          </w:p>
        </w:tc>
        <w:tc>
          <w:tcPr>
            <w:tcW w:w="24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694</w:t>
            </w:r>
          </w:p>
        </w:tc>
        <w:tc>
          <w:tcPr>
            <w:tcW w:w="2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(7,408)</w:t>
            </w:r>
          </w:p>
        </w:tc>
        <w:tc>
          <w:tcPr>
            <w:tcW w:w="0" w:type="dxa"/>
            <w:vAlign w:val="bottom"/>
          </w:tcPr>
          <w:p>
            <w:pPr>
              <w:spacing w:after="0"/>
              <w:rPr>
                <w:sz w:val="1"/>
                <w:szCs w:val="1"/>
                <w:color w:val="auto"/>
              </w:rPr>
            </w:pPr>
          </w:p>
        </w:tc>
      </w:tr>
      <w:tr>
        <w:trPr>
          <w:trHeight w:val="234"/>
        </w:trPr>
        <w:tc>
          <w:tcPr>
            <w:tcW w:w="4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of a long-term investment nature</w:t>
            </w:r>
          </w:p>
        </w:tc>
        <w:tc>
          <w:tcPr>
            <w:tcW w:w="1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(3,497)</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3,604</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9,583</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(4,460)</w:t>
            </w: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19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12,433</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1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(56,236)</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(1,210,092)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(260,894)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(1,529,286)</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SOLAREDGE TECHNOLOGIES INC. | 2025 Form 10-Q | 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Balance as of January 1, 2025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upon exercise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awards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based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adjustments</w:t>
      </w:r>
    </w:p>
    <w:p>
      <w:pPr>
        <w:spacing w:after="0" w:line="20" w:lineRule="exact"/>
        <w:rPr>
          <w:sz w:val="20"/>
          <w:szCs w:val="20"/>
          <w:color w:val="auto"/>
        </w:rPr>
      </w:pPr>
      <w:r>
        <w:rPr>
          <w:sz w:val="20"/>
          <w:szCs w:val="20"/>
          <w:color w:val="auto"/>
        </w:rPr>
        <w:br w:type="column"/>
      </w:r>
    </w:p>
    <w:p>
      <w:pPr>
        <w:ind w:left="2320"/>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29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27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gridSpan w:val="4"/>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300" w:type="dxa"/>
            <w:vAlign w:val="bottom"/>
            <w:tcBorders>
              <w:bottom w:val="single" w:sz="8" w:color="auto"/>
            </w:tcBorders>
            <w:gridSpan w:val="4"/>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paid in</w:t>
            </w:r>
          </w:p>
        </w:tc>
        <w:tc>
          <w:tcPr>
            <w:tcW w:w="160" w:type="dxa"/>
            <w:vAlign w:val="bottom"/>
          </w:tcPr>
          <w:p>
            <w:pPr>
              <w:spacing w:after="0"/>
              <w:rPr>
                <w:sz w:val="16"/>
                <w:szCs w:val="16"/>
                <w:color w:val="auto"/>
              </w:rPr>
            </w:pPr>
          </w:p>
        </w:tc>
        <w:tc>
          <w:tcPr>
            <w:tcW w:w="1180" w:type="dxa"/>
            <w:vAlign w:val="bottom"/>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Treasury</w:t>
            </w:r>
          </w:p>
        </w:tc>
        <w:tc>
          <w:tcPr>
            <w:tcW w:w="1340" w:type="dxa"/>
            <w:vAlign w:val="bottom"/>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220" w:type="dxa"/>
            <w:vAlign w:val="bottom"/>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432"/>
        </w:trPr>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58,027,126</w:t>
            </w:r>
          </w:p>
        </w:tc>
        <w:tc>
          <w:tcPr>
            <w:tcW w:w="10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1,813,198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(50,194)</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(76,477)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(1,028,191)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658,342</w:t>
            </w:r>
          </w:p>
        </w:tc>
        <w:tc>
          <w:tcPr>
            <w:tcW w:w="0" w:type="dxa"/>
            <w:vAlign w:val="bottom"/>
          </w:tcPr>
          <w:p>
            <w:pPr>
              <w:spacing w:after="0"/>
              <w:rPr>
                <w:sz w:val="1"/>
                <w:szCs w:val="1"/>
                <w:color w:val="auto"/>
              </w:rPr>
            </w:pPr>
          </w:p>
        </w:tc>
      </w:tr>
      <w:tr>
        <w:trPr>
          <w:trHeight w:val="675"/>
        </w:trPr>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263,327</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445"/>
        </w:trPr>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32,511</w:t>
            </w: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32,511</w:t>
            </w:r>
          </w:p>
        </w:tc>
        <w:tc>
          <w:tcPr>
            <w:tcW w:w="0" w:type="dxa"/>
            <w:vAlign w:val="bottom"/>
          </w:tcPr>
          <w:p>
            <w:pPr>
              <w:spacing w:after="0"/>
              <w:rPr>
                <w:sz w:val="1"/>
                <w:szCs w:val="1"/>
                <w:color w:val="auto"/>
              </w:rPr>
            </w:pPr>
          </w:p>
        </w:tc>
      </w:tr>
      <w:tr>
        <w:trPr>
          <w:trHeight w:val="446"/>
        </w:trPr>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-1268095</wp:posOffset>
            </wp:positionV>
            <wp:extent cx="7132320" cy="283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-556895</wp:posOffset>
            </wp:positionV>
            <wp:extent cx="7132320" cy="282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32" w:lineRule="exact"/>
        <w:rPr>
          <w:sz w:val="20"/>
          <w:szCs w:val="20"/>
          <w:color w:val="auto"/>
        </w:rPr>
      </w:pPr>
    </w:p>
    <w:p>
      <w:pPr>
        <w:sectPr>
          <w:pgSz w:w="11900" w:h="16838" w:orient="portrait"/>
          <w:cols w:equalWidth="0" w:num="2">
            <w:col w:w="1760" w:space="180"/>
            <w:col w:w="9300"/>
          </w:cols>
          <w:pgMar w:left="320" w:top="387" w:right="339" w:bottom="1440" w:gutter="0" w:footer="0" w:header="0"/>
        </w:sectPr>
      </w:pPr>
    </w:p>
    <w:tbl>
      <w:tblPr>
        <w:tblLayout w:type="fixed"/>
        <w:tblInd w:w="0" w:type="dxa"/>
        <w:tblCellMar>
          <w:top w:w="0" w:type="dxa"/>
          <w:left w:w="0" w:type="dxa"/>
          <w:bottom w:w="0" w:type="dxa"/>
          <w:right w:w="0" w:type="dxa"/>
        </w:tblCellMar>
      </w:tblPr>
      <w:tr>
        <w:trPr>
          <w:trHeight w:val="21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(98,523)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(98,523)</w:t>
            </w:r>
          </w:p>
        </w:tc>
        <w:tc>
          <w:tcPr>
            <w:tcW w:w="0" w:type="dxa"/>
            <w:vAlign w:val="bottom"/>
          </w:tcPr>
          <w:p>
            <w:pPr>
              <w:spacing w:after="0"/>
              <w:rPr>
                <w:sz w:val="1"/>
                <w:szCs w:val="1"/>
                <w:color w:val="auto"/>
              </w:rPr>
            </w:pPr>
          </w:p>
        </w:tc>
      </w:tr>
      <w:tr>
        <w:trPr>
          <w:trHeight w:val="27"/>
        </w:trPr>
        <w:tc>
          <w:tcPr>
            <w:tcW w:w="19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58,290,453</w:t>
            </w:r>
          </w:p>
        </w:tc>
        <w:tc>
          <w:tcPr>
            <w:tcW w:w="120" w:type="dxa"/>
            <w:vAlign w:val="bottom"/>
            <w:vMerge w:val="restart"/>
          </w:tcPr>
          <w:p>
            <w:pPr>
              <w:spacing w:after="0"/>
              <w:rPr>
                <w:sz w:val="18"/>
                <w:szCs w:val="18"/>
                <w:color w:val="auto"/>
              </w:rPr>
            </w:pPr>
          </w:p>
        </w:tc>
        <w:tc>
          <w:tcPr>
            <w:tcW w:w="6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1,845,719</w:t>
            </w: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(50,194)</w:t>
            </w:r>
          </w:p>
        </w:tc>
        <w:tc>
          <w:tcPr>
            <w:tcW w:w="320" w:type="dxa"/>
            <w:vAlign w:val="bottom"/>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(74,604)</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(1,126,714)</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594,213</w:t>
            </w: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19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Issuance of common</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upon exercise of</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awards</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330,739</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stock under employee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plan</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(512,858 shares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transferred from treasury</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512,858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(27,243)</w:t>
            </w:r>
          </w:p>
        </w:tc>
        <w:tc>
          <w:tcPr>
            <w:tcW w:w="3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34,170</w:t>
            </w:r>
          </w:p>
        </w:tc>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6,927</w:t>
            </w:r>
          </w:p>
        </w:tc>
        <w:tc>
          <w:tcPr>
            <w:tcW w:w="0" w:type="dxa"/>
            <w:vAlign w:val="bottom"/>
          </w:tcPr>
          <w:p>
            <w:pPr>
              <w:spacing w:after="0"/>
              <w:rPr>
                <w:sz w:val="1"/>
                <w:szCs w:val="1"/>
                <w:color w:val="auto"/>
              </w:rPr>
            </w:pPr>
          </w:p>
        </w:tc>
      </w:tr>
      <w:tr>
        <w:trPr>
          <w:trHeight w:val="218"/>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w:t>
            </w:r>
          </w:p>
        </w:tc>
        <w:tc>
          <w:tcPr>
            <w:tcW w:w="12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20,087</w:t>
            </w:r>
          </w:p>
        </w:tc>
        <w:tc>
          <w:tcPr>
            <w:tcW w:w="3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20,087</w:t>
            </w: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2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w:t>
            </w:r>
          </w:p>
        </w:tc>
        <w:tc>
          <w:tcPr>
            <w:tcW w:w="12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16,736</w:t>
            </w:r>
          </w:p>
        </w:tc>
        <w:tc>
          <w:tcPr>
            <w:tcW w:w="22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16,736</w:t>
            </w: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gain adjustments</w:t>
            </w:r>
          </w:p>
        </w:tc>
        <w:tc>
          <w:tcPr>
            <w:tcW w:w="12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(124,744)</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(124,744)</w:t>
            </w:r>
          </w:p>
        </w:tc>
        <w:tc>
          <w:tcPr>
            <w:tcW w:w="0" w:type="dxa"/>
            <w:vAlign w:val="bottom"/>
          </w:tcPr>
          <w:p>
            <w:pPr>
              <w:spacing w:after="0"/>
              <w:rPr>
                <w:sz w:val="1"/>
                <w:szCs w:val="1"/>
                <w:color w:val="auto"/>
              </w:rPr>
            </w:pPr>
          </w:p>
        </w:tc>
      </w:tr>
      <w:tr>
        <w:trPr>
          <w:trHeight w:val="27"/>
        </w:trPr>
        <w:tc>
          <w:tcPr>
            <w:tcW w:w="19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59,134,050</w:t>
            </w:r>
          </w:p>
        </w:tc>
        <w:tc>
          <w:tcPr>
            <w:tcW w:w="120" w:type="dxa"/>
            <w:vAlign w:val="bottom"/>
            <w:vMerge w:val="restart"/>
          </w:tcPr>
          <w:p>
            <w:pPr>
              <w:spacing w:after="0"/>
              <w:rPr>
                <w:sz w:val="18"/>
                <w:szCs w:val="18"/>
                <w:color w:val="auto"/>
              </w:rPr>
            </w:pPr>
          </w:p>
        </w:tc>
        <w:tc>
          <w:tcPr>
            <w:tcW w:w="6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1,838,563</w:t>
            </w: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(16,024)</w:t>
            </w:r>
          </w:p>
        </w:tc>
        <w:tc>
          <w:tcPr>
            <w:tcW w:w="320" w:type="dxa"/>
            <w:vAlign w:val="bottom"/>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(57,868)</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(1,251,458)</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513,219</w:t>
            </w: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19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Issuance of common</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upon exercise of</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awards</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425,496</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210</w:t>
            </w:r>
          </w:p>
        </w:tc>
        <w:tc>
          <w:tcPr>
            <w:tcW w:w="3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Stock based</w:t>
            </w:r>
          </w:p>
        </w:tc>
        <w:tc>
          <w:tcPr>
            <w:tcW w:w="12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22,567</w:t>
            </w:r>
          </w:p>
        </w:tc>
        <w:tc>
          <w:tcPr>
            <w:tcW w:w="34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22,567</w:t>
            </w: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2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w:t>
            </w:r>
          </w:p>
        </w:tc>
        <w:tc>
          <w:tcPr>
            <w:tcW w:w="12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(6,176)</w:t>
            </w:r>
          </w:p>
        </w:tc>
        <w:tc>
          <w:tcPr>
            <w:tcW w:w="220" w:type="dxa"/>
            <w:vAlign w:val="bottom"/>
            <w:shd w:val="clear" w:color="auto" w:fill="CCEEFF"/>
          </w:tcPr>
          <w:p>
            <w:pPr>
              <w:spacing w:after="0"/>
              <w:rPr>
                <w:sz w:val="18"/>
                <w:szCs w:val="18"/>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(6,176)</w:t>
            </w: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adjustments</w:t>
            </w:r>
          </w:p>
        </w:tc>
        <w:tc>
          <w:tcPr>
            <w:tcW w:w="12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(50,060)</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(50,060)</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59,559,546</w:t>
            </w:r>
          </w:p>
        </w:tc>
        <w:tc>
          <w:tcPr>
            <w:tcW w:w="120" w:type="dxa"/>
            <w:vAlign w:val="bottom"/>
            <w:vMerge w:val="restart"/>
            <w:shd w:val="clear" w:color="auto" w:fill="CCEEFF"/>
          </w:tcPr>
          <w:p>
            <w:pPr>
              <w:spacing w:after="0"/>
              <w:rPr>
                <w:sz w:val="18"/>
                <w:szCs w:val="18"/>
                <w:color w:val="auto"/>
              </w:rPr>
            </w:pPr>
          </w:p>
        </w:tc>
        <w:tc>
          <w:tcPr>
            <w:tcW w:w="660" w:type="dxa"/>
            <w:vAlign w:val="bottom"/>
            <w:gridSpan w:val="2"/>
            <w:vMerge w:val="restart"/>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1,861,340</w:t>
            </w: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(16,024)</w:t>
            </w:r>
          </w:p>
        </w:tc>
        <w:tc>
          <w:tcPr>
            <w:tcW w:w="32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(64,044)</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(1,301,518)</w:t>
            </w: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479,760</w:t>
            </w:r>
          </w:p>
        </w:tc>
        <w:tc>
          <w:tcPr>
            <w:tcW w:w="0" w:type="dxa"/>
            <w:vAlign w:val="bottom"/>
          </w:tcPr>
          <w:p>
            <w:pPr>
              <w:spacing w:after="0"/>
              <w:rPr>
                <w:sz w:val="1"/>
                <w:szCs w:val="1"/>
                <w:color w:val="auto"/>
              </w:rPr>
            </w:pPr>
          </w:p>
        </w:tc>
      </w:tr>
      <w:tr>
        <w:trPr>
          <w:trHeight w:val="255"/>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30, 2025</w:t>
            </w:r>
          </w:p>
        </w:tc>
        <w:tc>
          <w:tcPr>
            <w:tcW w:w="1140" w:type="dxa"/>
            <w:vAlign w:val="bottom"/>
            <w:vMerge w:val="continue"/>
            <w:shd w:val="clear" w:color="auto" w:fill="CCEEFF"/>
          </w:tcPr>
          <w:p>
            <w:pPr>
              <w:spacing w:after="0"/>
              <w:rPr>
                <w:sz w:val="22"/>
                <w:szCs w:val="22"/>
                <w:color w:val="auto"/>
              </w:rPr>
            </w:pPr>
          </w:p>
        </w:tc>
        <w:tc>
          <w:tcPr>
            <w:tcW w:w="120" w:type="dxa"/>
            <w:vAlign w:val="bottom"/>
            <w:vMerge w:val="continue"/>
            <w:shd w:val="clear" w:color="auto" w:fill="CCEEFF"/>
          </w:tcPr>
          <w:p>
            <w:pPr>
              <w:spacing w:after="0"/>
              <w:rPr>
                <w:sz w:val="22"/>
                <w:szCs w:val="22"/>
                <w:color w:val="auto"/>
              </w:rPr>
            </w:pPr>
          </w:p>
        </w:tc>
        <w:tc>
          <w:tcPr>
            <w:tcW w:w="660" w:type="dxa"/>
            <w:vAlign w:val="bottom"/>
            <w:gridSpan w:val="2"/>
            <w:vMerge w:val="continue"/>
            <w:shd w:val="clear" w:color="auto" w:fill="CCEEFF"/>
          </w:tcPr>
          <w:p>
            <w:pPr>
              <w:spacing w:after="0"/>
              <w:rPr>
                <w:sz w:val="22"/>
                <w:szCs w:val="22"/>
                <w:color w:val="auto"/>
              </w:rPr>
            </w:pPr>
          </w:p>
        </w:tc>
        <w:tc>
          <w:tcPr>
            <w:tcW w:w="720" w:type="dxa"/>
            <w:vAlign w:val="bottom"/>
            <w:gridSpan w:val="2"/>
            <w:vMerge w:val="continue"/>
            <w:shd w:val="clear" w:color="auto" w:fill="CCEEFF"/>
          </w:tcPr>
          <w:p>
            <w:pPr>
              <w:spacing w:after="0"/>
              <w:rPr>
                <w:sz w:val="22"/>
                <w:szCs w:val="22"/>
                <w:color w:val="auto"/>
              </w:rPr>
            </w:pPr>
          </w:p>
        </w:tc>
        <w:tc>
          <w:tcPr>
            <w:tcW w:w="360" w:type="dxa"/>
            <w:vAlign w:val="bottom"/>
            <w:gridSpan w:val="2"/>
            <w:vMerge w:val="continue"/>
            <w:shd w:val="clear" w:color="auto" w:fill="CCEEFF"/>
          </w:tcPr>
          <w:p>
            <w:pPr>
              <w:spacing w:after="0"/>
              <w:rPr>
                <w:sz w:val="22"/>
                <w:szCs w:val="22"/>
                <w:color w:val="auto"/>
              </w:rPr>
            </w:pPr>
          </w:p>
        </w:tc>
        <w:tc>
          <w:tcPr>
            <w:tcW w:w="1080" w:type="dxa"/>
            <w:vAlign w:val="bottom"/>
            <w:gridSpan w:val="2"/>
            <w:vMerge w:val="continue"/>
            <w:shd w:val="clear" w:color="auto" w:fill="CCEEFF"/>
          </w:tcPr>
          <w:p>
            <w:pPr>
              <w:spacing w:after="0"/>
              <w:rPr>
                <w:sz w:val="22"/>
                <w:szCs w:val="22"/>
                <w:color w:val="auto"/>
              </w:rPr>
            </w:pPr>
          </w:p>
        </w:tc>
        <w:tc>
          <w:tcPr>
            <w:tcW w:w="340" w:type="dxa"/>
            <w:vAlign w:val="bottom"/>
            <w:vMerge w:val="continue"/>
            <w:shd w:val="clear" w:color="auto" w:fill="CCEEFF"/>
          </w:tcPr>
          <w:p>
            <w:pPr>
              <w:spacing w:after="0"/>
              <w:rPr>
                <w:sz w:val="22"/>
                <w:szCs w:val="22"/>
                <w:color w:val="auto"/>
              </w:rPr>
            </w:pPr>
          </w:p>
        </w:tc>
        <w:tc>
          <w:tcPr>
            <w:tcW w:w="1000" w:type="dxa"/>
            <w:vAlign w:val="bottom"/>
            <w:gridSpan w:val="2"/>
            <w:vMerge w:val="continue"/>
            <w:shd w:val="clear" w:color="auto" w:fill="CCEEFF"/>
          </w:tcPr>
          <w:p>
            <w:pPr>
              <w:spacing w:after="0"/>
              <w:rPr>
                <w:sz w:val="22"/>
                <w:szCs w:val="22"/>
                <w:color w:val="auto"/>
              </w:rPr>
            </w:pPr>
          </w:p>
        </w:tc>
        <w:tc>
          <w:tcPr>
            <w:tcW w:w="320" w:type="dxa"/>
            <w:vAlign w:val="bottom"/>
            <w:vMerge w:val="continue"/>
            <w:shd w:val="clear" w:color="auto" w:fill="CCEEFF"/>
          </w:tcPr>
          <w:p>
            <w:pPr>
              <w:spacing w:after="0"/>
              <w:rPr>
                <w:sz w:val="22"/>
                <w:szCs w:val="22"/>
                <w:color w:val="auto"/>
              </w:rPr>
            </w:pPr>
          </w:p>
        </w:tc>
        <w:tc>
          <w:tcPr>
            <w:tcW w:w="1020" w:type="dxa"/>
            <w:vAlign w:val="bottom"/>
            <w:gridSpan w:val="2"/>
            <w:vMerge w:val="continue"/>
            <w:shd w:val="clear" w:color="auto" w:fill="CCEEFF"/>
          </w:tcPr>
          <w:p>
            <w:pPr>
              <w:spacing w:after="0"/>
              <w:rPr>
                <w:sz w:val="22"/>
                <w:szCs w:val="22"/>
                <w:color w:val="auto"/>
              </w:rPr>
            </w:pPr>
          </w:p>
        </w:tc>
        <w:tc>
          <w:tcPr>
            <w:tcW w:w="220" w:type="dxa"/>
            <w:vAlign w:val="bottom"/>
            <w:vMerge w:val="continue"/>
            <w:shd w:val="clear" w:color="auto" w:fill="CCEEFF"/>
          </w:tcPr>
          <w:p>
            <w:pPr>
              <w:spacing w:after="0"/>
              <w:rPr>
                <w:sz w:val="22"/>
                <w:szCs w:val="22"/>
                <w:color w:val="auto"/>
              </w:rPr>
            </w:pPr>
          </w:p>
        </w:tc>
        <w:tc>
          <w:tcPr>
            <w:tcW w:w="1100" w:type="dxa"/>
            <w:vAlign w:val="bottom"/>
            <w:gridSpan w:val="2"/>
            <w:vMerge w:val="continue"/>
            <w:shd w:val="clear" w:color="auto" w:fill="CCEEFF"/>
          </w:tcPr>
          <w:p>
            <w:pPr>
              <w:spacing w:after="0"/>
              <w:rPr>
                <w:sz w:val="22"/>
                <w:szCs w:val="22"/>
                <w:color w:val="auto"/>
              </w:rPr>
            </w:pPr>
          </w:p>
        </w:tc>
        <w:tc>
          <w:tcPr>
            <w:tcW w:w="280" w:type="dxa"/>
            <w:vAlign w:val="bottom"/>
            <w:vMerge w:val="continue"/>
            <w:shd w:val="clear" w:color="auto" w:fill="CCEEFF"/>
          </w:tcPr>
          <w:p>
            <w:pPr>
              <w:spacing w:after="0"/>
              <w:rPr>
                <w:sz w:val="22"/>
                <w:szCs w:val="22"/>
                <w:color w:val="auto"/>
              </w:rPr>
            </w:pPr>
          </w:p>
        </w:tc>
        <w:tc>
          <w:tcPr>
            <w:tcW w:w="94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SOLAREDGE TECHNOLOGIES INC. | 2025 Form 10-Q | 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type w:val="continuous"/>
        </w:sectPr>
      </w:pPr>
    </w:p>
    <w:bookmarkStart w:id="8" w:name="page9"/>
    <w:bookmarkEnd w:id="8"/>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29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20" w:type="dxa"/>
            <w:vAlign w:val="bottom"/>
            <w:gridSpan w:val="9"/>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1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24"/>
                <w:szCs w:val="24"/>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300" w:type="dxa"/>
            <w:vAlign w:val="bottom"/>
            <w:gridSpan w:val="4"/>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940" w:type="dxa"/>
            <w:vAlign w:val="bottom"/>
          </w:tcPr>
          <w:p>
            <w:pPr>
              <w:spacing w:after="0"/>
              <w:rPr>
                <w:sz w:val="13"/>
                <w:szCs w:val="13"/>
                <w:color w:val="auto"/>
              </w:rPr>
            </w:pPr>
          </w:p>
        </w:tc>
        <w:tc>
          <w:tcPr>
            <w:tcW w:w="2300" w:type="dxa"/>
            <w:vAlign w:val="bottom"/>
            <w:tcBorders>
              <w:bottom w:val="single" w:sz="8" w:color="auto"/>
            </w:tcBorders>
            <w:gridSpan w:val="4"/>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60" w:type="dxa"/>
            <w:vAlign w:val="bottom"/>
          </w:tcPr>
          <w:p>
            <w:pPr>
              <w:spacing w:after="0"/>
              <w:rPr>
                <w:sz w:val="13"/>
                <w:szCs w:val="13"/>
                <w:color w:val="auto"/>
              </w:rPr>
            </w:pPr>
          </w:p>
        </w:tc>
        <w:tc>
          <w:tcPr>
            <w:tcW w:w="11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9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940" w:type="dxa"/>
            <w:vAlign w:val="bottom"/>
          </w:tcPr>
          <w:p>
            <w:pPr>
              <w:spacing w:after="0"/>
              <w:rPr>
                <w:sz w:val="22"/>
                <w:szCs w:val="22"/>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12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57,123,437</w:t>
            </w:r>
          </w:p>
        </w:tc>
        <w:tc>
          <w:tcPr>
            <w:tcW w:w="1020" w:type="dxa"/>
            <w:vAlign w:val="bottom"/>
            <w:gridSpan w:val="2"/>
            <w:vMerge w:val="restart"/>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1,680,622</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(46,885)</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778,166</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2,411,909</w:t>
            </w: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80" w:type="dxa"/>
            <w:vAlign w:val="bottom"/>
            <w:gridSpan w:val="2"/>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240" w:type="dxa"/>
            <w:vAlign w:val="bottom"/>
            <w:gridSpan w:val="2"/>
            <w:vMerge w:val="continue"/>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stock upon exercise of</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stock-based awards</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175,254</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8"/>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w:t>
            </w:r>
          </w:p>
        </w:tc>
        <w:tc>
          <w:tcPr>
            <w:tcW w:w="12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38,888</w:t>
            </w:r>
          </w:p>
        </w:tc>
        <w:tc>
          <w:tcPr>
            <w:tcW w:w="16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38,888</w:t>
            </w: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2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w:t>
            </w:r>
          </w:p>
        </w:tc>
        <w:tc>
          <w:tcPr>
            <w:tcW w:w="1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(505,896)</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(33,222)</w:t>
            </w:r>
          </w:p>
        </w:tc>
        <w:tc>
          <w:tcPr>
            <w:tcW w:w="220" w:type="dxa"/>
            <w:vAlign w:val="bottom"/>
          </w:tcPr>
          <w:p>
            <w:pPr>
              <w:spacing w:after="0"/>
              <w:rPr>
                <w:sz w:val="18"/>
                <w:szCs w:val="18"/>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(33,222)</w:t>
            </w: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c>
          <w:tcPr>
            <w:tcW w:w="12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w:t>
            </w:r>
          </w:p>
        </w:tc>
        <w:tc>
          <w:tcPr>
            <w:tcW w:w="12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(19,726)</w:t>
            </w:r>
          </w:p>
        </w:tc>
        <w:tc>
          <w:tcPr>
            <w:tcW w:w="16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(19,726)</w:t>
            </w: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adjustments</w:t>
            </w:r>
          </w:p>
        </w:tc>
        <w:tc>
          <w:tcPr>
            <w:tcW w:w="12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(157,311)</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(157,311)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56,792,795</w:t>
            </w:r>
          </w:p>
        </w:tc>
        <w:tc>
          <w:tcPr>
            <w:tcW w:w="140" w:type="dxa"/>
            <w:vAlign w:val="bottom"/>
            <w:vMerge w:val="restart"/>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1,719,523</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(33,222)</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(66,611)</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620,855</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2,240,551</w:t>
            </w:r>
          </w:p>
        </w:tc>
        <w:tc>
          <w:tcPr>
            <w:tcW w:w="0" w:type="dxa"/>
            <w:vAlign w:val="bottom"/>
          </w:tcPr>
          <w:p>
            <w:pPr>
              <w:spacing w:after="0"/>
              <w:rPr>
                <w:sz w:val="1"/>
                <w:szCs w:val="1"/>
                <w:color w:val="auto"/>
              </w:rPr>
            </w:pPr>
          </w:p>
        </w:tc>
      </w:tr>
      <w:tr>
        <w:trPr>
          <w:trHeight w:val="275"/>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140" w:type="dxa"/>
            <w:vAlign w:val="bottom"/>
            <w:vMerge w:val="continue"/>
            <w:shd w:val="clear" w:color="auto" w:fill="CCEEFF"/>
          </w:tcPr>
          <w:p>
            <w:pPr>
              <w:spacing w:after="0"/>
              <w:rPr>
                <w:sz w:val="23"/>
                <w:szCs w:val="23"/>
                <w:color w:val="auto"/>
              </w:rPr>
            </w:pPr>
          </w:p>
        </w:tc>
        <w:tc>
          <w:tcPr>
            <w:tcW w:w="140" w:type="dxa"/>
            <w:vAlign w:val="bottom"/>
            <w:vMerge w:val="continue"/>
            <w:shd w:val="clear" w:color="auto" w:fill="CCEEFF"/>
          </w:tcPr>
          <w:p>
            <w:pPr>
              <w:spacing w:after="0"/>
              <w:rPr>
                <w:sz w:val="23"/>
                <w:szCs w:val="23"/>
                <w:color w:val="auto"/>
              </w:rPr>
            </w:pPr>
          </w:p>
        </w:tc>
        <w:tc>
          <w:tcPr>
            <w:tcW w:w="1020" w:type="dxa"/>
            <w:vAlign w:val="bottom"/>
            <w:gridSpan w:val="2"/>
            <w:vMerge w:val="continue"/>
            <w:shd w:val="clear" w:color="auto" w:fill="CCEEFF"/>
          </w:tcPr>
          <w:p>
            <w:pPr>
              <w:spacing w:after="0"/>
              <w:rPr>
                <w:sz w:val="23"/>
                <w:szCs w:val="23"/>
                <w:color w:val="auto"/>
              </w:rPr>
            </w:pPr>
          </w:p>
        </w:tc>
        <w:tc>
          <w:tcPr>
            <w:tcW w:w="340" w:type="dxa"/>
            <w:vAlign w:val="bottom"/>
            <w:gridSpan w:val="2"/>
            <w:vMerge w:val="continue"/>
            <w:shd w:val="clear" w:color="auto" w:fill="CCEEFF"/>
          </w:tcPr>
          <w:p>
            <w:pPr>
              <w:spacing w:after="0"/>
              <w:rPr>
                <w:sz w:val="23"/>
                <w:szCs w:val="23"/>
                <w:color w:val="auto"/>
              </w:rPr>
            </w:pPr>
          </w:p>
        </w:tc>
        <w:tc>
          <w:tcPr>
            <w:tcW w:w="240" w:type="dxa"/>
            <w:vAlign w:val="bottom"/>
            <w:gridSpan w:val="2"/>
            <w:vMerge w:val="continue"/>
            <w:shd w:val="clear" w:color="auto" w:fill="CCEEFF"/>
          </w:tcPr>
          <w:p>
            <w:pPr>
              <w:spacing w:after="0"/>
              <w:rPr>
                <w:sz w:val="23"/>
                <w:szCs w:val="23"/>
                <w:color w:val="auto"/>
              </w:rPr>
            </w:pPr>
          </w:p>
        </w:tc>
        <w:tc>
          <w:tcPr>
            <w:tcW w:w="1200" w:type="dxa"/>
            <w:vAlign w:val="bottom"/>
            <w:gridSpan w:val="2"/>
            <w:vMerge w:val="continue"/>
            <w:shd w:val="clear" w:color="auto" w:fill="CCEEFF"/>
          </w:tcPr>
          <w:p>
            <w:pPr>
              <w:spacing w:after="0"/>
              <w:rPr>
                <w:sz w:val="23"/>
                <w:szCs w:val="23"/>
                <w:color w:val="auto"/>
              </w:rPr>
            </w:pPr>
          </w:p>
        </w:tc>
        <w:tc>
          <w:tcPr>
            <w:tcW w:w="160" w:type="dxa"/>
            <w:vAlign w:val="bottom"/>
            <w:vMerge w:val="continue"/>
            <w:shd w:val="clear" w:color="auto" w:fill="CCEEFF"/>
          </w:tcPr>
          <w:p>
            <w:pPr>
              <w:spacing w:after="0"/>
              <w:rPr>
                <w:sz w:val="23"/>
                <w:szCs w:val="23"/>
                <w:color w:val="auto"/>
              </w:rPr>
            </w:pPr>
          </w:p>
        </w:tc>
        <w:tc>
          <w:tcPr>
            <w:tcW w:w="1180" w:type="dxa"/>
            <w:vAlign w:val="bottom"/>
            <w:gridSpan w:val="2"/>
            <w:vMerge w:val="continue"/>
            <w:shd w:val="clear" w:color="auto" w:fill="CCEEFF"/>
          </w:tcPr>
          <w:p>
            <w:pPr>
              <w:spacing w:after="0"/>
              <w:rPr>
                <w:sz w:val="23"/>
                <w:szCs w:val="23"/>
                <w:color w:val="auto"/>
              </w:rPr>
            </w:pPr>
          </w:p>
        </w:tc>
        <w:tc>
          <w:tcPr>
            <w:tcW w:w="220" w:type="dxa"/>
            <w:vAlign w:val="bottom"/>
            <w:vMerge w:val="continue"/>
            <w:shd w:val="clear" w:color="auto" w:fill="CCEEFF"/>
          </w:tcPr>
          <w:p>
            <w:pPr>
              <w:spacing w:after="0"/>
              <w:rPr>
                <w:sz w:val="23"/>
                <w:szCs w:val="23"/>
                <w:color w:val="auto"/>
              </w:rPr>
            </w:pPr>
          </w:p>
        </w:tc>
        <w:tc>
          <w:tcPr>
            <w:tcW w:w="1120" w:type="dxa"/>
            <w:vAlign w:val="bottom"/>
            <w:gridSpan w:val="2"/>
            <w:vMerge w:val="continue"/>
            <w:shd w:val="clear" w:color="auto" w:fill="CCEEFF"/>
          </w:tcPr>
          <w:p>
            <w:pPr>
              <w:spacing w:after="0"/>
              <w:rPr>
                <w:sz w:val="23"/>
                <w:szCs w:val="23"/>
                <w:color w:val="auto"/>
              </w:rPr>
            </w:pPr>
          </w:p>
        </w:tc>
        <w:tc>
          <w:tcPr>
            <w:tcW w:w="160" w:type="dxa"/>
            <w:vAlign w:val="bottom"/>
            <w:vMerge w:val="continue"/>
            <w:shd w:val="clear" w:color="auto" w:fill="CCEEFF"/>
          </w:tcPr>
          <w:p>
            <w:pPr>
              <w:spacing w:after="0"/>
              <w:rPr>
                <w:sz w:val="23"/>
                <w:szCs w:val="23"/>
                <w:color w:val="auto"/>
              </w:rPr>
            </w:pPr>
          </w:p>
        </w:tc>
        <w:tc>
          <w:tcPr>
            <w:tcW w:w="1160" w:type="dxa"/>
            <w:vAlign w:val="bottom"/>
            <w:gridSpan w:val="2"/>
            <w:vMerge w:val="continue"/>
            <w:shd w:val="clear" w:color="auto" w:fill="CCEEFF"/>
          </w:tcPr>
          <w:p>
            <w:pPr>
              <w:spacing w:after="0"/>
              <w:rPr>
                <w:sz w:val="23"/>
                <w:szCs w:val="23"/>
                <w:color w:val="auto"/>
              </w:rPr>
            </w:pPr>
          </w:p>
        </w:tc>
        <w:tc>
          <w:tcPr>
            <w:tcW w:w="220" w:type="dxa"/>
            <w:vAlign w:val="bottom"/>
            <w:vMerge w:val="continue"/>
            <w:shd w:val="clear" w:color="auto" w:fill="CCEEFF"/>
          </w:tcPr>
          <w:p>
            <w:pPr>
              <w:spacing w:after="0"/>
              <w:rPr>
                <w:sz w:val="23"/>
                <w:szCs w:val="23"/>
                <w:color w:val="auto"/>
              </w:rPr>
            </w:pPr>
          </w:p>
        </w:tc>
        <w:tc>
          <w:tcPr>
            <w:tcW w:w="1000" w:type="dxa"/>
            <w:vAlign w:val="bottom"/>
            <w:gridSpan w:val="2"/>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1940" w:type="dxa"/>
            <w:vAlign w:val="bottom"/>
            <w:tcBorders>
              <w:top w:val="single" w:sz="8" w:color="CCEEFF"/>
            </w:tcBorders>
          </w:tcPr>
          <w:p>
            <w:pPr>
              <w:spacing w:after="0" w:line="205" w:lineRule="exact"/>
              <w:rPr>
                <w:sz w:val="20"/>
                <w:szCs w:val="20"/>
                <w:color w:val="auto"/>
              </w:rPr>
            </w:pPr>
            <w:r>
              <w:rPr>
                <w:rFonts w:ascii="Times New Roman" w:cs="Times New Roman" w:eastAsia="Times New Roman" w:hAnsi="Times New Roman"/>
                <w:sz w:val="18"/>
                <w:szCs w:val="18"/>
                <w:color w:val="auto"/>
              </w:rPr>
              <w:t>Issuance of common</w:t>
            </w: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stock upon exercise of</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stock-based awards</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161,549</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8"/>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under employee</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purchase plan</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245,146</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10,208</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10,208</w:t>
            </w:r>
          </w:p>
        </w:tc>
        <w:tc>
          <w:tcPr>
            <w:tcW w:w="0" w:type="dxa"/>
            <w:vAlign w:val="bottom"/>
          </w:tcPr>
          <w:p>
            <w:pPr>
              <w:spacing w:after="0"/>
              <w:rPr>
                <w:sz w:val="1"/>
                <w:szCs w:val="1"/>
                <w:color w:val="auto"/>
              </w:rPr>
            </w:pPr>
          </w:p>
        </w:tc>
      </w:tr>
      <w:tr>
        <w:trPr>
          <w:trHeight w:val="21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Stock based</w:t>
            </w: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39,897</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39,897</w:t>
            </w: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2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w:t>
            </w:r>
          </w:p>
        </w:tc>
        <w:tc>
          <w:tcPr>
            <w:tcW w:w="1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(247,468)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(17,093)</w:t>
            </w:r>
          </w:p>
        </w:tc>
        <w:tc>
          <w:tcPr>
            <w:tcW w:w="22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(17,093)</w:t>
            </w: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w:t>
            </w:r>
          </w:p>
        </w:tc>
        <w:tc>
          <w:tcPr>
            <w:tcW w:w="12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Capped call transactions</w:t>
            </w: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(25,230)</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(25,230)</w:t>
            </w: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related to Notes 2029</w:t>
            </w:r>
          </w:p>
        </w:tc>
        <w:tc>
          <w:tcPr>
            <w:tcW w:w="12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w:t>
            </w:r>
          </w:p>
        </w:tc>
        <w:tc>
          <w:tcPr>
            <w:tcW w:w="12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(11,339)</w:t>
            </w:r>
          </w:p>
        </w:tc>
        <w:tc>
          <w:tcPr>
            <w:tcW w:w="16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(11,339)</w:t>
            </w: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adjustments</w:t>
            </w:r>
          </w:p>
        </w:tc>
        <w:tc>
          <w:tcPr>
            <w:tcW w:w="12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(130,818)</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(130,818)</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56,952,022</w:t>
            </w:r>
          </w:p>
        </w:tc>
        <w:tc>
          <w:tcPr>
            <w:tcW w:w="140" w:type="dxa"/>
            <w:vAlign w:val="bottom"/>
            <w:vMerge w:val="restart"/>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1,744,411</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(50,315)</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(77,950)</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490,037</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2,106,189</w:t>
            </w:r>
          </w:p>
        </w:tc>
        <w:tc>
          <w:tcPr>
            <w:tcW w:w="0" w:type="dxa"/>
            <w:vAlign w:val="bottom"/>
          </w:tcPr>
          <w:p>
            <w:pPr>
              <w:spacing w:after="0"/>
              <w:rPr>
                <w:sz w:val="1"/>
                <w:szCs w:val="1"/>
                <w:color w:val="auto"/>
              </w:rPr>
            </w:pPr>
          </w:p>
        </w:tc>
      </w:tr>
      <w:tr>
        <w:trPr>
          <w:trHeight w:val="275"/>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140" w:type="dxa"/>
            <w:vAlign w:val="bottom"/>
            <w:vMerge w:val="continue"/>
            <w:shd w:val="clear" w:color="auto" w:fill="CCEEFF"/>
          </w:tcPr>
          <w:p>
            <w:pPr>
              <w:spacing w:after="0"/>
              <w:rPr>
                <w:sz w:val="23"/>
                <w:szCs w:val="23"/>
                <w:color w:val="auto"/>
              </w:rPr>
            </w:pPr>
          </w:p>
        </w:tc>
        <w:tc>
          <w:tcPr>
            <w:tcW w:w="140" w:type="dxa"/>
            <w:vAlign w:val="bottom"/>
            <w:vMerge w:val="continue"/>
            <w:shd w:val="clear" w:color="auto" w:fill="CCEEFF"/>
          </w:tcPr>
          <w:p>
            <w:pPr>
              <w:spacing w:after="0"/>
              <w:rPr>
                <w:sz w:val="23"/>
                <w:szCs w:val="23"/>
                <w:color w:val="auto"/>
              </w:rPr>
            </w:pPr>
          </w:p>
        </w:tc>
        <w:tc>
          <w:tcPr>
            <w:tcW w:w="1020" w:type="dxa"/>
            <w:vAlign w:val="bottom"/>
            <w:gridSpan w:val="2"/>
            <w:vMerge w:val="continue"/>
            <w:shd w:val="clear" w:color="auto" w:fill="CCEEFF"/>
          </w:tcPr>
          <w:p>
            <w:pPr>
              <w:spacing w:after="0"/>
              <w:rPr>
                <w:sz w:val="23"/>
                <w:szCs w:val="23"/>
                <w:color w:val="auto"/>
              </w:rPr>
            </w:pPr>
          </w:p>
        </w:tc>
        <w:tc>
          <w:tcPr>
            <w:tcW w:w="340" w:type="dxa"/>
            <w:vAlign w:val="bottom"/>
            <w:gridSpan w:val="2"/>
            <w:vMerge w:val="continue"/>
            <w:shd w:val="clear" w:color="auto" w:fill="CCEEFF"/>
          </w:tcPr>
          <w:p>
            <w:pPr>
              <w:spacing w:after="0"/>
              <w:rPr>
                <w:sz w:val="23"/>
                <w:szCs w:val="23"/>
                <w:color w:val="auto"/>
              </w:rPr>
            </w:pPr>
          </w:p>
        </w:tc>
        <w:tc>
          <w:tcPr>
            <w:tcW w:w="240" w:type="dxa"/>
            <w:vAlign w:val="bottom"/>
            <w:gridSpan w:val="2"/>
            <w:vMerge w:val="continue"/>
            <w:shd w:val="clear" w:color="auto" w:fill="CCEEFF"/>
          </w:tcPr>
          <w:p>
            <w:pPr>
              <w:spacing w:after="0"/>
              <w:rPr>
                <w:sz w:val="23"/>
                <w:szCs w:val="23"/>
                <w:color w:val="auto"/>
              </w:rPr>
            </w:pPr>
          </w:p>
        </w:tc>
        <w:tc>
          <w:tcPr>
            <w:tcW w:w="1200" w:type="dxa"/>
            <w:vAlign w:val="bottom"/>
            <w:gridSpan w:val="2"/>
            <w:vMerge w:val="continue"/>
            <w:shd w:val="clear" w:color="auto" w:fill="CCEEFF"/>
          </w:tcPr>
          <w:p>
            <w:pPr>
              <w:spacing w:after="0"/>
              <w:rPr>
                <w:sz w:val="23"/>
                <w:szCs w:val="23"/>
                <w:color w:val="auto"/>
              </w:rPr>
            </w:pPr>
          </w:p>
        </w:tc>
        <w:tc>
          <w:tcPr>
            <w:tcW w:w="160" w:type="dxa"/>
            <w:vAlign w:val="bottom"/>
            <w:vMerge w:val="continue"/>
            <w:shd w:val="clear" w:color="auto" w:fill="CCEEFF"/>
          </w:tcPr>
          <w:p>
            <w:pPr>
              <w:spacing w:after="0"/>
              <w:rPr>
                <w:sz w:val="23"/>
                <w:szCs w:val="23"/>
                <w:color w:val="auto"/>
              </w:rPr>
            </w:pPr>
          </w:p>
        </w:tc>
        <w:tc>
          <w:tcPr>
            <w:tcW w:w="1180" w:type="dxa"/>
            <w:vAlign w:val="bottom"/>
            <w:gridSpan w:val="2"/>
            <w:vMerge w:val="continue"/>
            <w:shd w:val="clear" w:color="auto" w:fill="CCEEFF"/>
          </w:tcPr>
          <w:p>
            <w:pPr>
              <w:spacing w:after="0"/>
              <w:rPr>
                <w:sz w:val="23"/>
                <w:szCs w:val="23"/>
                <w:color w:val="auto"/>
              </w:rPr>
            </w:pPr>
          </w:p>
        </w:tc>
        <w:tc>
          <w:tcPr>
            <w:tcW w:w="220" w:type="dxa"/>
            <w:vAlign w:val="bottom"/>
            <w:vMerge w:val="continue"/>
            <w:shd w:val="clear" w:color="auto" w:fill="CCEEFF"/>
          </w:tcPr>
          <w:p>
            <w:pPr>
              <w:spacing w:after="0"/>
              <w:rPr>
                <w:sz w:val="23"/>
                <w:szCs w:val="23"/>
                <w:color w:val="auto"/>
              </w:rPr>
            </w:pPr>
          </w:p>
        </w:tc>
        <w:tc>
          <w:tcPr>
            <w:tcW w:w="1120" w:type="dxa"/>
            <w:vAlign w:val="bottom"/>
            <w:gridSpan w:val="2"/>
            <w:vMerge w:val="continue"/>
            <w:shd w:val="clear" w:color="auto" w:fill="CCEEFF"/>
          </w:tcPr>
          <w:p>
            <w:pPr>
              <w:spacing w:after="0"/>
              <w:rPr>
                <w:sz w:val="23"/>
                <w:szCs w:val="23"/>
                <w:color w:val="auto"/>
              </w:rPr>
            </w:pPr>
          </w:p>
        </w:tc>
        <w:tc>
          <w:tcPr>
            <w:tcW w:w="160" w:type="dxa"/>
            <w:vAlign w:val="bottom"/>
            <w:vMerge w:val="continue"/>
            <w:shd w:val="clear" w:color="auto" w:fill="CCEEFF"/>
          </w:tcPr>
          <w:p>
            <w:pPr>
              <w:spacing w:after="0"/>
              <w:rPr>
                <w:sz w:val="23"/>
                <w:szCs w:val="23"/>
                <w:color w:val="auto"/>
              </w:rPr>
            </w:pPr>
          </w:p>
        </w:tc>
        <w:tc>
          <w:tcPr>
            <w:tcW w:w="1160" w:type="dxa"/>
            <w:vAlign w:val="bottom"/>
            <w:gridSpan w:val="2"/>
            <w:vMerge w:val="continue"/>
            <w:shd w:val="clear" w:color="auto" w:fill="CCEEFF"/>
          </w:tcPr>
          <w:p>
            <w:pPr>
              <w:spacing w:after="0"/>
              <w:rPr>
                <w:sz w:val="23"/>
                <w:szCs w:val="23"/>
                <w:color w:val="auto"/>
              </w:rPr>
            </w:pPr>
          </w:p>
        </w:tc>
        <w:tc>
          <w:tcPr>
            <w:tcW w:w="220" w:type="dxa"/>
            <w:vAlign w:val="bottom"/>
            <w:vMerge w:val="continue"/>
            <w:shd w:val="clear" w:color="auto" w:fill="CCEEFF"/>
          </w:tcPr>
          <w:p>
            <w:pPr>
              <w:spacing w:after="0"/>
              <w:rPr>
                <w:sz w:val="23"/>
                <w:szCs w:val="23"/>
                <w:color w:val="auto"/>
              </w:rPr>
            </w:pPr>
          </w:p>
        </w:tc>
        <w:tc>
          <w:tcPr>
            <w:tcW w:w="1000" w:type="dxa"/>
            <w:vAlign w:val="bottom"/>
            <w:gridSpan w:val="2"/>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1940" w:type="dxa"/>
            <w:vAlign w:val="bottom"/>
            <w:tcBorders>
              <w:top w:val="single" w:sz="8" w:color="CCEEFF"/>
            </w:tcBorders>
          </w:tcPr>
          <w:p>
            <w:pPr>
              <w:spacing w:after="0" w:line="205" w:lineRule="exact"/>
              <w:rPr>
                <w:sz w:val="20"/>
                <w:szCs w:val="20"/>
                <w:color w:val="auto"/>
              </w:rPr>
            </w:pPr>
            <w:r>
              <w:rPr>
                <w:rFonts w:ascii="Times New Roman" w:cs="Times New Roman" w:eastAsia="Times New Roman" w:hAnsi="Times New Roman"/>
                <w:sz w:val="18"/>
                <w:szCs w:val="18"/>
                <w:color w:val="auto"/>
              </w:rPr>
              <w:t>Issuance of common</w:t>
            </w: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stock upon exercise of</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stock-based awards</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230,050</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8"/>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w:t>
            </w:r>
          </w:p>
        </w:tc>
        <w:tc>
          <w:tcPr>
            <w:tcW w:w="12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37,871</w:t>
            </w:r>
          </w:p>
        </w:tc>
        <w:tc>
          <w:tcPr>
            <w:tcW w:w="16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37,871</w:t>
            </w: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2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Capped call transactions</w:t>
            </w: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(3,112)</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(3,112)</w:t>
            </w: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related to Notes 2029</w:t>
            </w:r>
          </w:p>
        </w:tc>
        <w:tc>
          <w:tcPr>
            <w:tcW w:w="12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w:t>
            </w:r>
          </w:p>
        </w:tc>
        <w:tc>
          <w:tcPr>
            <w:tcW w:w="12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20,697</w:t>
            </w:r>
          </w:p>
        </w:tc>
        <w:tc>
          <w:tcPr>
            <w:tcW w:w="16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20,697</w:t>
            </w: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adjustments</w:t>
            </w:r>
          </w:p>
        </w:tc>
        <w:tc>
          <w:tcPr>
            <w:tcW w:w="12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(1,230,789)</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(1,230,789)</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57,182,072</w:t>
            </w:r>
          </w:p>
        </w:tc>
        <w:tc>
          <w:tcPr>
            <w:tcW w:w="140" w:type="dxa"/>
            <w:vAlign w:val="bottom"/>
            <w:vMerge w:val="restart"/>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1,779,212</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(50,315)</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(57,253)</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(740,752)</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930,898</w:t>
            </w:r>
          </w:p>
        </w:tc>
        <w:tc>
          <w:tcPr>
            <w:tcW w:w="0" w:type="dxa"/>
            <w:vAlign w:val="bottom"/>
          </w:tcPr>
          <w:p>
            <w:pPr>
              <w:spacing w:after="0"/>
              <w:rPr>
                <w:sz w:val="1"/>
                <w:szCs w:val="1"/>
                <w:color w:val="auto"/>
              </w:rPr>
            </w:pPr>
          </w:p>
        </w:tc>
      </w:tr>
      <w:tr>
        <w:trPr>
          <w:trHeight w:val="255"/>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30, 2024</w:t>
            </w:r>
          </w:p>
        </w:tc>
        <w:tc>
          <w:tcPr>
            <w:tcW w:w="1140" w:type="dxa"/>
            <w:vAlign w:val="bottom"/>
            <w:vMerge w:val="continue"/>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1020" w:type="dxa"/>
            <w:vAlign w:val="bottom"/>
            <w:gridSpan w:val="2"/>
            <w:vMerge w:val="continue"/>
            <w:shd w:val="clear" w:color="auto" w:fill="CCEEFF"/>
          </w:tcPr>
          <w:p>
            <w:pPr>
              <w:spacing w:after="0"/>
              <w:rPr>
                <w:sz w:val="22"/>
                <w:szCs w:val="22"/>
                <w:color w:val="auto"/>
              </w:rPr>
            </w:pPr>
          </w:p>
        </w:tc>
        <w:tc>
          <w:tcPr>
            <w:tcW w:w="340" w:type="dxa"/>
            <w:vAlign w:val="bottom"/>
            <w:gridSpan w:val="2"/>
            <w:vMerge w:val="continue"/>
            <w:shd w:val="clear" w:color="auto" w:fill="CCEEFF"/>
          </w:tcPr>
          <w:p>
            <w:pPr>
              <w:spacing w:after="0"/>
              <w:rPr>
                <w:sz w:val="22"/>
                <w:szCs w:val="22"/>
                <w:color w:val="auto"/>
              </w:rPr>
            </w:pPr>
          </w:p>
        </w:tc>
        <w:tc>
          <w:tcPr>
            <w:tcW w:w="240" w:type="dxa"/>
            <w:vAlign w:val="bottom"/>
            <w:gridSpan w:val="2"/>
            <w:vMerge w:val="continue"/>
            <w:shd w:val="clear" w:color="auto" w:fill="CCEEFF"/>
          </w:tcPr>
          <w:p>
            <w:pPr>
              <w:spacing w:after="0"/>
              <w:rPr>
                <w:sz w:val="22"/>
                <w:szCs w:val="22"/>
                <w:color w:val="auto"/>
              </w:rPr>
            </w:pPr>
          </w:p>
        </w:tc>
        <w:tc>
          <w:tcPr>
            <w:tcW w:w="1200" w:type="dxa"/>
            <w:vAlign w:val="bottom"/>
            <w:gridSpan w:val="2"/>
            <w:vMerge w:val="continue"/>
            <w:shd w:val="clear" w:color="auto" w:fill="CCEEFF"/>
          </w:tcPr>
          <w:p>
            <w:pPr>
              <w:spacing w:after="0"/>
              <w:rPr>
                <w:sz w:val="22"/>
                <w:szCs w:val="22"/>
                <w:color w:val="auto"/>
              </w:rPr>
            </w:pPr>
          </w:p>
        </w:tc>
        <w:tc>
          <w:tcPr>
            <w:tcW w:w="160" w:type="dxa"/>
            <w:vAlign w:val="bottom"/>
            <w:vMerge w:val="continue"/>
            <w:shd w:val="clear" w:color="auto" w:fill="CCEEFF"/>
          </w:tcPr>
          <w:p>
            <w:pPr>
              <w:spacing w:after="0"/>
              <w:rPr>
                <w:sz w:val="22"/>
                <w:szCs w:val="22"/>
                <w:color w:val="auto"/>
              </w:rPr>
            </w:pPr>
          </w:p>
        </w:tc>
        <w:tc>
          <w:tcPr>
            <w:tcW w:w="1180" w:type="dxa"/>
            <w:vAlign w:val="bottom"/>
            <w:gridSpan w:val="2"/>
            <w:vMerge w:val="continue"/>
            <w:shd w:val="clear" w:color="auto" w:fill="CCEEFF"/>
          </w:tcPr>
          <w:p>
            <w:pPr>
              <w:spacing w:after="0"/>
              <w:rPr>
                <w:sz w:val="22"/>
                <w:szCs w:val="22"/>
                <w:color w:val="auto"/>
              </w:rPr>
            </w:pPr>
          </w:p>
        </w:tc>
        <w:tc>
          <w:tcPr>
            <w:tcW w:w="220" w:type="dxa"/>
            <w:vAlign w:val="bottom"/>
            <w:vMerge w:val="continue"/>
            <w:shd w:val="clear" w:color="auto" w:fill="CCEEFF"/>
          </w:tcPr>
          <w:p>
            <w:pPr>
              <w:spacing w:after="0"/>
              <w:rPr>
                <w:sz w:val="22"/>
                <w:szCs w:val="22"/>
                <w:color w:val="auto"/>
              </w:rPr>
            </w:pPr>
          </w:p>
        </w:tc>
        <w:tc>
          <w:tcPr>
            <w:tcW w:w="1120" w:type="dxa"/>
            <w:vAlign w:val="bottom"/>
            <w:gridSpan w:val="2"/>
            <w:vMerge w:val="continue"/>
            <w:shd w:val="clear" w:color="auto" w:fill="CCEEFF"/>
          </w:tcPr>
          <w:p>
            <w:pPr>
              <w:spacing w:after="0"/>
              <w:rPr>
                <w:sz w:val="22"/>
                <w:szCs w:val="22"/>
                <w:color w:val="auto"/>
              </w:rPr>
            </w:pPr>
          </w:p>
        </w:tc>
        <w:tc>
          <w:tcPr>
            <w:tcW w:w="160" w:type="dxa"/>
            <w:vAlign w:val="bottom"/>
            <w:vMerge w:val="continue"/>
            <w:shd w:val="clear" w:color="auto" w:fill="CCEEFF"/>
          </w:tcPr>
          <w:p>
            <w:pPr>
              <w:spacing w:after="0"/>
              <w:rPr>
                <w:sz w:val="22"/>
                <w:szCs w:val="22"/>
                <w:color w:val="auto"/>
              </w:rPr>
            </w:pPr>
          </w:p>
        </w:tc>
        <w:tc>
          <w:tcPr>
            <w:tcW w:w="1160" w:type="dxa"/>
            <w:vAlign w:val="bottom"/>
            <w:gridSpan w:val="2"/>
            <w:vMerge w:val="continue"/>
            <w:shd w:val="clear" w:color="auto" w:fill="CCEEFF"/>
          </w:tcPr>
          <w:p>
            <w:pPr>
              <w:spacing w:after="0"/>
              <w:rPr>
                <w:sz w:val="22"/>
                <w:szCs w:val="22"/>
                <w:color w:val="auto"/>
              </w:rPr>
            </w:pPr>
          </w:p>
        </w:tc>
        <w:tc>
          <w:tcPr>
            <w:tcW w:w="220" w:type="dxa"/>
            <w:vAlign w:val="bottom"/>
            <w:vMerge w:val="continue"/>
            <w:shd w:val="clear" w:color="auto" w:fill="CCEEFF"/>
          </w:tcPr>
          <w:p>
            <w:pPr>
              <w:spacing w:after="0"/>
              <w:rPr>
                <w:sz w:val="22"/>
                <w:szCs w:val="22"/>
                <w:color w:val="auto"/>
              </w:rPr>
            </w:pPr>
          </w:p>
        </w:tc>
        <w:tc>
          <w:tcPr>
            <w:tcW w:w="100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an amount less than $1.</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7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SOLAREDGE TECHNOLOGIES INC. | 2025 Form 10-Q | 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9" w:name="page10"/>
    <w:bookmarkEnd w:id="9"/>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29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0" w:type="dxa"/>
            <w:vAlign w:val="bottom"/>
          </w:tcPr>
          <w:p>
            <w:pPr>
              <w:ind w:left="170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1"/>
        </w:trPr>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2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268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Cash flows from operating activities:</w:t>
            </w:r>
          </w:p>
        </w:tc>
        <w:tc>
          <w:tcPr>
            <w:tcW w:w="60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29"/>
        </w:trPr>
        <w:tc>
          <w:tcPr>
            <w:tcW w:w="86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(273,327)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(1,518,918)</w:t>
            </w:r>
          </w:p>
        </w:tc>
      </w:tr>
      <w:tr>
        <w:trPr>
          <w:trHeight w:val="229"/>
        </w:trPr>
        <w:tc>
          <w:tcPr>
            <w:tcW w:w="86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23,430</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47,215</w:t>
            </w:r>
          </w:p>
        </w:tc>
      </w:tr>
      <w:tr>
        <w:trPr>
          <w:trHeight w:val="229"/>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on impairment and disposal of property, plant and equipment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206,620</w:t>
            </w:r>
          </w:p>
        </w:tc>
      </w:tr>
      <w:tr>
        <w:trPr>
          <w:trHeight w:val="229"/>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Provision to write down inventories to net realizable value</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12,533</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638,966</w:t>
            </w:r>
          </w:p>
        </w:tc>
      </w:tr>
      <w:tr>
        <w:trPr>
          <w:trHeight w:val="230"/>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Impairment of asset held-for-sale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36,277</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24,725</w:t>
            </w:r>
          </w:p>
        </w:tc>
      </w:tr>
      <w:tr>
        <w:trPr>
          <w:trHeight w:val="230"/>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Impairment of privately-held companies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15,057</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29"/>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72,572</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112,818</w:t>
            </w:r>
          </w:p>
        </w:tc>
      </w:tr>
      <w:tr>
        <w:trPr>
          <w:trHeight w:val="229"/>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from business disposition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17,875</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(976)</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79,831</w:t>
            </w:r>
          </w:p>
        </w:tc>
      </w:tr>
      <w:tr>
        <w:trPr>
          <w:trHeight w:val="229"/>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Gain from repurchasing of convertible notes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(15,455)</w:t>
            </w:r>
          </w:p>
        </w:tc>
      </w:tr>
      <w:tr>
        <w:trPr>
          <w:trHeight w:val="229"/>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Loss from exchange rate fluctuations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8,243</w:t>
            </w:r>
          </w:p>
        </w:tc>
      </w:tr>
      <w:tr>
        <w:trPr>
          <w:trHeight w:val="230"/>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(gain) from sale of property, plant and equipment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(10,075)</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1,838</w:t>
            </w:r>
          </w:p>
        </w:tc>
      </w:tr>
      <w:tr>
        <w:trPr>
          <w:trHeight w:val="229"/>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Other items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(1,408)</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3,461</w:t>
            </w:r>
          </w:p>
        </w:tc>
      </w:tr>
      <w:tr>
        <w:trPr>
          <w:trHeight w:val="230"/>
        </w:trPr>
        <w:tc>
          <w:tcPr>
            <w:tcW w:w="86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Trade receivables, net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(124,459)</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379,214</w:t>
            </w:r>
          </w:p>
        </w:tc>
      </w:tr>
      <w:tr>
        <w:trPr>
          <w:trHeight w:val="230"/>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117,875</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15,858</w:t>
            </w:r>
          </w:p>
        </w:tc>
      </w:tr>
      <w:tr>
        <w:trPr>
          <w:trHeight w:val="229"/>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58,655</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74,108</w:t>
            </w:r>
          </w:p>
        </w:tc>
      </w:tr>
      <w:tr>
        <w:trPr>
          <w:trHeight w:val="230"/>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12,286</w:t>
            </w:r>
          </w:p>
        </w:tc>
      </w:tr>
      <w:tr>
        <w:trPr>
          <w:trHeight w:val="230"/>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Trade payables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175,906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(385,342)</w:t>
            </w:r>
          </w:p>
        </w:tc>
      </w:tr>
      <w:tr>
        <w:trPr>
          <w:trHeight w:val="230"/>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Warranty obligations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(37,316)</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(39,294)</w:t>
            </w:r>
          </w:p>
        </w:tc>
      </w:tr>
      <w:tr>
        <w:trPr>
          <w:trHeight w:val="230"/>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Deferred revenues and customers advances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(46,597)</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1,253</w:t>
            </w:r>
          </w:p>
        </w:tc>
      </w:tr>
      <w:tr>
        <w:trPr>
          <w:trHeight w:val="229"/>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(10,051)</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(11,881)</w:t>
            </w:r>
          </w:p>
        </w:tc>
      </w:tr>
      <w:tr>
        <w:trPr>
          <w:trHeight w:val="237"/>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8,330</w:t>
            </w:r>
          </w:p>
        </w:tc>
      </w:tr>
      <w:tr>
        <w:trPr>
          <w:trHeight w:val="236"/>
        </w:trPr>
        <w:tc>
          <w:tcPr>
            <w:tcW w:w="8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51,632</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(351,124)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76"/>
        </w:trPr>
        <w:tc>
          <w:tcPr>
            <w:tcW w:w="86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
        </w:trPr>
        <w:tc>
          <w:tcPr>
            <w:tcW w:w="26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Investment in available-for-sale marketable securities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(454,635)</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(200,919)</w:t>
            </w:r>
          </w:p>
        </w:tc>
      </w:tr>
      <w:tr>
        <w:trPr>
          <w:trHeight w:val="230"/>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Proceeds from maturities of available-for-sale marketable securities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682,866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632,866</w:t>
            </w:r>
          </w:p>
        </w:tc>
      </w:tr>
      <w:tr>
        <w:trPr>
          <w:trHeight w:val="229"/>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sales of available-for-sale marketable securities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76,288</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70,642</w:t>
            </w:r>
          </w:p>
        </w:tc>
      </w:tr>
      <w:tr>
        <w:trPr>
          <w:trHeight w:val="230"/>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(14,174)</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(95,905)</w:t>
            </w:r>
          </w:p>
        </w:tc>
      </w:tr>
      <w:tr>
        <w:trPr>
          <w:trHeight w:val="230"/>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Business combinations, net of cash acquired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(10,417)</w:t>
            </w:r>
          </w:p>
        </w:tc>
      </w:tr>
      <w:tr>
        <w:trPr>
          <w:trHeight w:val="230"/>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Proceeds from sale of investment in privately-held company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Business dispositions, net of cash sold</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(7,322)</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(2,598)</w:t>
            </w:r>
          </w:p>
        </w:tc>
      </w:tr>
      <w:tr>
        <w:trPr>
          <w:trHeight w:val="230"/>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38,026</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1,733</w:t>
            </w:r>
          </w:p>
        </w:tc>
      </w:tr>
      <w:tr>
        <w:trPr>
          <w:trHeight w:val="230"/>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Repayment related to governmental grant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(6,643)</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Disbursements for loans receivables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(37,500)</w:t>
            </w:r>
          </w:p>
        </w:tc>
      </w:tr>
      <w:tr>
        <w:trPr>
          <w:trHeight w:val="230"/>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Investment in privately-held companies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(25,742)</w:t>
            </w:r>
          </w:p>
        </w:tc>
      </w:tr>
      <w:tr>
        <w:trPr>
          <w:trHeight w:val="230"/>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loan receivables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50,743</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27,092</w:t>
            </w:r>
          </w:p>
        </w:tc>
      </w:tr>
      <w:tr>
        <w:trPr>
          <w:trHeight w:val="236"/>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(5,029)</w:t>
            </w:r>
          </w:p>
        </w:tc>
      </w:tr>
      <w:tr>
        <w:trPr>
          <w:trHeight w:val="236"/>
        </w:trPr>
        <w:tc>
          <w:tcPr>
            <w:tcW w:w="8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371,781</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344,223</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5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SOLAREDGE TECHNOLOGIES INC. | 2025 Form 10-Q | 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0" w:name="page11"/>
    <w:bookmarkEnd w:id="10"/>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29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 (Cont.)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6000" w:type="dxa"/>
            <w:vAlign w:val="bottom"/>
          </w:tcPr>
          <w:p>
            <w:pPr>
              <w:ind w:left="170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1"/>
        </w:trPr>
        <w:tc>
          <w:tcPr>
            <w:tcW w:w="268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268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268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26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Cash flows from financing activities:</w:t>
            </w:r>
          </w:p>
        </w:tc>
        <w:tc>
          <w:tcPr>
            <w:tcW w:w="60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30"/>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(50,315)</w:t>
            </w:r>
          </w:p>
        </w:tc>
      </w:tr>
      <w:tr>
        <w:trPr>
          <w:trHeight w:val="229"/>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issuance of Notes 2029, net of issuance costs</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329,214</w:t>
            </w:r>
          </w:p>
        </w:tc>
      </w:tr>
      <w:tr>
        <w:trPr>
          <w:trHeight w:val="229"/>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Capped call transactions related to Notes 2029</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(28,342)</w:t>
            </w:r>
          </w:p>
        </w:tc>
      </w:tr>
      <w:tr>
        <w:trPr>
          <w:trHeight w:val="230"/>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 for settlement of convertible notes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(342,250)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Repurchase of convertible debt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(5,093)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(267,900)</w:t>
            </w:r>
          </w:p>
        </w:tc>
      </w:tr>
      <w:tr>
        <w:trPr>
          <w:trHeight w:val="230"/>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(2,530)</w:t>
            </w:r>
          </w:p>
        </w:tc>
      </w:tr>
      <w:tr>
        <w:trPr>
          <w:trHeight w:val="27"/>
        </w:trPr>
        <w:tc>
          <w:tcPr>
            <w:tcW w:w="2680" w:type="dxa"/>
            <w:vAlign w:val="bottom"/>
            <w:shd w:val="clear" w:color="auto" w:fill="CCEEFF"/>
          </w:tcPr>
          <w:p>
            <w:pPr>
              <w:spacing w:after="0"/>
              <w:rPr>
                <w:sz w:val="2"/>
                <w:szCs w:val="2"/>
                <w:color w:val="auto"/>
              </w:rPr>
            </w:pPr>
          </w:p>
        </w:tc>
        <w:tc>
          <w:tcPr>
            <w:tcW w:w="60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(349,537)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(19,873)</w:t>
            </w:r>
          </w:p>
        </w:tc>
      </w:tr>
      <w:tr>
        <w:trPr>
          <w:trHeight w:val="21"/>
        </w:trPr>
        <w:tc>
          <w:tcPr>
            <w:tcW w:w="26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26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77,057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(34,564)</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409,939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338,468</w:t>
            </w:r>
          </w:p>
        </w:tc>
      </w:tr>
      <w:tr>
        <w:trPr>
          <w:trHeight w:val="270"/>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486,996</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303,904</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cash, cash equivalents and restricted cash per the statement of cash flows to the balance sheet: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439,515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303,904</w:t>
            </w:r>
          </w:p>
        </w:tc>
        <w:tc>
          <w:tcPr>
            <w:tcW w:w="100" w:type="dxa"/>
            <w:vAlign w:val="bottom"/>
            <w:shd w:val="clear" w:color="auto" w:fill="CCEEFF"/>
          </w:tcPr>
          <w:p>
            <w:pPr>
              <w:spacing w:after="0"/>
              <w:rPr>
                <w:sz w:val="19"/>
                <w:szCs w:val="19"/>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47,481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486,996</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303,904</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5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SOLAREDGE TECHNOLOGIES INC. | 2025 Form 10-Q | 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5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8"/>
          <w:szCs w:val="18"/>
          <w:b w:val="1"/>
          <w:bCs w:val="1"/>
          <w:color w:val="auto"/>
        </w:rPr>
        <w:t>GENERAL</w:t>
      </w:r>
    </w:p>
    <w:p>
      <w:pPr>
        <w:spacing w:after="0" w:line="297" w:lineRule="exact"/>
        <w:rPr>
          <w:sz w:val="20"/>
          <w:szCs w:val="20"/>
          <w:color w:val="auto"/>
        </w:rPr>
      </w:pPr>
    </w:p>
    <w:p>
      <w:pPr>
        <w:jc w:val="both"/>
        <w:ind w:left="660" w:hanging="328"/>
        <w:spacing w:after="0" w:line="253"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SolarEdge Technologies, Inc. (the “Company”) and its subsidiaries design, develop, and sell intelligent inverter solutions designed to maximize power generation at the individual photovoltaic (“PV”) module level while lowering the cost of energy produced by the solar PV system and providing comprehensive and advanced safety features. The Company’s products consist mainly of (i) power optimizers designed to maximize energy throughout each and every module through constant tracking of maximum power points individually per module, (ii) inverters which invert direct current (“DC”) from the PV modules to alternating current (“AC”), including the Company’s future ready Energy Hub inverter which supports, among other things, connection to a DC-coupled battery for full or partial home backup capabilities, and optional connection to the Company's smart EV charger, (iii) a remote cloud-based monitoring platform, that collects and processes information from the power optimizers and inverters to enable customers and system owners to monitor and manage the solar PV system, (iv) batteries for PV applications that are used to increase energy independence and maximize self-consumption for PV system's owners including a battery and (v) additional smart energy management solutions.</w:t>
      </w:r>
    </w:p>
    <w:p>
      <w:pPr>
        <w:spacing w:after="0" w:line="248" w:lineRule="exact"/>
        <w:rPr>
          <w:rFonts w:ascii="Times New Roman" w:cs="Times New Roman" w:eastAsia="Times New Roman" w:hAnsi="Times New Roman"/>
          <w:sz w:val="18"/>
          <w:szCs w:val="18"/>
          <w:color w:val="auto"/>
        </w:rPr>
      </w:pPr>
    </w:p>
    <w:p>
      <w:pPr>
        <w:jc w:val="both"/>
        <w:ind w:left="66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sell products worldwide through large distributors, electrical equipment wholesalers, directly to large solar installers and engineering, procurement, and construction firms. The Company has expanded its activity to other areas of smart energy technology both organically and through acquisitions.</w:t>
      </w:r>
    </w:p>
    <w:p>
      <w:pPr>
        <w:spacing w:after="0" w:line="2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w:t>
      </w:r>
    </w:p>
    <w:p>
      <w:pPr>
        <w:spacing w:after="0" w:line="279" w:lineRule="exact"/>
        <w:rPr>
          <w:rFonts w:ascii="Times New Roman" w:cs="Times New Roman" w:eastAsia="Times New Roman" w:hAnsi="Times New Roman"/>
          <w:sz w:val="18"/>
          <w:szCs w:val="18"/>
          <w:color w:val="auto"/>
        </w:rPr>
      </w:pPr>
    </w:p>
    <w:p>
      <w:pPr>
        <w:jc w:val="both"/>
        <w:ind w:left="66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condensed consolidated financial statements and accompanying notes have been prepared in accordance with U.S. generally accepted accounting principles (“U.S. GAAP”). In management’s opinion, the unaudited condensed consolidated financial statements reflect all adjustments of a normal recurring nature that are necessary for a fair presentation of the results for the interim periods presented. The Company’s interim period results do not necessarily indicate the results that may be expected for any other interim period or for the full fiscal year.</w:t>
      </w:r>
    </w:p>
    <w:p>
      <w:pPr>
        <w:spacing w:after="0" w:line="226" w:lineRule="exact"/>
        <w:rPr>
          <w:rFonts w:ascii="Times New Roman" w:cs="Times New Roman" w:eastAsia="Times New Roman" w:hAnsi="Times New Roman"/>
          <w:sz w:val="18"/>
          <w:szCs w:val="18"/>
          <w:color w:val="auto"/>
        </w:rPr>
      </w:pPr>
    </w:p>
    <w:p>
      <w:pPr>
        <w:jc w:val="both"/>
        <w:ind w:left="6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accounting policies applied in the annual consolidated financial statements of the Company as of December 31, 2024, contained in the Company’s Annual Report on Form 10-K filed with the SEC on February 25, 2025, have been applied consistently in these unaudited interim condensed consolidated financial statements. Certain prior year amounts have been reclassified to conform to current year presentation.</w:t>
      </w:r>
    </w:p>
    <w:p>
      <w:pPr>
        <w:spacing w:after="0" w:line="2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receivables:</w:t>
      </w:r>
    </w:p>
    <w:p>
      <w:pPr>
        <w:spacing w:after="0" w:line="279" w:lineRule="exact"/>
        <w:rPr>
          <w:rFonts w:ascii="Times New Roman" w:cs="Times New Roman" w:eastAsia="Times New Roman" w:hAnsi="Times New Roman"/>
          <w:sz w:val="18"/>
          <w:szCs w:val="18"/>
          <w:color w:val="auto"/>
        </w:rPr>
      </w:pPr>
    </w:p>
    <w:p>
      <w:pPr>
        <w:jc w:val="both"/>
        <w:ind w:left="660"/>
        <w:spacing w:after="0" w:line="26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receivables are stated net of credit losses allowance. The Company is exposed to credit losses primarily through sales of products. The allowance against gross trade receivables reflects the current expected credit loss inherent in the receivables portfolio determined based on the Company’s methodology. The Company’s methodology is based on historical collection experience, customer creditworthiness, current and future economic condition and market condition. Additionally, specific allowance amounts are established to record the appropriate provision for customers that have a higher probability of default. Trade receivables are written off after all reasonable means to collect the full amount have been exhausted.</w:t>
      </w:r>
    </w:p>
    <w:p>
      <w:pPr>
        <w:spacing w:after="0" w:line="228" w:lineRule="exact"/>
        <w:rPr>
          <w:rFonts w:ascii="Times New Roman" w:cs="Times New Roman" w:eastAsia="Times New Roman" w:hAnsi="Times New Roman"/>
          <w:sz w:val="18"/>
          <w:szCs w:val="18"/>
          <w:color w:val="auto"/>
        </w:rPr>
      </w:pPr>
    </w:p>
    <w:p>
      <w:pPr>
        <w:ind w:left="66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a roll-forward of the allowance for credit losses that is deducted from the amortized cost basis of trade receivables to present the net amount expected to be collected:</w:t>
      </w:r>
    </w:p>
    <w:p>
      <w:pPr>
        <w:spacing w:after="0" w:line="22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43,038</w:t>
            </w:r>
          </w:p>
        </w:tc>
        <w:tc>
          <w:tcPr>
            <w:tcW w:w="80" w:type="dxa"/>
            <w:vAlign w:val="bottom"/>
            <w:shd w:val="clear" w:color="auto" w:fill="CCEEFF"/>
          </w:tcPr>
          <w:p>
            <w:pPr>
              <w:spacing w:after="0"/>
              <w:rPr>
                <w:sz w:val="19"/>
                <w:szCs w:val="19"/>
                <w:color w:val="auto"/>
              </w:rPr>
            </w:pPr>
          </w:p>
        </w:tc>
      </w:tr>
      <w:tr>
        <w:trPr>
          <w:trHeight w:val="229"/>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provision for expected credit losses</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8,671</w:t>
            </w:r>
          </w:p>
        </w:tc>
        <w:tc>
          <w:tcPr>
            <w:tcW w:w="80" w:type="dxa"/>
            <w:vAlign w:val="bottom"/>
          </w:tcPr>
          <w:p>
            <w:pPr>
              <w:spacing w:after="0"/>
              <w:rPr>
                <w:sz w:val="19"/>
                <w:szCs w:val="19"/>
                <w:color w:val="auto"/>
              </w:rPr>
            </w:pPr>
          </w:p>
        </w:tc>
      </w:tr>
      <w:tr>
        <w:trPr>
          <w:trHeight w:val="230"/>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Recoveries collected</w:t>
            </w:r>
          </w:p>
        </w:tc>
        <w:tc>
          <w:tcPr>
            <w:tcW w:w="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(23,445)</w:t>
            </w:r>
          </w:p>
        </w:tc>
      </w:tr>
      <w:tr>
        <w:trPr>
          <w:trHeight w:val="230"/>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Amounts written off charged against the allowance</w:t>
            </w:r>
          </w:p>
        </w:tc>
        <w:tc>
          <w:tcPr>
            <w:tcW w:w="2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(9,363)</w:t>
            </w:r>
          </w:p>
        </w:tc>
      </w:tr>
      <w:tr>
        <w:trPr>
          <w:trHeight w:val="236"/>
        </w:trPr>
        <w:tc>
          <w:tcPr>
            <w:tcW w:w="8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29"/>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20,840</w:t>
            </w:r>
          </w:p>
        </w:tc>
        <w:tc>
          <w:tcPr>
            <w:tcW w:w="80" w:type="dxa"/>
            <w:vAlign w:val="bottom"/>
          </w:tcPr>
          <w:p>
            <w:pPr>
              <w:spacing w:after="0"/>
              <w:rPr>
                <w:sz w:val="19"/>
                <w:szCs w:val="19"/>
                <w:color w:val="auto"/>
              </w:rPr>
            </w:pPr>
          </w:p>
        </w:tc>
      </w:tr>
      <w:tr>
        <w:trPr>
          <w:trHeight w:val="21"/>
        </w:trPr>
        <w:tc>
          <w:tcPr>
            <w:tcW w:w="8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2" w:name="page13"/>
    <w:bookmarkEnd w:id="12"/>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9" w:lineRule="exact"/>
        <w:rPr>
          <w:sz w:val="20"/>
          <w:szCs w:val="20"/>
          <w:color w:val="auto"/>
        </w:rPr>
      </w:pPr>
    </w:p>
    <w:p>
      <w:pPr>
        <w:ind w:left="340" w:hanging="328"/>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estimates:</w:t>
      </w:r>
    </w:p>
    <w:p>
      <w:pPr>
        <w:spacing w:after="0" w:line="279" w:lineRule="exact"/>
        <w:rPr>
          <w:rFonts w:ascii="Times New Roman" w:cs="Times New Roman" w:eastAsia="Times New Roman" w:hAnsi="Times New Roman"/>
          <w:sz w:val="18"/>
          <w:szCs w:val="18"/>
          <w:color w:val="auto"/>
        </w:rPr>
      </w:pPr>
    </w:p>
    <w:p>
      <w:pPr>
        <w:jc w:val="both"/>
        <w:ind w:left="34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revenues, costs and expenses, government grants, income taxes and related disclosures in the accompanying notes. Actual results and outcomes may differ from management’s estimates and assumptions due to risks and uncertainties.</w:t>
      </w:r>
    </w:p>
    <w:p>
      <w:pPr>
        <w:spacing w:after="0" w:line="236" w:lineRule="exact"/>
        <w:rPr>
          <w:rFonts w:ascii="Times New Roman" w:cs="Times New Roman" w:eastAsia="Times New Roman" w:hAnsi="Times New Roman"/>
          <w:sz w:val="18"/>
          <w:szCs w:val="18"/>
          <w:color w:val="auto"/>
        </w:rPr>
      </w:pPr>
    </w:p>
    <w:p>
      <w:pPr>
        <w:ind w:left="340" w:hanging="328"/>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Concentrations of supply risks:</w:t>
      </w:r>
    </w:p>
    <w:p>
      <w:pPr>
        <w:spacing w:after="0" w:line="279" w:lineRule="exact"/>
        <w:rPr>
          <w:rFonts w:ascii="Times New Roman" w:cs="Times New Roman" w:eastAsia="Times New Roman" w:hAnsi="Times New Roman"/>
          <w:sz w:val="18"/>
          <w:szCs w:val="18"/>
          <w:color w:val="auto"/>
        </w:rPr>
      </w:pPr>
    </w:p>
    <w:p>
      <w:pPr>
        <w:jc w:val="both"/>
        <w:ind w:left="34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depends on two contract manufacturers and several limited or single source component suppliers. Reliance on these vendors makes the Company vulnerable to possible capacity constraints and reduced control over component availability, delivery schedules, manufacturing yields, and costs.</w:t>
      </w:r>
    </w:p>
    <w:p>
      <w:pPr>
        <w:spacing w:after="0" w:line="236" w:lineRule="exact"/>
        <w:rPr>
          <w:rFonts w:ascii="Times New Roman" w:cs="Times New Roman" w:eastAsia="Times New Roman" w:hAnsi="Times New Roman"/>
          <w:sz w:val="18"/>
          <w:szCs w:val="18"/>
          <w:color w:val="auto"/>
        </w:rPr>
      </w:pPr>
    </w:p>
    <w:p>
      <w:pPr>
        <w:jc w:val="both"/>
        <w:ind w:left="340" w:right="1800"/>
        <w:spacing w:after="0" w:line="6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As of September 30, 2025 two contract manufacturers jointly accounted for 48.1% of the Company’s total trade payables. As of December 31, 2024, two contract manufacturers jointly accounted for 43.4% of the Company’s total trade payables.</w:t>
      </w:r>
    </w:p>
    <w:p>
      <w:pPr>
        <w:spacing w:after="0" w:line="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own manufacturing facility, Sella 1, located in the North of Israel, is also used in the Company's ongoing operations.</w:t>
      </w:r>
    </w:p>
    <w:p>
      <w:pPr>
        <w:spacing w:after="0" w:line="292"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privately-held companies:</w:t>
      </w:r>
    </w:p>
    <w:p>
      <w:pPr>
        <w:spacing w:after="0" w:line="279" w:lineRule="exact"/>
        <w:rPr>
          <w:sz w:val="20"/>
          <w:szCs w:val="20"/>
          <w:color w:val="auto"/>
        </w:rPr>
      </w:pPr>
    </w:p>
    <w:p>
      <w:pPr>
        <w:jc w:val="both"/>
        <w:ind w:left="340"/>
        <w:spacing w:after="0" w:line="271" w:lineRule="auto"/>
        <w:rPr>
          <w:sz w:val="20"/>
          <w:szCs w:val="20"/>
          <w:color w:val="auto"/>
        </w:rPr>
      </w:pPr>
      <w:r>
        <w:rPr>
          <w:rFonts w:ascii="Times New Roman" w:cs="Times New Roman" w:eastAsia="Times New Roman" w:hAnsi="Times New Roman"/>
          <w:sz w:val="18"/>
          <w:szCs w:val="18"/>
          <w:color w:val="auto"/>
        </w:rPr>
        <w:t>The Company's equity investments are investments in equity securities of privately-held companies, that are not traded and therefore not supported with observable market prices. The Company elected to account for its equity investments without readily determinable market values that either (i) do not meet the definition of in-substance common stock or (ii) do not provide the Company with control or significant influence using Accounting Standards Update (“ASU”) 2016-01.</w:t>
      </w:r>
    </w:p>
    <w:p>
      <w:pPr>
        <w:spacing w:after="0" w:line="240" w:lineRule="exact"/>
        <w:rPr>
          <w:sz w:val="20"/>
          <w:szCs w:val="20"/>
          <w:color w:val="auto"/>
        </w:rPr>
      </w:pPr>
    </w:p>
    <w:p>
      <w:pPr>
        <w:jc w:val="both"/>
        <w:ind w:left="340"/>
        <w:spacing w:after="0" w:line="274" w:lineRule="auto"/>
        <w:rPr>
          <w:sz w:val="20"/>
          <w:szCs w:val="20"/>
          <w:color w:val="auto"/>
        </w:rPr>
      </w:pPr>
      <w:r>
        <w:rPr>
          <w:rFonts w:ascii="Times New Roman" w:cs="Times New Roman" w:eastAsia="Times New Roman" w:hAnsi="Times New Roman"/>
          <w:sz w:val="18"/>
          <w:szCs w:val="18"/>
          <w:color w:val="auto"/>
        </w:rPr>
        <w:t>The Company accounts for equity investments through which it exercise significant influence but do not have control over the investee under the equity method. Under this method, the investment, which was initially recorded at cost, is adjusted to recognize the Company’s share of net earnings or losses of the investee as they occur, rather than when dividends or other distributions are received.</w:t>
      </w:r>
    </w:p>
    <w:p>
      <w:pPr>
        <w:spacing w:after="0" w:line="23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Company adjusts the carrying value of its investments to fair value upon observable transactions for identical or similar investments of the same issuer.</w:t>
      </w:r>
    </w:p>
    <w:p>
      <w:pPr>
        <w:spacing w:after="0" w:line="229" w:lineRule="exact"/>
        <w:rPr>
          <w:sz w:val="20"/>
          <w:szCs w:val="20"/>
          <w:color w:val="auto"/>
        </w:rPr>
      </w:pPr>
    </w:p>
    <w:p>
      <w:pPr>
        <w:jc w:val="both"/>
        <w:ind w:left="340"/>
        <w:spacing w:after="0" w:line="274" w:lineRule="auto"/>
        <w:rPr>
          <w:sz w:val="20"/>
          <w:szCs w:val="20"/>
          <w:color w:val="auto"/>
        </w:rPr>
      </w:pPr>
      <w:r>
        <w:rPr>
          <w:rFonts w:ascii="Times New Roman" w:cs="Times New Roman" w:eastAsia="Times New Roman" w:hAnsi="Times New Roman"/>
          <w:sz w:val="18"/>
          <w:szCs w:val="18"/>
          <w:color w:val="auto"/>
        </w:rPr>
        <w:t>The Company periodically evaluates the carrying value of the investments in privately-held companies when events and circumstances indicate that the carrying amount of the investment may not be recovered. The maximum loss the Company can incur for its investments is their carrying value.</w:t>
      </w:r>
    </w:p>
    <w:p>
      <w:pPr>
        <w:spacing w:after="0" w:line="236" w:lineRule="exact"/>
        <w:rPr>
          <w:sz w:val="20"/>
          <w:szCs w:val="20"/>
          <w:color w:val="auto"/>
        </w:rPr>
      </w:pPr>
    </w:p>
    <w:p>
      <w:pPr>
        <w:jc w:val="both"/>
        <w:ind w:left="340"/>
        <w:spacing w:after="0" w:line="274" w:lineRule="auto"/>
        <w:rPr>
          <w:sz w:val="20"/>
          <w:szCs w:val="20"/>
          <w:color w:val="auto"/>
        </w:rPr>
      </w:pPr>
      <w:r>
        <w:rPr>
          <w:rFonts w:ascii="Times New Roman" w:cs="Times New Roman" w:eastAsia="Times New Roman" w:hAnsi="Times New Roman"/>
          <w:sz w:val="18"/>
          <w:szCs w:val="18"/>
          <w:color w:val="auto"/>
        </w:rPr>
        <w:t>The Company may determine the fair value by reviewing equity valuation reports, current financial results, long-term plans of the privately-held companies, the amount of cash that the privately-held companies have on-hand, the ability to obtain additional financing and overall market conditions in which the privately-held companies operate or based on the price observed from the most recent completed financing.</w:t>
      </w:r>
    </w:p>
    <w:p>
      <w:pPr>
        <w:spacing w:after="0" w:line="236" w:lineRule="exact"/>
        <w:rPr>
          <w:sz w:val="20"/>
          <w:szCs w:val="20"/>
          <w:color w:val="auto"/>
        </w:rPr>
      </w:pPr>
    </w:p>
    <w:p>
      <w:pPr>
        <w:jc w:val="both"/>
        <w:ind w:left="340"/>
        <w:spacing w:after="0" w:line="297" w:lineRule="auto"/>
        <w:rPr>
          <w:sz w:val="20"/>
          <w:szCs w:val="20"/>
          <w:color w:val="auto"/>
        </w:rPr>
      </w:pPr>
      <w:r>
        <w:rPr>
          <w:rFonts w:ascii="Times New Roman" w:cs="Times New Roman" w:eastAsia="Times New Roman" w:hAnsi="Times New Roman"/>
          <w:sz w:val="18"/>
          <w:szCs w:val="18"/>
          <w:color w:val="auto"/>
        </w:rPr>
        <w:t>All gains and losses, whether due to an impairment or revaluation, on investments in privately-held companies, realized and unrealized, are recognized in other income (expense), net.</w:t>
      </w:r>
    </w:p>
    <w:p>
      <w:pPr>
        <w:spacing w:after="0" w:line="203"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determined that an other-than-temporary impairment had occurred in its investment in Ampeers Energy GmbH ("Ampeers"). Accordingly, the Company reduced the carrying amount of its investment to its estimated fair value and recognized an impairment loss of $15,057.</w:t>
      </w:r>
    </w:p>
    <w:p>
      <w:pPr>
        <w:spacing w:after="0" w:line="2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SOLAREDGE TECHNOLOGIES INC. | 2025 Form 10-Q | 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137160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640" w:top="482" w:right="339" w:bottom="1440" w:gutter="0" w:footer="0" w:header="0"/>
        </w:sectPr>
      </w:pPr>
    </w:p>
    <w:bookmarkStart w:id="13" w:name="page14"/>
    <w:bookmarkEnd w:id="13"/>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23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56" w:lineRule="exact"/>
        <w:rPr>
          <w:sz w:val="20"/>
          <w:szCs w:val="20"/>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standards updates:</w:t>
      </w:r>
    </w:p>
    <w:p>
      <w:pPr>
        <w:spacing w:after="0" w:line="279" w:lineRule="exact"/>
        <w:rPr>
          <w:rFonts w:ascii="Times New Roman" w:cs="Times New Roman" w:eastAsia="Times New Roman" w:hAnsi="Times New Roman"/>
          <w:sz w:val="18"/>
          <w:szCs w:val="18"/>
          <w:color w:val="auto"/>
        </w:rPr>
      </w:pPr>
    </w:p>
    <w:p>
      <w:pPr>
        <w:jc w:val="both"/>
        <w:ind w:left="32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additional categories of information about federal, state and foreign income taxes to be included in effective tax rate reconciliation disclosure. Additionally, the newly added categories also apply to the income taxes paid disclosure. Implementation of said additions are subject to quantitative thresholds. ASU 2023-09 is effective for fiscal years beginning after December 15, 2024. The Company is currently evaluating the impact from ASU 2023-09 on its consolidated financial statements disclosures.</w:t>
      </w:r>
    </w:p>
    <w:p>
      <w:pPr>
        <w:spacing w:after="0" w:line="243" w:lineRule="exact"/>
        <w:rPr>
          <w:rFonts w:ascii="Times New Roman" w:cs="Times New Roman" w:eastAsia="Times New Roman" w:hAnsi="Times New Roman"/>
          <w:sz w:val="18"/>
          <w:szCs w:val="18"/>
          <w:color w:val="auto"/>
        </w:rPr>
      </w:pPr>
    </w:p>
    <w:p>
      <w:pPr>
        <w:jc w:val="both"/>
        <w:ind w:left="32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(loss) Statement Expenses” (“ASU 2024-03”). ASU 2024-03 requires disaggregation of certain costs and expenses included in each relevant expense caption on the Company's consolidated income (loss) statements in a separate note to the financial statements at each interim and annual reporting period, including amounts of purchases of inventory, employee compensation, depreciation, and intangible asset amortization. ASU 2024-04 is effective fiscal years beginning after December 15, 2026, and interim reporting periods within annual reporting periods beginning after December 15, 2027, with early adoption permitted. The Company is currently evaluating the impact from ASU 2024-03 on its consolidated financial statements disclosures.</w:t>
      </w:r>
    </w:p>
    <w:p>
      <w:pPr>
        <w:spacing w:after="0" w:line="230" w:lineRule="exact"/>
        <w:rPr>
          <w:rFonts w:ascii="Times New Roman" w:cs="Times New Roman" w:eastAsia="Times New Roman" w:hAnsi="Times New Roman"/>
          <w:sz w:val="18"/>
          <w:szCs w:val="18"/>
          <w:color w:val="auto"/>
        </w:rPr>
      </w:pPr>
    </w:p>
    <w:p>
      <w:pPr>
        <w:jc w:val="both"/>
        <w:ind w:left="328"/>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This amendment introduces a practical expedient for the application of the current expected credit loss (“CECL”) model to current accounts receivable and contract assets. ASU 2025-05 is effective for fiscal years beginning after December 15, 2025, and interim reporting periods within those annual reporting periods. Early adoption is permitted. The Company is currently evaluating the timing of adoption and impact of this amendment on its Consolidated Financial Statements and related disclosures.</w:t>
      </w:r>
    </w:p>
    <w:p>
      <w:pPr>
        <w:spacing w:after="0" w:line="239" w:lineRule="exact"/>
        <w:rPr>
          <w:rFonts w:ascii="Times New Roman" w:cs="Times New Roman" w:eastAsia="Times New Roman" w:hAnsi="Times New Roman"/>
          <w:sz w:val="18"/>
          <w:szCs w:val="18"/>
          <w:color w:val="auto"/>
        </w:rPr>
      </w:pPr>
    </w:p>
    <w:p>
      <w:pPr>
        <w:jc w:val="both"/>
        <w:ind w:left="32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the FASB issued ASU 2025-06, “Goodwill and Other-Internal-Use Software (Subtopic 350-40): Targeted Improvements to the Accounting for Internal-Use Software” (“ASU 2025-06”), which simplifies the capitalization guidance by removing all references to software development project stages so that the guidance is neutral to different software development methods. ASU 2025-06 is effective for annual reporting periods beginning after December 15, 2027, and interim reporting periods within those annual reporting periods. Early adoption is permitted. ASU 2025-06 permits an entity to apply the new guidance using a prospective, retrospective or modified transition approach. The Company is currently evaluating the impact from ASU 2025-06 on its consolidated financial statements.</w:t>
      </w:r>
    </w:p>
    <w:p>
      <w:pPr>
        <w:spacing w:after="0" w:line="24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 to previously issued financial statements:</w:t>
      </w:r>
    </w:p>
    <w:p>
      <w:pPr>
        <w:spacing w:after="0" w:line="279" w:lineRule="exact"/>
        <w:rPr>
          <w:rFonts w:ascii="Times New Roman" w:cs="Times New Roman" w:eastAsia="Times New Roman" w:hAnsi="Times New Roman"/>
          <w:sz w:val="18"/>
          <w:szCs w:val="18"/>
          <w:color w:val="auto"/>
        </w:rPr>
      </w:pPr>
    </w:p>
    <w:p>
      <w:pPr>
        <w:jc w:val="both"/>
        <w:ind w:left="328"/>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filing Form 10-Q for the third quarter of 2024, the Company identified an immaterial error related to an amended agreement with a customer, which was signed on December 21, 2024, resulting in an overstatement of loans receivables and revenues as of and for the three and nine months ended September 30, 2024.</w:t>
      </w:r>
    </w:p>
    <w:p>
      <w:pPr>
        <w:spacing w:after="0" w:line="236" w:lineRule="exact"/>
        <w:rPr>
          <w:rFonts w:ascii="Times New Roman" w:cs="Times New Roman" w:eastAsia="Times New Roman" w:hAnsi="Times New Roman"/>
          <w:sz w:val="18"/>
          <w:szCs w:val="18"/>
          <w:color w:val="auto"/>
        </w:rPr>
      </w:pPr>
    </w:p>
    <w:p>
      <w:pPr>
        <w:ind w:left="32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adjusted the relevant previously reported financial information for such immaterial revision, for the three and nine months ended September 30, 2024, as applicable.</w:t>
      </w:r>
    </w:p>
    <w:p>
      <w:pPr>
        <w:spacing w:after="0" w:line="229" w:lineRule="exact"/>
        <w:rPr>
          <w:sz w:val="20"/>
          <w:szCs w:val="20"/>
          <w:color w:val="auto"/>
        </w:rPr>
      </w:pPr>
    </w:p>
    <w:p>
      <w:pPr>
        <w:ind w:left="328"/>
        <w:spacing w:after="0" w:line="297" w:lineRule="auto"/>
        <w:rPr>
          <w:sz w:val="20"/>
          <w:szCs w:val="20"/>
          <w:color w:val="auto"/>
        </w:rPr>
      </w:pPr>
      <w:r>
        <w:rPr>
          <w:rFonts w:ascii="Times New Roman" w:cs="Times New Roman" w:eastAsia="Times New Roman" w:hAnsi="Times New Roman"/>
          <w:sz w:val="18"/>
          <w:szCs w:val="18"/>
          <w:color w:val="auto"/>
        </w:rPr>
        <w:t>The following table provides a summary of the revisions made to the Company’s condensed consolidated statements of loss, for the periods presented:</w:t>
      </w:r>
    </w:p>
    <w:p>
      <w:pPr>
        <w:spacing w:after="0" w:line="199" w:lineRule="exact"/>
        <w:rPr>
          <w:sz w:val="20"/>
          <w:szCs w:val="20"/>
          <w:color w:val="auto"/>
        </w:rPr>
      </w:pPr>
    </w:p>
    <w:tbl>
      <w:tblPr>
        <w:tblLayout w:type="fixed"/>
        <w:tblInd w:w="328" w:type="dxa"/>
        <w:tblCellMar>
          <w:top w:w="0" w:type="dxa"/>
          <w:left w:w="0" w:type="dxa"/>
          <w:bottom w:w="0" w:type="dxa"/>
          <w:right w:w="0" w:type="dxa"/>
        </w:tblCellMar>
      </w:tblPr>
      <w:tr>
        <w:trPr>
          <w:trHeight w:val="259"/>
        </w:trPr>
        <w:tc>
          <w:tcPr>
            <w:tcW w:w="18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40" w:type="dxa"/>
            <w:vAlign w:val="bottom"/>
            <w:gridSpan w:val="10"/>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322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r>
      <w:tr>
        <w:trPr>
          <w:trHeight w:val="236"/>
        </w:trPr>
        <w:tc>
          <w:tcPr>
            <w:tcW w:w="1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tcBorders>
              <w:top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08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200" w:type="dxa"/>
            <w:vAlign w:val="bottom"/>
          </w:tcPr>
          <w:p>
            <w:pPr>
              <w:spacing w:after="0"/>
              <w:rPr>
                <w:sz w:val="20"/>
                <w:szCs w:val="20"/>
                <w:color w:val="auto"/>
              </w:rPr>
            </w:pPr>
          </w:p>
        </w:tc>
        <w:tc>
          <w:tcPr>
            <w:tcW w:w="10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80" w:type="dxa"/>
            <w:vAlign w:val="bottom"/>
          </w:tcPr>
          <w:p>
            <w:pPr>
              <w:spacing w:after="0"/>
              <w:rPr>
                <w:sz w:val="20"/>
                <w:szCs w:val="20"/>
                <w:color w:val="auto"/>
              </w:rPr>
            </w:pPr>
          </w:p>
        </w:tc>
      </w:tr>
      <w:tr>
        <w:trPr>
          <w:trHeight w:val="230"/>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6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260,903</w:t>
            </w:r>
          </w:p>
        </w:tc>
        <w:tc>
          <w:tcPr>
            <w:tcW w:w="18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235,435</w:t>
            </w:r>
          </w:p>
        </w:tc>
        <w:tc>
          <w:tcPr>
            <w:tcW w:w="20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730,707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(25,468)</w:t>
            </w:r>
          </w:p>
        </w:tc>
        <w:tc>
          <w:tcPr>
            <w:tcW w:w="16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705,239</w:t>
            </w:r>
          </w:p>
        </w:tc>
        <w:tc>
          <w:tcPr>
            <w:tcW w:w="80" w:type="dxa"/>
            <w:vAlign w:val="bottom"/>
            <w:shd w:val="clear" w:color="auto" w:fill="CCEEFF"/>
          </w:tcPr>
          <w:p>
            <w:pPr>
              <w:spacing w:after="0"/>
              <w:rPr>
                <w:sz w:val="19"/>
                <w:szCs w:val="19"/>
                <w:color w:val="auto"/>
              </w:rPr>
            </w:pPr>
          </w:p>
        </w:tc>
      </w:tr>
      <w:tr>
        <w:trPr>
          <w:trHeight w:val="229"/>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Gross loss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(702,326)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(25,468)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(727,794)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(739,482)</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(25,468)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(764,950)</w:t>
            </w:r>
          </w:p>
        </w:tc>
      </w:tr>
      <w:tr>
        <w:trPr>
          <w:trHeight w:val="230"/>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(1,085,266)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(25,468)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(1,110,734)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(1,419,153)</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(1,444,621)</w:t>
            </w:r>
          </w:p>
        </w:tc>
      </w:tr>
      <w:tr>
        <w:trPr>
          <w:trHeight w:val="229"/>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(1,205,321)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(25,468)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(1,230,789)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(1,493,450)</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(25,468)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(1,518,918)</w:t>
            </w:r>
          </w:p>
        </w:tc>
      </w:tr>
      <w:tr>
        <w:trPr>
          <w:trHeight w:val="230"/>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EPS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(26.22)</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(26.67)</w:t>
            </w:r>
          </w:p>
        </w:tc>
      </w:tr>
    </w:tbl>
    <w:p>
      <w:pPr>
        <w:spacing w:after="0" w:line="252" w:lineRule="exact"/>
        <w:rPr>
          <w:sz w:val="20"/>
          <w:szCs w:val="20"/>
          <w:color w:val="auto"/>
        </w:rPr>
      </w:pPr>
    </w:p>
    <w:p>
      <w:pPr>
        <w:ind w:left="328"/>
        <w:spacing w:after="0" w:line="297" w:lineRule="auto"/>
        <w:rPr>
          <w:sz w:val="20"/>
          <w:szCs w:val="20"/>
          <w:color w:val="auto"/>
        </w:rPr>
      </w:pPr>
      <w:r>
        <w:rPr>
          <w:rFonts w:ascii="Times New Roman" w:cs="Times New Roman" w:eastAsia="Times New Roman" w:hAnsi="Times New Roman"/>
          <w:sz w:val="18"/>
          <w:szCs w:val="18"/>
          <w:color w:val="auto"/>
        </w:rPr>
        <w:t>The following table provides a summary of the revisions made to the Company’s condensed consolidated statements of cash flows for the period presented:</w:t>
      </w:r>
    </w:p>
    <w:p>
      <w:pPr>
        <w:spacing w:after="0" w:line="213" w:lineRule="exact"/>
        <w:rPr>
          <w:sz w:val="20"/>
          <w:szCs w:val="20"/>
          <w:color w:val="auto"/>
        </w:rPr>
      </w:pPr>
    </w:p>
    <w:tbl>
      <w:tblPr>
        <w:tblLayout w:type="fixed"/>
        <w:tblInd w:w="328" w:type="dxa"/>
        <w:tblCellMar>
          <w:top w:w="0" w:type="dxa"/>
          <w:left w:w="0" w:type="dxa"/>
          <w:bottom w:w="0" w:type="dxa"/>
          <w:right w:w="0" w:type="dxa"/>
        </w:tblCellMar>
      </w:tblPr>
      <w:tr>
        <w:trPr>
          <w:trHeight w:val="259"/>
        </w:trPr>
        <w:tc>
          <w:tcPr>
            <w:tcW w:w="6120" w:type="dxa"/>
            <w:vAlign w:val="bottom"/>
          </w:tcPr>
          <w:p>
            <w:pPr>
              <w:spacing w:after="0"/>
              <w:rPr>
                <w:sz w:val="22"/>
                <w:szCs w:val="22"/>
                <w:color w:val="auto"/>
              </w:rPr>
            </w:pPr>
          </w:p>
        </w:tc>
        <w:tc>
          <w:tcPr>
            <w:tcW w:w="3280" w:type="dxa"/>
            <w:vAlign w:val="bottom"/>
            <w:gridSpan w:val="10"/>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r>
      <w:tr>
        <w:trPr>
          <w:trHeight w:val="236"/>
        </w:trPr>
        <w:tc>
          <w:tcPr>
            <w:tcW w:w="6120" w:type="dxa"/>
            <w:vAlign w:val="bottom"/>
          </w:tcPr>
          <w:p>
            <w:pPr>
              <w:spacing w:after="0"/>
              <w:rPr>
                <w:sz w:val="20"/>
                <w:szCs w:val="20"/>
                <w:color w:val="auto"/>
              </w:rPr>
            </w:pPr>
          </w:p>
        </w:tc>
        <w:tc>
          <w:tcPr>
            <w:tcW w:w="108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80" w:type="dxa"/>
            <w:vAlign w:val="bottom"/>
          </w:tcPr>
          <w:p>
            <w:pPr>
              <w:spacing w:after="0"/>
              <w:rPr>
                <w:sz w:val="20"/>
                <w:szCs w:val="20"/>
                <w:color w:val="auto"/>
              </w:rPr>
            </w:pPr>
          </w:p>
        </w:tc>
      </w:tr>
      <w:tr>
        <w:trPr>
          <w:trHeight w:val="22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1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(1,493,450)</w:t>
            </w: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(25,468)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(1,518,918)</w:t>
            </w:r>
          </w:p>
        </w:tc>
      </w:tr>
      <w:tr>
        <w:trPr>
          <w:trHeight w:val="229"/>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(325,656)</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(351,124)</w:t>
            </w:r>
          </w:p>
        </w:tc>
      </w:tr>
      <w:tr>
        <w:trPr>
          <w:trHeight w:val="234"/>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318,755</w:t>
            </w: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25,468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344,223</w:t>
            </w:r>
          </w:p>
        </w:tc>
      </w:tr>
    </w:tbl>
    <w:p>
      <w:pPr>
        <w:spacing w:after="0" w:line="247" w:lineRule="exact"/>
        <w:rPr>
          <w:sz w:val="20"/>
          <w:szCs w:val="20"/>
          <w:color w:val="auto"/>
        </w:rPr>
      </w:pPr>
    </w:p>
    <w:p>
      <w:pPr>
        <w:ind w:left="328"/>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revisions made to the Company’s condensed consolidated statements of stockholders' equity for the period presented:</w:t>
      </w:r>
    </w:p>
    <w:p>
      <w:pPr>
        <w:sectPr>
          <w:pgSz w:w="11900" w:h="16838" w:orient="portrait"/>
          <w:cols w:equalWidth="0" w:num="1">
            <w:col w:w="10908"/>
          </w:cols>
          <w:pgMar w:left="652" w:top="482" w:right="33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59"/>
        </w:trPr>
        <w:tc>
          <w:tcPr>
            <w:tcW w:w="6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80" w:type="dxa"/>
            <w:vAlign w:val="bottom"/>
            <w:gridSpan w:val="9"/>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r>
      <w:tr>
        <w:trPr>
          <w:trHeight w:val="237"/>
        </w:trPr>
        <w:tc>
          <w:tcPr>
            <w:tcW w:w="6120" w:type="dxa"/>
            <w:vAlign w:val="bottom"/>
          </w:tcPr>
          <w:p>
            <w:pPr>
              <w:spacing w:after="0"/>
              <w:rPr>
                <w:sz w:val="20"/>
                <w:szCs w:val="20"/>
                <w:color w:val="auto"/>
              </w:rPr>
            </w:pPr>
          </w:p>
        </w:tc>
        <w:tc>
          <w:tcPr>
            <w:tcW w:w="108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80" w:type="dxa"/>
            <w:vAlign w:val="bottom"/>
          </w:tcPr>
          <w:p>
            <w:pPr>
              <w:spacing w:after="0"/>
              <w:rPr>
                <w:sz w:val="20"/>
                <w:szCs w:val="20"/>
                <w:color w:val="auto"/>
              </w:rPr>
            </w:pPr>
          </w:p>
        </w:tc>
      </w:tr>
      <w:tr>
        <w:trPr>
          <w:trHeight w:val="22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(715,284)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7"/>
              </w:rPr>
              <w:t>(25,468)</w:t>
            </w:r>
          </w:p>
        </w:tc>
        <w:tc>
          <w:tcPr>
            <w:tcW w:w="16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(740,752)</w:t>
            </w:r>
          </w:p>
        </w:tc>
        <w:tc>
          <w:tcPr>
            <w:tcW w:w="80" w:type="dxa"/>
            <w:vAlign w:val="bottom"/>
            <w:shd w:val="clear" w:color="auto" w:fill="CCEEFF"/>
          </w:tcPr>
          <w:p>
            <w:pPr>
              <w:spacing w:after="0"/>
              <w:rPr>
                <w:sz w:val="19"/>
                <w:szCs w:val="19"/>
                <w:color w:val="auto"/>
              </w:rPr>
            </w:pPr>
          </w:p>
        </w:tc>
      </w:t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956,366</w:t>
            </w:r>
          </w:p>
        </w:tc>
        <w:tc>
          <w:tcPr>
            <w:tcW w:w="32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(25,468)</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930,898</w:t>
            </w:r>
          </w:p>
        </w:tc>
      </w:tr>
    </w:tbl>
    <w:p>
      <w:pPr>
        <w:spacing w:after="0" w:line="27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SOLAREDGE TECHNOLOGIES INC. | 2025 Form 10-Q | 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128905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17"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MARKETABLE SECURITIES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available-for-sale marketable securities as of September 30, 2025:</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9"/>
        </w:trPr>
        <w:tc>
          <w:tcPr>
            <w:tcW w:w="5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120" w:type="dxa"/>
            <w:vAlign w:val="bottom"/>
          </w:tcPr>
          <w:p>
            <w:pPr>
              <w:spacing w:after="0"/>
              <w:rPr>
                <w:sz w:val="22"/>
                <w:szCs w:val="22"/>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gains</w:t>
            </w:r>
          </w:p>
        </w:tc>
        <w:tc>
          <w:tcPr>
            <w:tcW w:w="120" w:type="dxa"/>
            <w:vAlign w:val="bottom"/>
          </w:tcPr>
          <w:p>
            <w:pPr>
              <w:spacing w:after="0"/>
              <w:rPr>
                <w:sz w:val="22"/>
                <w:szCs w:val="22"/>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40" w:type="dxa"/>
            <w:vAlign w:val="bottom"/>
          </w:tcPr>
          <w:p>
            <w:pPr>
              <w:spacing w:after="0"/>
              <w:rPr>
                <w:sz w:val="22"/>
                <w:szCs w:val="22"/>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Matures within one year:</w:t>
            </w: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46,582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46,840</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9,242</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2,982</w:t>
            </w:r>
          </w:p>
        </w:tc>
      </w:tr>
      <w:tr>
        <w:trPr>
          <w:trHeight w:val="27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58,800</w:t>
            </w: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59,064</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available-for-sale marketable securities as of December 31, 2024:</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9"/>
        </w:trPr>
        <w:tc>
          <w:tcPr>
            <w:tcW w:w="5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2"/>
                <w:szCs w:val="22"/>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gains</w:t>
            </w:r>
          </w:p>
        </w:tc>
        <w:tc>
          <w:tcPr>
            <w:tcW w:w="120" w:type="dxa"/>
            <w:vAlign w:val="bottom"/>
          </w:tcPr>
          <w:p>
            <w:pPr>
              <w:spacing w:after="0"/>
              <w:rPr>
                <w:sz w:val="22"/>
                <w:szCs w:val="22"/>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40" w:type="dxa"/>
            <w:vAlign w:val="bottom"/>
          </w:tcPr>
          <w:p>
            <w:pPr>
              <w:spacing w:after="0"/>
              <w:rPr>
                <w:sz w:val="22"/>
                <w:szCs w:val="22"/>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Matures within one year:</w:t>
            </w: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290,570</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289,856</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12,596</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12,594</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8,829</w:t>
            </w:r>
          </w:p>
        </w:tc>
      </w:tr>
      <w:tr>
        <w:trPr>
          <w:trHeight w:val="237"/>
        </w:trPr>
        <w:tc>
          <w:tcPr>
            <w:tcW w:w="5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311,976</w:t>
            </w: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311,279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Matures after one year:</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36,006</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36,241</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6,356</w:t>
            </w: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42,315</w:t>
            </w: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354,291</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353,876</w:t>
            </w: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Proceeds from the sale of available-for-sale marketable securities, during the three and nine months ended September 30, 2025, was $76,288, which did not lead to realized gains or losses.</w:t>
      </w:r>
    </w:p>
    <w:p>
      <w:pPr>
        <w:spacing w:after="0" w:line="229"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Proceeds from sales of available-for-sale marketable securities, during the three and nine months ended September 30, 2024, were $18,724 and $70,642, which led to realized gains of $777 and $2,747, respectively.</w:t>
      </w:r>
    </w:p>
    <w:p>
      <w:pPr>
        <w:spacing w:after="0" w:line="20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As of September 30, 2025, and December 31, 2024, the Company did not record an allowance for credit losses for its available-for-sale marketable securities.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770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SOLAREDGE TECHNOLOGIES INC.</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980" w:type="dxa"/>
            <w:vAlign w:val="bottom"/>
          </w:tcPr>
          <w:p>
            <w:pPr>
              <w:spacing w:after="0"/>
              <w:rPr>
                <w:sz w:val="24"/>
                <w:szCs w:val="24"/>
                <w:color w:val="auto"/>
              </w:rPr>
            </w:pPr>
          </w:p>
        </w:tc>
        <w:tc>
          <w:tcPr>
            <w:tcW w:w="808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 (Unaudited)</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980" w:type="dxa"/>
            <w:vAlign w:val="bottom"/>
          </w:tcPr>
          <w:p>
            <w:pPr>
              <w:spacing w:after="0"/>
              <w:rPr>
                <w:sz w:val="24"/>
                <w:szCs w:val="24"/>
                <w:color w:val="auto"/>
              </w:rPr>
            </w:pPr>
          </w:p>
        </w:tc>
        <w:tc>
          <w:tcPr>
            <w:tcW w:w="770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INVENTORIES, NET</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98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77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280,349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209,259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3,113</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250,450</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433,525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inventories, net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530,799</w:t>
            </w:r>
          </w:p>
        </w:tc>
        <w:tc>
          <w:tcPr>
            <w:tcW w:w="2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645,897</w:t>
            </w: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7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980" w:type="dxa"/>
            <w:vAlign w:val="bottom"/>
            <w:vMerge w:val="continue"/>
          </w:tcPr>
          <w:p>
            <w:pPr>
              <w:spacing w:after="0"/>
              <w:rPr>
                <w:sz w:val="24"/>
                <w:szCs w:val="24"/>
                <w:color w:val="auto"/>
              </w:rPr>
            </w:pPr>
          </w:p>
        </w:tc>
        <w:tc>
          <w:tcPr>
            <w:tcW w:w="77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98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77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Vendor non-trade receivables</w:t>
            </w:r>
            <w:r>
              <w:rPr>
                <w:rFonts w:ascii="Times New Roman" w:cs="Times New Roman" w:eastAsia="Times New Roman" w:hAnsi="Times New Roman"/>
                <w:sz w:val="26"/>
                <w:szCs w:val="26"/>
                <w:color w:val="auto"/>
                <w:vertAlign w:val="superscript"/>
              </w:rPr>
              <w:t>1</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198,211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Government authorities</w:t>
            </w:r>
            <w:r>
              <w:rPr>
                <w:rFonts w:ascii="Times New Roman" w:cs="Times New Roman" w:eastAsia="Times New Roman" w:hAnsi="Times New Roman"/>
                <w:sz w:val="26"/>
                <w:szCs w:val="26"/>
                <w:color w:val="auto"/>
                <w:vertAlign w:val="superscript"/>
              </w:rPr>
              <w:t>2</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258,093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213,290</w:t>
            </w:r>
          </w:p>
        </w:tc>
        <w:tc>
          <w:tcPr>
            <w:tcW w:w="0" w:type="dxa"/>
            <w:vAlign w:val="bottom"/>
          </w:tcPr>
          <w:p>
            <w:pPr>
              <w:spacing w:after="0"/>
              <w:rPr>
                <w:sz w:val="1"/>
                <w:szCs w:val="1"/>
                <w:color w:val="auto"/>
              </w:rPr>
            </w:pPr>
          </w:p>
        </w:tc>
      </w:tr>
      <w:tr>
        <w:trPr>
          <w:trHeight w:val="229"/>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w:t>
            </w:r>
          </w:p>
        </w:tc>
        <w:tc>
          <w:tcPr>
            <w:tcW w:w="7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36,770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25,291</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held for sale</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60,500</w:t>
            </w:r>
          </w:p>
        </w:tc>
        <w:tc>
          <w:tcPr>
            <w:tcW w:w="0" w:type="dxa"/>
            <w:vAlign w:val="bottom"/>
          </w:tcPr>
          <w:p>
            <w:pPr>
              <w:spacing w:after="0"/>
              <w:rPr>
                <w:sz w:val="1"/>
                <w:szCs w:val="1"/>
                <w:color w:val="auto"/>
              </w:rPr>
            </w:pPr>
          </w:p>
        </w:tc>
      </w:tr>
      <w:tr>
        <w:trPr>
          <w:trHeight w:val="237"/>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16,199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25,735</w:t>
            </w:r>
          </w:p>
        </w:tc>
        <w:tc>
          <w:tcPr>
            <w:tcW w:w="0" w:type="dxa"/>
            <w:vAlign w:val="bottom"/>
          </w:tcPr>
          <w:p>
            <w:pPr>
              <w:spacing w:after="0"/>
              <w:rPr>
                <w:sz w:val="1"/>
                <w:szCs w:val="1"/>
                <w:color w:val="auto"/>
              </w:rPr>
            </w:pPr>
          </w:p>
        </w:tc>
      </w:tr>
      <w:tr>
        <w:trPr>
          <w:trHeight w:val="230"/>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404,399</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523,027</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8"/>
        <w:spacing w:after="0" w:line="214" w:lineRule="auto"/>
        <w:tabs>
          <w:tab w:leader="none" w:pos="126"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Vendor non-trade receivables derived from the sale of components to manufacturing vendors who manufacture products, components and other testing equipment for the Company. The Company purchases these components directly from other suppliers. The Company does not reflect the sale of these components to the contract manufacturers in its revenues.</w:t>
      </w:r>
    </w:p>
    <w:p>
      <w:pPr>
        <w:spacing w:after="0" w:line="268" w:lineRule="exact"/>
        <w:rPr>
          <w:sz w:val="20"/>
          <w:szCs w:val="20"/>
          <w:color w:val="auto"/>
        </w:rPr>
      </w:pPr>
    </w:p>
    <w:p>
      <w:pPr>
        <w:ind w:right="20" w:firstLine="8"/>
        <w:spacing w:after="0" w:line="201" w:lineRule="auto"/>
        <w:tabs>
          <w:tab w:leader="none" w:pos="126"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Including (1) Advanced Manufacturing Production Tax Credits (“AMPTC”), which incentivize the production of eligible components within the U.S. under IRC Section 45X, (2) income tax receivables and (3) value-added tax receivables from tax authorities.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5240" w:type="dxa"/>
            <w:vAlign w:val="bottom"/>
            <w:gridSpan w:val="2"/>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9"/>
              </w:rPr>
              <w:t>SOLAREDGE TECHNOLOGIES INC.</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9060" w:type="dxa"/>
            <w:vAlign w:val="bottom"/>
            <w:gridSpan w:val="3"/>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 (Unaudited)</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3820" w:type="dxa"/>
            <w:vAlign w:val="bottom"/>
          </w:tcPr>
          <w:p>
            <w:pPr>
              <w:spacing w:after="0"/>
              <w:rPr>
                <w:sz w:val="24"/>
                <w:szCs w:val="24"/>
                <w:color w:val="auto"/>
              </w:rPr>
            </w:pPr>
          </w:p>
        </w:tc>
        <w:tc>
          <w:tcPr>
            <w:tcW w:w="5240" w:type="dxa"/>
            <w:vAlign w:val="bottom"/>
            <w:gridSpan w:val="2"/>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OTHER LONG TERM ASSETS</w:t>
            </w:r>
          </w:p>
        </w:tc>
        <w:tc>
          <w:tcPr>
            <w:tcW w:w="4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38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82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2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Cloud computing arrangements</w:t>
            </w:r>
          </w:p>
        </w:tc>
        <w:tc>
          <w:tcPr>
            <w:tcW w:w="4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29,366</w:t>
            </w:r>
          </w:p>
        </w:tc>
        <w:tc>
          <w:tcPr>
            <w:tcW w:w="100" w:type="dxa"/>
            <w:vAlign w:val="bottom"/>
            <w:shd w:val="clear" w:color="auto" w:fill="CCEEFF"/>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privately held companies</w:t>
            </w:r>
          </w:p>
        </w:tc>
        <w:tc>
          <w:tcPr>
            <w:tcW w:w="4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20,976</w:t>
            </w:r>
          </w:p>
        </w:tc>
      </w:tr>
      <w:tr>
        <w:trPr>
          <w:trHeight w:val="22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pay fund</w:t>
            </w:r>
          </w:p>
        </w:tc>
        <w:tc>
          <w:tcPr>
            <w:tcW w:w="4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9,185</w:t>
            </w:r>
          </w:p>
        </w:tc>
      </w:tr>
      <w:tr>
        <w:trPr>
          <w:trHeight w:val="237"/>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5,209</w:t>
            </w:r>
          </w:p>
        </w:tc>
      </w:tr>
      <w:tr>
        <w:trPr>
          <w:trHeight w:val="270"/>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long term assets</w:t>
            </w:r>
          </w:p>
        </w:tc>
        <w:tc>
          <w:tcPr>
            <w:tcW w:w="48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46,353</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64,736</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DERIVATIVE INSTRUMENTS AND HEDGING ACTIVITIES</w:t>
      </w:r>
    </w:p>
    <w:p>
      <w:pPr>
        <w:spacing w:after="0" w:line="2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instituted a foreign currency cash flow hedging program to reduce the risk of a forecasted increase in the value of foreign currency cash flows, resulting from payment of salaries in Israeli currency, the New Israeli Shekels (“NIS”). The Company hedges portions of the anticipated payroll denominated in NIS for a period of one to nine months with hedging contracts. These hedging contracts are designated as cash flow hedges, as defined by ASC 815 and are all effective hedges.</w:t>
      </w:r>
    </w:p>
    <w:p>
      <w:pPr>
        <w:spacing w:after="0" w:line="24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As of September 30, 2025, the Company entered into forward contracts as well as put and call options to sell U.S. dollars (“USD”) in the amounts of NIS 24 million and NIS 138 million, respectively.</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addition to the above-mentioned cash flow hedge transactions, the Company occasionally enters into derivative instrument arrangements to hedge the Company’s exposure to currencies other than USD. These derivative instruments are not designated as cash flow hedges, as defined by ASC 815, and therefore all gains and losses, resulting from fair value remeasurement, were recorded immediately in the condensed consolidated statement of loss, under “Financial income (expense), net”.</w:t>
      </w:r>
    </w:p>
    <w:p>
      <w:pPr>
        <w:spacing w:after="0" w:line="240"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As of September 30, 2025, the Company entered into forward contracts and put and call options to sell Euro (“EUR”) in the amounts of USD 30 million and USD 10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classifies cash flows related to its hedging as operating activities in its condensed consolidated statement of cash flows.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outstanding derivative instruments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9"/>
        </w:trPr>
        <w:tc>
          <w:tcPr>
            <w:tcW w:w="4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8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r>
      <w:tr>
        <w:trPr>
          <w:trHeight w:val="23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 of options and forward contracts:</w:t>
            </w:r>
          </w:p>
        </w:tc>
        <w:tc>
          <w:tcPr>
            <w:tcW w:w="180" w:type="dxa"/>
            <w:vAlign w:val="bottom"/>
            <w:shd w:val="clear" w:color="auto" w:fill="CCEEFF"/>
          </w:tcPr>
          <w:p>
            <w:pPr>
              <w:spacing w:after="0"/>
              <w:rPr>
                <w:sz w:val="19"/>
                <w:szCs w:val="19"/>
                <w:color w:val="auto"/>
              </w:rPr>
            </w:pPr>
          </w:p>
        </w:tc>
        <w:tc>
          <w:tcPr>
            <w:tcW w:w="4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Designated cash flow hedges</w:t>
            </w:r>
          </w:p>
        </w:tc>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1,262</w:t>
            </w:r>
          </w:p>
        </w:tc>
      </w:tr>
      <w:tr>
        <w:trPr>
          <w:trHeight w:val="229"/>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Non-designated hedges</w:t>
            </w:r>
          </w:p>
        </w:tc>
        <w:tc>
          <w:tcPr>
            <w:tcW w:w="4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derivative assets</w:t>
            </w:r>
          </w:p>
        </w:tc>
        <w:tc>
          <w:tcPr>
            <w:tcW w:w="18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1,262</w:t>
            </w:r>
          </w:p>
        </w:tc>
      </w:tr>
      <w:tr>
        <w:trPr>
          <w:trHeight w:val="20"/>
        </w:trPr>
        <w:tc>
          <w:tcPr>
            <w:tcW w:w="4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 of options and forward contracts:</w:t>
            </w:r>
          </w:p>
        </w:tc>
        <w:tc>
          <w:tcPr>
            <w:tcW w:w="180" w:type="dxa"/>
            <w:vAlign w:val="bottom"/>
            <w:shd w:val="clear" w:color="auto" w:fill="CCEEFF"/>
          </w:tcPr>
          <w:p>
            <w:pPr>
              <w:spacing w:after="0"/>
              <w:rPr>
                <w:sz w:val="19"/>
                <w:szCs w:val="19"/>
                <w:color w:val="auto"/>
              </w:rPr>
            </w:pPr>
          </w:p>
        </w:tc>
        <w:tc>
          <w:tcPr>
            <w:tcW w:w="4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4"/>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Non-designated hedges</w:t>
            </w:r>
          </w:p>
        </w:tc>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(losses) on derivative instruments are summarized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23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2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Affected line item</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8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 Designated Hedging</w:t>
            </w: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Condensed Consolidated Statements of</w:t>
            </w: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564</w:t>
            </w: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(3,621)</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34"/>
        </w:trPr>
        <w:tc>
          <w:tcPr>
            <w:tcW w:w="2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Instruments</w:t>
            </w: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 Financial income (expense), net</w:t>
            </w:r>
          </w:p>
        </w:tc>
        <w:tc>
          <w:tcPr>
            <w:tcW w:w="360" w:type="dxa"/>
            <w:vAlign w:val="bottom"/>
            <w:gridSpan w:val="2"/>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6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Condensed Consolidated Statements of</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Loss - Cash flow</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Designated Hedging Instruments</w:t>
            </w:r>
          </w:p>
        </w:tc>
        <w:tc>
          <w:tcPr>
            <w:tcW w:w="3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hedges</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571</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for information regarding gains (losses) from designated hedging instruments reclassified from accumulated other comprehensive loss.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5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accordance with ASC 820, “Fair Value Measurement”, the Company measures its cash equivalents and marketable securities, at fair value using the market approach valuation technique. Cash and cash equivalents are classified within Level 1 because these assets are valued using quoted market prices. Marketable securities and foreign currency derivative contracts are classified within level 2 due to these assets being valued by alternative pricing sources and models utilizing market observable inputs.</w:t>
      </w:r>
    </w:p>
    <w:p>
      <w:pPr>
        <w:spacing w:after="0" w:line="240"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The following table sets forth the Company’s assets that were measured at fair value as of September 30, 2025, and December 31, 2024, by level within the fair value hierarchy: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6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 measurements as of</w:t>
            </w:r>
          </w:p>
        </w:tc>
        <w:tc>
          <w:tcPr>
            <w:tcW w:w="0" w:type="dxa"/>
            <w:vAlign w:val="bottom"/>
          </w:tcPr>
          <w:p>
            <w:pPr>
              <w:spacing w:after="0"/>
              <w:rPr>
                <w:sz w:val="1"/>
                <w:szCs w:val="1"/>
                <w:color w:val="auto"/>
              </w:rPr>
            </w:pPr>
          </w:p>
        </w:tc>
      </w:tr>
      <w:tr>
        <w:trPr>
          <w:trHeight w:val="207"/>
        </w:trPr>
        <w:tc>
          <w:tcPr>
            <w:tcW w:w="7440" w:type="dxa"/>
            <w:vAlign w:val="bottom"/>
            <w:vMerge w:val="restart"/>
          </w:tcPr>
          <w:p>
            <w:pPr>
              <w:ind w:left="32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0" w:type="dxa"/>
            <w:vAlign w:val="bottom"/>
          </w:tcPr>
          <w:p>
            <w:pPr>
              <w:spacing w:after="0"/>
              <w:rPr>
                <w:sz w:val="18"/>
                <w:szCs w:val="18"/>
                <w:color w:val="auto"/>
              </w:rPr>
            </w:pPr>
          </w:p>
        </w:tc>
        <w:tc>
          <w:tcPr>
            <w:tcW w:w="13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44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Level 1</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417,229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239,020</w:t>
            </w:r>
          </w:p>
        </w:tc>
        <w:tc>
          <w:tcPr>
            <w:tcW w:w="0" w:type="dxa"/>
            <w:vAlign w:val="bottom"/>
          </w:tcPr>
          <w:p>
            <w:pPr>
              <w:spacing w:after="0"/>
              <w:rPr>
                <w:sz w:val="1"/>
                <w:szCs w:val="1"/>
                <w:color w:val="auto"/>
              </w:rPr>
            </w:pPr>
          </w:p>
        </w:tc>
      </w:tr>
      <w:tr>
        <w:trPr>
          <w:trHeight w:val="229"/>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21,070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21,075</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Level 1</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14,516</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47,481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135,328</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46,840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289,856</w:t>
            </w: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9,242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12,594</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8,829</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36,241</w:t>
            </w: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6,356</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WARRANTY OBLIGATIONS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Company’s product warranty obligations for the three and nine months ended September 30, 2025 and 2024,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23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6"/>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397,564</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490,832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432,365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518,244</w:t>
            </w:r>
          </w:p>
        </w:tc>
        <w:tc>
          <w:tcPr>
            <w:tcW w:w="100" w:type="dxa"/>
            <w:vAlign w:val="bottom"/>
            <w:shd w:val="clear" w:color="auto" w:fill="CCEEFF"/>
          </w:tcPr>
          <w:p>
            <w:pPr>
              <w:spacing w:after="0"/>
              <w:rPr>
                <w:sz w:val="19"/>
                <w:szCs w:val="19"/>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Accruals for warranty during the period</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20,177</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15,981</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54,271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47,320</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estimates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6,878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16,188</w:t>
            </w: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(27,040)</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(34,787)</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(91,235)</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(102,848)</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394,844</w:t>
            </w:r>
          </w:p>
        </w:tc>
        <w:tc>
          <w:tcPr>
            <w:tcW w:w="26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478,904</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394,844</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478,904</w:t>
            </w:r>
          </w:p>
        </w:tc>
        <w:tc>
          <w:tcPr>
            <w:tcW w:w="100" w:type="dxa"/>
            <w:vAlign w:val="bottom"/>
            <w:shd w:val="clear" w:color="auto" w:fill="CCEEFF"/>
          </w:tcPr>
          <w:p>
            <w:pPr>
              <w:spacing w:after="0"/>
              <w:rPr>
                <w:sz w:val="19"/>
                <w:szCs w:val="19"/>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(111,738)</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(163,561)</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(111,738)</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(163,561)</w:t>
            </w:r>
          </w:p>
        </w:tc>
      </w:tr>
      <w:tr>
        <w:trPr>
          <w:trHeight w:val="27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portion</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283,106</w:t>
            </w:r>
          </w:p>
        </w:tc>
        <w:tc>
          <w:tcPr>
            <w:tcW w:w="2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315,343</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283,106</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315,343</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5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DEFERRED REVENUES AND CUSTOMERS ADVANCES</w:t>
      </w:r>
    </w:p>
    <w:p>
      <w:pPr>
        <w:spacing w:after="0" w:line="2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Deferred revenues consist of deferred cloud-based monitoring services, communication services, warranty extension services and advance payments received from customers for the Company’s products. Deferred revenues are classified as short-term and long-term deferred revenues based on the period in which revenues are expected to be recognized.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balances of deferred revenues and customer advances during the period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23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285,905</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251,014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371,919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255,443</w:t>
            </w:r>
          </w:p>
        </w:tc>
        <w:tc>
          <w:tcPr>
            <w:tcW w:w="100" w:type="dxa"/>
            <w:vAlign w:val="bottom"/>
            <w:shd w:val="clear" w:color="auto" w:fill="CCEEFF"/>
          </w:tcPr>
          <w:p>
            <w:pPr>
              <w:spacing w:after="0"/>
              <w:rPr>
                <w:sz w:val="19"/>
                <w:szCs w:val="19"/>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(25,696)</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(17,824)</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(137,717)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(37,442)</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deferred revenues and customer advances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62,795</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20,947</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88,802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36,136</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323,004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254,137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323,004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254,137</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(45,873)</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(27,367)</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(45,873)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(27,367)</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Long term portion</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277,131</w:t>
            </w:r>
          </w:p>
        </w:tc>
        <w:tc>
          <w:tcPr>
            <w:tcW w:w="26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226,770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277,131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226,770</w:t>
            </w: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following table includes estimated revenues that the Company expects to be recognized in the future, related to performance obligations that are unsatisfied (or partially unsatisfied) as of September 30, 2025:</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7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27,141</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22,673</w:t>
            </w:r>
          </w:p>
        </w:tc>
      </w:tr>
      <w:tr>
        <w:trPr>
          <w:trHeight w:val="229"/>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7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13,962</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23,848</w:t>
            </w:r>
          </w:p>
        </w:tc>
      </w:tr>
      <w:tr>
        <w:trPr>
          <w:trHeight w:val="230"/>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7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23,728</w:t>
            </w:r>
          </w:p>
        </w:tc>
      </w:tr>
      <w:tr>
        <w:trPr>
          <w:trHeight w:val="23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7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211,652</w:t>
            </w:r>
          </w:p>
        </w:tc>
      </w:tr>
      <w:tr>
        <w:trPr>
          <w:trHeight w:val="270"/>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revenues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323,004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45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1"/>
        </w:trPr>
        <w:tc>
          <w:tcPr>
            <w:tcW w:w="9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960" w:type="dxa"/>
            <w:vAlign w:val="bottom"/>
          </w:tcPr>
          <w:p>
            <w:pPr>
              <w:spacing w:after="0"/>
              <w:rPr>
                <w:sz w:val="21"/>
                <w:szCs w:val="21"/>
                <w:color w:val="auto"/>
              </w:rPr>
            </w:pPr>
          </w:p>
        </w:tc>
        <w:tc>
          <w:tcPr>
            <w:tcW w:w="77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184,758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166,699</w:t>
            </w:r>
          </w:p>
        </w:tc>
        <w:tc>
          <w:tcPr>
            <w:tcW w:w="100" w:type="dxa"/>
            <w:vAlign w:val="bottom"/>
            <w:shd w:val="clear" w:color="auto" w:fill="CCEEFF"/>
          </w:tcPr>
          <w:p>
            <w:pPr>
              <w:spacing w:after="0"/>
              <w:rPr>
                <w:sz w:val="19"/>
                <w:szCs w:val="19"/>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authorities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22,364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51,705</w:t>
            </w: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13,717</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11,861</w:t>
            </w:r>
          </w:p>
        </w:tc>
        <w:tc>
          <w:tcPr>
            <w:tcW w:w="100" w:type="dxa"/>
            <w:vAlign w:val="bottom"/>
            <w:shd w:val="clear" w:color="auto" w:fill="CCEEFF"/>
          </w:tcPr>
          <w:p>
            <w:pPr>
              <w:spacing w:after="0"/>
              <w:rPr>
                <w:sz w:val="19"/>
                <w:szCs w:val="19"/>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Accrual for sales incentives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23,481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11,671</w:t>
            </w:r>
          </w:p>
        </w:tc>
        <w:tc>
          <w:tcPr>
            <w:tcW w:w="100" w:type="dxa"/>
            <w:vAlign w:val="bottom"/>
          </w:tcPr>
          <w:p>
            <w:pPr>
              <w:spacing w:after="0"/>
              <w:rPr>
                <w:sz w:val="19"/>
                <w:szCs w:val="19"/>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legal claims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r>
      <w:tr>
        <w:trPr>
          <w:trHeight w:val="23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7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00" w:type="dxa"/>
            <w:vAlign w:val="bottom"/>
          </w:tcPr>
          <w:p>
            <w:pPr>
              <w:spacing w:after="0"/>
              <w:rPr>
                <w:sz w:val="20"/>
                <w:szCs w:val="20"/>
                <w:color w:val="auto"/>
              </w:rPr>
            </w:pPr>
          </w:p>
        </w:tc>
      </w:tr>
      <w:tr>
        <w:trPr>
          <w:trHeight w:val="270"/>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262,842</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246,078</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CONVERTIBLE SENIOR NOTES</w:t>
      </w:r>
    </w:p>
    <w:p>
      <w:pPr>
        <w:spacing w:after="0" w:line="2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September 25, 2020, the Company sold an aggregate principal amount of $632,500 of its 0.00% convertible senior notes, due 2025 (the “Notes 2025”). The Notes 2025 were sold pursuant to an indenture, dated September 25, 2020 (the “Indenture”), between the Company and U.S. Bank National Association, as trustee. The Notes 2025 did not bear regular interest and matured on September 15, 2025. The Notes 2025 were general senior unsecured obligations of the Company. The initial conversion rate for the Notes 2025 was 3.5997 shares of common stock per $1,000 principal amount of Notes 2025, which was equivalent to an initial conversion price of approximately $277.80 per share of common stock, subject to adjustment upon the occurrence of certain specified events as set forth in the Indenture. In March 2025 the Company repurchased $5,250 principal amount of its Notes 2025. The Company recorded a net gain of $146, under other income, net, from the repurchase. The Company settled all of its remaining Notes 2025 on September 15, 2025. As part of the settlement, the Company paid $342,250 in cash towards principal amount of the Notes 2025 and no shares were issued in connection with the settlement as the conversion value was less than the principal amount of the Notes 2025. Following the settlement, there were no Notes 2025 outstanding as of September 30, 2025.</w:t>
      </w:r>
    </w:p>
    <w:p>
      <w:pPr>
        <w:spacing w:after="0" w:line="2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June 28, 2024, the Company sold an aggregate principal amount of $300,000 of its 2.25% convertible senior notes, due in 2029 (the “Notes 2029”). The Notes 2029 were sold pursuant to an indenture, dated June 28, 2024 (the “Indenture 2029”), between the Company and U.S. Bank National Association, as trustee. The Notes 2029 will bear interest at a rate of 2.25% per year, payable semiannually in arrears on January 1 and July 1 of each year, beginning on January 1, 2025. The Notes 2029 mature on July 1, 2029, unless repurchased, redeemed or converted in accordance with their terms prior to such date. The Notes 2029 are general senior unsecured obligations of the Company. Holders may convert their Notes 2029 at any time prior to the close of business on the business day immediately preceding April 1, 2029 in multiples of $1,000 principal amount, only under the following circumstances: (1) during any calendar quarter commencing after the calendar quarter ending on September 30, 2024 (and only during such calendar quarter), if the last reported sale price of the common stock for at least 20 trading days (whether or not consecutive) during the period of 30 consecutive trading days ending on, and including, the last trading day of the immediately preceding calendar quarter is greater than or equal to 130% of the conversion price on each applicable trading day; (2) during the five business day period after any five consecutive trading day period in which the trading price per $1,000 principal amount of the Notes 2029 for each trading day of that five consecutive trading day period was less than 98% of the product of the last reported sale price of the common stock and the conversion rate on each such trading day; or (3) upon the occurrence of specified corporate events or if the Company provides a notice of redemption as described in the Indenture 2029. In addition, holders may convert their Notes 2029, in multiples of $1,000 principal amount, at their option at any time beginning on or after April 1, 2029, and prior to the close of business on the second scheduled trading day immediately preceding the stated maturity date of the Notes 2029, without regard to the foregoing circumstances. The initial conversion rate for the Notes 2029 is 29.1375 shares of common stock per $1,000 principal amount of Notes 2029, which is equivalent to an initial conversion price of approximately $34.32 per share of common stock, subject to adjustment upon the occurrence of certain specified events as set forth in the Indenture 2029.</w:t>
      </w:r>
    </w:p>
    <w:p>
      <w:pPr>
        <w:spacing w:after="0" w:line="24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Upon conversion, the Company may choose to pay or deliver, as the case may be, cash, shares of common stock or a combination of cash and shares of common stock.</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addition, upon the occurrence of a fundamental change (as defined in the Indenture 2029), holders of the Notes 2029 may require the Company to repurchase all or a portion of their Notes 2029, in multiples of $1,000 principal amounts, at a repurchase price of 100% of the principal amount of the Notes 2029, plus any accrued and unpaid interest, if any, up to, but not including, the repurchase date. If certain fundamental changes referred to as make-whole fundamental changes occur, the conversion rate for the Notes 2029 may be increased.</w:t>
      </w:r>
    </w:p>
    <w:p>
      <w:pPr>
        <w:spacing w:after="0" w:line="2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Notes 2029 are not redeemable prior to July 6, 2027. On or after July 6, 2027, the Company may redeem the Notes 2029 at its option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2029 to be redeemed, plus accrued and unpaid interest, if any, up to, but excluding, the redemption date.</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proceeds from the offering of the Notes 2029 were approximately $293,200, after deducting fees and estimated expenses. Congruently, the Company has entered into capped call transactions (as detailed below). The Company used approximately $25,230 of the net proceeds from this offering to pay the cost of the capped call transactions. The Company also used approximately $267,900 of the net proceeds, from this offering, to repurchase $285,000 principal amount of its Notes 2025. In June 2024, the Company recorded under other income a gain of $15,456 from the repurchase of Notes 2025.</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accounts for the Notes 2029 at amortized cost, as a single unit of account on the balance sheet. The carrying value of the liability is represented by the face amount of the Notes 2029, less debt issuance costs, adjusted for any amortization of issuance costs. Issuance costs are being amortized as interest expense over the term of the Notes 2029, using the effective interest rate method.</w:t>
      </w:r>
    </w:p>
    <w:p>
      <w:pPr>
        <w:spacing w:after="0" w:line="2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capped call transactions are expected generally to reduce the potential dilution to the common stock upon any conversion of the Notes 2029 and/or offset any cash payments the Company is required to make in excess of the principal amount of converted Notes 2029, as the case may be, in the event that the market price per share of common stock, as measured under the terms of the capped call transactions, is greater than the strike price of the capped call transactions. The strike price initially corresponds to the conversion price of the Notes and is subject to customary anti-dilution adjustments. If, however, the market price per share of common stock exceeds $48.84, the initial cap price of the capped call transactions, there would nevertheless be unmitigated dilution and/or no offset of any cash payments, in each case, attributable to the amount by which the market price of the common stock exceeds the cap price. The cap price is subject to certain customary adjustments under the terms of the capped call transactions.</w:t>
      </w:r>
    </w:p>
    <w:p>
      <w:pPr>
        <w:spacing w:after="0" w:line="23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capped call transactions are considered a freestanding instrument as they were entered into separately and apart from Notes 2029. In addition, the conversion or redemption of the Notes 2029 would not automatically result in the exercise of the capped call.</w:t>
      </w:r>
    </w:p>
    <w:p>
      <w:pPr>
        <w:spacing w:after="0" w:line="2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the capped call transactions are indexed to the Company's common stock, they were recorded as a reduction of additional paid-in capital in the condensed consolidated balance sheets.</w:t>
      </w:r>
    </w:p>
    <w:p>
      <w:pPr>
        <w:spacing w:after="0" w:line="2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On July 8, 2024 the Company sold to Goldman Sachs &amp; Co. LLC, as representative of the several initial purchasers (the “Initial Purchasers”), and the Initial Purchasers purchased from the Company, $37,000 aggregate principal amount of additional Notes 2029. The additional Notes 2029 were sold pursuant to the Initial Purchasers’ exercise of the option granted by the Company to the Initial Purchasers to purchase additional Notes 2029, solely to cover over-allotments, under the purchase agreement described in the Company's Form 8-K filed on June 28, 2024.</w:t>
      </w:r>
    </w:p>
    <w:p>
      <w:pPr>
        <w:spacing w:after="0" w:line="24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net proceeds from the exercise of the option granted by the Company to the Initial Purchasers of the Notes 2029 were approximately $36,237, after deducting fees and estimated expenses. Congruently, the Company has entered into additional capped call transactions. The Company used approximately $3,111 of the net proceeds from this offering to pay the cost of the additional capped call transactions. The Company intends to use the remainder of the net proceeds from the offering for general corporate purposes.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SOLAREDGE TECHNOLOGIES INC.</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9060" w:type="dxa"/>
            <w:vAlign w:val="bottom"/>
            <w:gridSpan w:val="2"/>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 (Unaudited)</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convertible senior notes consisted of the following as of September 30, 2025 and December 31, 2024:</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2025</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347,500</w:t>
            </w:r>
          </w:p>
        </w:tc>
      </w:tr>
      <w:tr>
        <w:trPr>
          <w:trHeight w:val="237"/>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Unamortized issuance costs</w:t>
            </w: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(1,195)</w:t>
            </w:r>
          </w:p>
        </w:tc>
      </w:tr>
      <w:tr>
        <w:trPr>
          <w:trHeight w:val="229"/>
        </w:trPr>
        <w:tc>
          <w:tcPr>
            <w:tcW w:w="8680" w:type="dxa"/>
            <w:vAlign w:val="bottom"/>
            <w:tcBorders>
              <w:top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carrying amount Notes 2025</w:t>
            </w:r>
          </w:p>
        </w:tc>
        <w:tc>
          <w:tcPr>
            <w:tcW w:w="3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346,305</w:t>
            </w:r>
          </w:p>
        </w:tc>
        <w:tc>
          <w:tcPr>
            <w:tcW w:w="100" w:type="dxa"/>
            <w:vAlign w:val="bottom"/>
            <w:tcBorders>
              <w:top w:val="single" w:sz="8" w:color="CCEEFF"/>
            </w:tcBorders>
          </w:tcPr>
          <w:p>
            <w:pPr>
              <w:spacing w:after="0"/>
              <w:rPr>
                <w:sz w:val="19"/>
                <w:szCs w:val="19"/>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2029</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337,000</w:t>
            </w:r>
          </w:p>
        </w:tc>
      </w:tr>
      <w:tr>
        <w:trPr>
          <w:trHeight w:val="237"/>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Unamortized issuance costs</w:t>
            </w: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(5,831)</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(6,994)</w:t>
            </w:r>
          </w:p>
        </w:tc>
      </w:tr>
      <w:tr>
        <w:trPr>
          <w:trHeight w:val="236"/>
        </w:trPr>
        <w:tc>
          <w:tcPr>
            <w:tcW w:w="8680" w:type="dxa"/>
            <w:vAlign w:val="bottom"/>
            <w:tcBorders>
              <w:top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carrying amount Notes 2029</w:t>
            </w:r>
          </w:p>
        </w:tc>
        <w:tc>
          <w:tcPr>
            <w:tcW w:w="3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331,169</w:t>
            </w:r>
          </w:p>
        </w:tc>
        <w:tc>
          <w:tcPr>
            <w:tcW w:w="22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330,006</w:t>
            </w:r>
          </w:p>
        </w:tc>
        <w:tc>
          <w:tcPr>
            <w:tcW w:w="100" w:type="dxa"/>
            <w:vAlign w:val="bottom"/>
            <w:tcBorders>
              <w:top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notes carrying amount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331,169</w:t>
            </w:r>
          </w:p>
        </w:tc>
        <w:tc>
          <w:tcPr>
            <w:tcW w:w="2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676,311</w:t>
            </w:r>
          </w:p>
        </w:tc>
      </w:tr>
      <w:tr>
        <w:trPr>
          <w:trHeight w:val="21"/>
        </w:trPr>
        <w:tc>
          <w:tcPr>
            <w:tcW w:w="8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related to the Notes 2025 and the Notes 2029 for the three and nine months ended September 30, 2025 and September 30, 2024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7"/>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Notes 2025</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issuance cost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1,874</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Notes 2029</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issuance cost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1,896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5,687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1,950</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the unamortized issuance costs of the Notes 2029 will be amortized over the remaining term of approximately 3.8 years.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effective interest rates of the Notes 2029 is 2.75%.</w:t>
      </w:r>
    </w:p>
    <w:p>
      <w:pPr>
        <w:spacing w:after="0" w:line="2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 of September 30, 2025, the estimated fair value of the Notes 2029, which the Company has classified as Level 2 financial instruments, is $460,848. The estimated fair value was determined based on the quoted bid price of the Notes 2029 in an over-the-counter market on the last trading day of the reporting period.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the if-converted value of the Notes 2029 exceeded the principal amount by $26,316.</w:t>
      </w:r>
    </w:p>
    <w:p>
      <w:pPr>
        <w:spacing w:after="0" w:line="26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OTHER LONG TERM LIABILITIES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9"/>
        </w:trPr>
        <w:tc>
          <w:tcPr>
            <w:tcW w:w="8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liabilities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severance pay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6,079</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accrued expenses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2,347</w:t>
            </w:r>
          </w:p>
        </w:tc>
      </w:tr>
      <w:tr>
        <w:trPr>
          <w:trHeight w:val="270"/>
        </w:trPr>
        <w:tc>
          <w:tcPr>
            <w:tcW w:w="86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15,437</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STOCK CAPITAL</w:t>
      </w:r>
    </w:p>
    <w:p>
      <w:pPr>
        <w:spacing w:after="0" w:line="283"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rights:</w:t>
      </w:r>
    </w:p>
    <w:p>
      <w:pPr>
        <w:spacing w:after="0" w:line="279" w:lineRule="exact"/>
        <w:rPr>
          <w:rFonts w:ascii="Times New Roman" w:cs="Times New Roman" w:eastAsia="Times New Roman" w:hAnsi="Times New Roman"/>
          <w:sz w:val="18"/>
          <w:szCs w:val="18"/>
          <w:color w:val="auto"/>
        </w:rPr>
      </w:pPr>
    </w:p>
    <w:p>
      <w:pPr>
        <w:jc w:val="both"/>
        <w:ind w:left="6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confers upon its holders the right to receive notice of, and to participate in, all general meetings of the Company, where each share of common stock shall have one vote for all purposes, to share equally, on a per share basis, in bonuses, profits, or distributions out of fund legally available therefor, and to participate in the distribution of the surplus assets of the Company in the event of liquidation of the Company.</w:t>
      </w:r>
    </w:p>
    <w:p>
      <w:pPr>
        <w:spacing w:after="0" w:line="2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Incentive Plans:</w:t>
      </w:r>
    </w:p>
    <w:p>
      <w:pPr>
        <w:spacing w:after="0" w:line="279" w:lineRule="exact"/>
        <w:rPr>
          <w:rFonts w:ascii="Times New Roman" w:cs="Times New Roman" w:eastAsia="Times New Roman" w:hAnsi="Times New Roman"/>
          <w:sz w:val="18"/>
          <w:szCs w:val="18"/>
          <w:color w:val="auto"/>
        </w:rPr>
      </w:pPr>
    </w:p>
    <w:p>
      <w:pPr>
        <w:jc w:val="both"/>
        <w:ind w:left="66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Amended and Restated 2015 Global Incentive Plan (the “2015 Plan”) became effective upon the consummation of the Company's IPO. The 2015 Plan provides for the grant of options, restricted stock units (“RSU”), performance stock units (“PSU”), and other stock-based awards to directors, employees, officers, and non-employees of the Company and its subsidiaries. As of September 30, 2025, a total of 26,648,950 shares of common stock were reserved for issuance pursuant to stock awards under the 2015 Plan (the “Share Reserve”), an aggregate of 12,318,881 shares are still available for future grants.</w:t>
      </w:r>
    </w:p>
    <w:p>
      <w:pPr>
        <w:spacing w:after="0" w:line="23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its 2015 Plan, the Company granted PSU awards to certain employees and officers which vest upon the achievement of certain market conditions subject to their continued employment with the Company.</w:t>
      </w:r>
    </w:p>
    <w:p>
      <w:pPr>
        <w:spacing w:after="0" w:line="22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condition for the PSUs is based on either the Company’s share price target or total shareholder return (“TSR”) compared to the TSR of companies listed in the S&amp;P 500 index over a two to three year performance period or the 30-day successive average trading price of the Company’s common stock, and are subject to a three-year vesting period. The Company uses a Monte-Carlo simulation to determine the grant date fair value for these awards, which takes into consideration the market price of a share of the Company’s common stock on the date of grant less the present value of dividends expected during the requisite service period, as well as the possible outcomes pertaining to the TSR market condition. The Company recognizes such compensation expenses on an accelerated vesting method.</w:t>
      </w:r>
    </w:p>
    <w:p>
      <w:pPr>
        <w:spacing w:after="0" w:line="243"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maximum number of shares of common stock that may be issued on the exercise of incentive stock options is 10,000,000. As of September 30, 2025, an aggregate of 8,699,806 options are still available for future grants under the 2015 Plan.</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the activity in stock options and related information is as follows:</w:t>
      </w:r>
    </w:p>
    <w:p>
      <w:pPr>
        <w:spacing w:after="0" w:line="28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5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30"/>
        </w:trPr>
        <w:tc>
          <w:tcPr>
            <w:tcW w:w="500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term in</w:t>
            </w:r>
          </w:p>
        </w:tc>
        <w:tc>
          <w:tcPr>
            <w:tcW w:w="120" w:type="dxa"/>
            <w:vAlign w:val="bottom"/>
          </w:tcPr>
          <w:p>
            <w:pPr>
              <w:spacing w:after="0"/>
              <w:rPr>
                <w:sz w:val="19"/>
                <w:szCs w:val="19"/>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59"/>
        </w:trPr>
        <w:tc>
          <w:tcPr>
            <w:tcW w:w="5000" w:type="dxa"/>
            <w:vAlign w:val="bottom"/>
          </w:tcPr>
          <w:p>
            <w:pPr>
              <w:spacing w:after="0"/>
              <w:rPr>
                <w:sz w:val="22"/>
                <w:szCs w:val="22"/>
                <w:color w:val="auto"/>
              </w:rPr>
            </w:pPr>
          </w:p>
        </w:tc>
        <w:tc>
          <w:tcPr>
            <w:tcW w:w="11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22"/>
                <w:szCs w:val="22"/>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20" w:type="dxa"/>
            <w:vAlign w:val="bottom"/>
          </w:tcPr>
          <w:p>
            <w:pPr>
              <w:spacing w:after="0"/>
              <w:rPr>
                <w:sz w:val="22"/>
                <w:szCs w:val="22"/>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283,419</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200" w:type="dxa"/>
            <w:vAlign w:val="bottom"/>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8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(10,400)</w:t>
            </w: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21.23</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r>
      <w:tr>
        <w:trPr>
          <w:trHeight w:val="237"/>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(81,832)</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86.86</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September 30, 2025</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191,187</w:t>
            </w: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49.37</w:t>
            </w:r>
          </w:p>
        </w:tc>
        <w:tc>
          <w:tcPr>
            <w:tcW w:w="112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1,578</w:t>
            </w:r>
          </w:p>
        </w:tc>
      </w:tr>
      <w:tr>
        <w:trPr>
          <w:trHeight w:val="20"/>
        </w:trPr>
        <w:tc>
          <w:tcPr>
            <w:tcW w:w="5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as of September 30, 2025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191,187</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September 30, 2025</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191,187</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49.37</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1,578</w:t>
            </w:r>
          </w:p>
        </w:tc>
      </w:tr>
      <w:tr>
        <w:trPr>
          <w:trHeight w:val="20"/>
        </w:trPr>
        <w:tc>
          <w:tcPr>
            <w:tcW w:w="5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intrinsic value is the amount by which the closing price of the Company’s common stock on September 30, 2025, or the price on the day of exercise exceeds the exercise price of the stock options, multiplied by the number of in-the-money options.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26" w:name="page27"/>
    <w:bookmarkEnd w:id="26"/>
    <w:tbl>
      <w:tblPr>
        <w:tblLayout w:type="fixed"/>
        <w:tblInd w:w="328"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420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SOLAREDGE TECHNOLOGIES INC.</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8480" w:type="dxa"/>
            <w:vAlign w:val="bottom"/>
            <w:gridSpan w:val="11"/>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 (Unaudited)</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3000" w:type="dxa"/>
            <w:vAlign w:val="bottom"/>
          </w:tcPr>
          <w:p>
            <w:pPr>
              <w:spacing w:after="0"/>
              <w:rPr>
                <w:sz w:val="24"/>
                <w:szCs w:val="24"/>
                <w:color w:val="auto"/>
              </w:rPr>
            </w:pPr>
          </w:p>
        </w:tc>
        <w:tc>
          <w:tcPr>
            <w:tcW w:w="420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7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 summary of the activity in the RSUs and PSUs and related information is as follows:</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06"/>
        </w:trPr>
        <w:tc>
          <w:tcPr>
            <w:tcW w:w="3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RSU</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PSU</w:t>
            </w: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7"/>
        </w:trPr>
        <w:tc>
          <w:tcPr>
            <w:tcW w:w="30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8"/>
                <w:szCs w:val="18"/>
                <w:color w:val="auto"/>
              </w:rPr>
            </w:pPr>
          </w:p>
        </w:tc>
      </w:tr>
      <w:tr>
        <w:trPr>
          <w:trHeight w:val="230"/>
        </w:trPr>
        <w:tc>
          <w:tcPr>
            <w:tcW w:w="30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9"/>
                <w:szCs w:val="19"/>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0" w:type="dxa"/>
            <w:vAlign w:val="bottom"/>
          </w:tcPr>
          <w:p>
            <w:pPr>
              <w:spacing w:after="0"/>
              <w:rPr>
                <w:sz w:val="19"/>
                <w:szCs w:val="19"/>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80" w:type="dxa"/>
            <w:vAlign w:val="bottom"/>
          </w:tcPr>
          <w:p>
            <w:pPr>
              <w:spacing w:after="0"/>
              <w:rPr>
                <w:sz w:val="19"/>
                <w:szCs w:val="19"/>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30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8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59"/>
        </w:trPr>
        <w:tc>
          <w:tcPr>
            <w:tcW w:w="30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2"/>
                <w:szCs w:val="22"/>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fair value</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80" w:type="dxa"/>
            <w:vAlign w:val="bottom"/>
          </w:tcPr>
          <w:p>
            <w:pPr>
              <w:spacing w:after="0"/>
              <w:rPr>
                <w:sz w:val="22"/>
                <w:szCs w:val="22"/>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fair value</w:t>
            </w:r>
          </w:p>
        </w:tc>
      </w:tr>
      <w:tr>
        <w:trPr>
          <w:trHeight w:val="22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2000" w:type="dxa"/>
            <w:vAlign w:val="bottom"/>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3,395,347</w:t>
            </w:r>
          </w:p>
        </w:tc>
        <w:tc>
          <w:tcPr>
            <w:tcW w:w="18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334,254</w:t>
            </w:r>
          </w:p>
        </w:tc>
        <w:tc>
          <w:tcPr>
            <w:tcW w:w="160" w:type="dxa"/>
            <w:vAlign w:val="bottom"/>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80" w:type="dxa"/>
            <w:vAlign w:val="bottom"/>
            <w:shd w:val="clear" w:color="auto" w:fill="CCEEFF"/>
          </w:tcPr>
          <w:p>
            <w:pPr>
              <w:spacing w:after="0"/>
              <w:rPr>
                <w:sz w:val="19"/>
                <w:szCs w:val="19"/>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2,234,425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15.64</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769,938</w:t>
            </w:r>
          </w:p>
        </w:tc>
        <w:tc>
          <w:tcPr>
            <w:tcW w:w="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6.39</w:t>
            </w:r>
          </w:p>
        </w:tc>
      </w:tr>
      <w:tr>
        <w:trPr>
          <w:trHeight w:val="22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3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(1,009,162)</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79.56</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3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(755,078)</w:t>
            </w: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67.99</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(206,808)</w:t>
            </w:r>
          </w:p>
        </w:tc>
        <w:tc>
          <w:tcPr>
            <w:tcW w:w="8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70.67</w:t>
            </w:r>
          </w:p>
        </w:tc>
      </w:tr>
      <w:tr>
        <w:trPr>
          <w:trHeight w:val="270"/>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September 30, 2025</w:t>
            </w:r>
          </w:p>
        </w:tc>
        <w:tc>
          <w:tcPr>
            <w:tcW w:w="20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3,865,532</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897,384</w:t>
            </w:r>
          </w:p>
        </w:tc>
        <w:tc>
          <w:tcPr>
            <w:tcW w:w="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80" w:type="dxa"/>
            <w:vAlign w:val="bottom"/>
            <w:tcBorders>
              <w:bottom w:val="single" w:sz="8" w:color="CCEEFF"/>
            </w:tcBorders>
            <w:shd w:val="clear" w:color="auto" w:fill="CCEEFF"/>
          </w:tcPr>
          <w:p>
            <w:pPr>
              <w:spacing w:after="0"/>
              <w:rPr>
                <w:sz w:val="23"/>
                <w:szCs w:val="23"/>
                <w:color w:val="auto"/>
              </w:rPr>
            </w:pPr>
          </w:p>
        </w:tc>
      </w:tr>
    </w:tbl>
    <w:p>
      <w:pPr>
        <w:spacing w:after="0" w:line="225" w:lineRule="exact"/>
        <w:rPr>
          <w:sz w:val="20"/>
          <w:szCs w:val="20"/>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Stock Purchase Plan (“ESPP”):</w:t>
      </w:r>
    </w:p>
    <w:p>
      <w:pPr>
        <w:spacing w:after="0" w:line="279" w:lineRule="exact"/>
        <w:rPr>
          <w:rFonts w:ascii="Times New Roman" w:cs="Times New Roman" w:eastAsia="Times New Roman" w:hAnsi="Times New Roman"/>
          <w:sz w:val="18"/>
          <w:szCs w:val="18"/>
          <w:color w:val="auto"/>
        </w:rPr>
      </w:pPr>
    </w:p>
    <w:p>
      <w:pPr>
        <w:ind w:left="328" w:right="2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adopted an ESPP effective upon the consummation of the IPO. As of September 30, 2025, a total of 5,125,666 shares were reserved for issuance under this plan.</w:t>
      </w:r>
    </w:p>
    <w:p>
      <w:pPr>
        <w:spacing w:after="0" w:line="216" w:lineRule="exact"/>
        <w:rPr>
          <w:rFonts w:ascii="Times New Roman" w:cs="Times New Roman" w:eastAsia="Times New Roman" w:hAnsi="Times New Roman"/>
          <w:sz w:val="18"/>
          <w:szCs w:val="18"/>
          <w:color w:val="auto"/>
        </w:rPr>
      </w:pPr>
    </w:p>
    <w:p>
      <w:pPr>
        <w:jc w:val="both"/>
        <w:ind w:left="328"/>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ESPP is implemented through an offering every six months. According to the ESPP, eligible employees may use the lesser of either up to 15% of their salaries or $15,000 per participant, to purchase common stock for every six month plan. The price of an ordinary share purchased under the ESPP is equal to 85% of the lower of the fair market value of the ordinary share on the subscription date of each offering period or on the purchase date.</w:t>
      </w:r>
    </w:p>
    <w:p>
      <w:pPr>
        <w:spacing w:after="0" w:line="226"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2025, 2,311,170 shares of common stock have been purchased under the ESPP.</w:t>
      </w:r>
    </w:p>
    <w:p>
      <w:pPr>
        <w:spacing w:after="0" w:line="292"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2025, 2,814,496 shares of common stock were available for future issuance under the ESPP.</w:t>
      </w:r>
    </w:p>
    <w:p>
      <w:pPr>
        <w:spacing w:after="0" w:line="292"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ASC No. 718, the ESPP is compensatory and, as such, results in recognition of compensation cost.</w:t>
      </w:r>
    </w:p>
    <w:p>
      <w:pPr>
        <w:spacing w:after="0" w:line="2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expenses:</w:t>
      </w:r>
    </w:p>
    <w:p>
      <w:pPr>
        <w:spacing w:after="0" w:line="279" w:lineRule="exact"/>
        <w:rPr>
          <w:rFonts w:ascii="Times New Roman" w:cs="Times New Roman" w:eastAsia="Times New Roman" w:hAnsi="Times New Roman"/>
          <w:sz w:val="18"/>
          <w:szCs w:val="18"/>
          <w:color w:val="auto"/>
        </w:rPr>
      </w:pPr>
    </w:p>
    <w:p>
      <w:pPr>
        <w:ind w:left="328"/>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stock-based compensation expenses related to all stock-based awards in the consolidated statement of loss for the three and nine months ended September 30, 2025, and 2024, as follows:</w:t>
      </w:r>
    </w:p>
    <w:p>
      <w:pPr>
        <w:spacing w:after="0" w:line="199" w:lineRule="exact"/>
        <w:rPr>
          <w:sz w:val="20"/>
          <w:szCs w:val="20"/>
          <w:color w:val="auto"/>
        </w:rPr>
      </w:pPr>
    </w:p>
    <w:tbl>
      <w:tblPr>
        <w:tblLayout w:type="fixed"/>
        <w:tblInd w:w="328"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19"/>
                <w:szCs w:val="19"/>
                <w:color w:val="auto"/>
              </w:rPr>
            </w:pPr>
          </w:p>
        </w:tc>
        <w:tc>
          <w:tcPr>
            <w:tcW w:w="194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21"/>
                <w:szCs w:val="21"/>
                <w:color w:val="auto"/>
              </w:rPr>
            </w:pPr>
          </w:p>
        </w:tc>
        <w:tc>
          <w:tcPr>
            <w:tcW w:w="194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6"/>
        </w:trPr>
        <w:tc>
          <w:tcPr>
            <w:tcW w:w="50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3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6,038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12,335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18,224</w:t>
            </w:r>
          </w:p>
        </w:tc>
      </w:tr>
      <w:tr>
        <w:trPr>
          <w:trHeight w:val="230"/>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17,115</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36,448</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51,893</w:t>
            </w:r>
          </w:p>
        </w:tc>
      </w:tr>
      <w:tr>
        <w:trPr>
          <w:trHeight w:val="229"/>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6,816</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13,432</w:t>
            </w:r>
          </w:p>
        </w:tc>
        <w:tc>
          <w:tcPr>
            <w:tcW w:w="1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22,876</w:t>
            </w:r>
          </w:p>
        </w:tc>
      </w:tr>
      <w:tr>
        <w:trPr>
          <w:trHeight w:val="230"/>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19,825</w:t>
            </w:r>
          </w:p>
        </w:tc>
      </w:tr>
      <w:tr>
        <w:trPr>
          <w:trHeight w:val="27"/>
        </w:trPr>
        <w:tc>
          <w:tcPr>
            <w:tcW w:w="50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21,885</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36,641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72,572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112,818</w:t>
            </w:r>
          </w:p>
        </w:tc>
      </w:tr>
      <w:tr>
        <w:trPr>
          <w:trHeight w:val="20"/>
        </w:trPr>
        <w:tc>
          <w:tcPr>
            <w:tcW w:w="5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5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capitalized:</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2,387</w:t>
            </w:r>
          </w:p>
        </w:tc>
      </w:tr>
      <w:tr>
        <w:trPr>
          <w:trHeight w:val="237"/>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508</w:t>
            </w: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1,214</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1,451</w:t>
            </w:r>
          </w:p>
        </w:tc>
      </w:tr>
      <w:tr>
        <w:trPr>
          <w:trHeight w:val="270"/>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capitalized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80" w:type="dxa"/>
            <w:vAlign w:val="bottom"/>
            <w:tcBorders>
              <w:bottom w:val="single" w:sz="8" w:color="CCEEFF"/>
            </w:tcBorders>
            <w:shd w:val="clear" w:color="auto" w:fill="CCEEFF"/>
          </w:tcPr>
          <w:p>
            <w:pPr>
              <w:spacing w:after="0"/>
              <w:rPr>
                <w:sz w:val="23"/>
                <w:szCs w:val="23"/>
                <w:color w:val="auto"/>
              </w:rPr>
            </w:pPr>
          </w:p>
        </w:tc>
      </w:tr>
    </w:tbl>
    <w:p>
      <w:pPr>
        <w:spacing w:after="0" w:line="252" w:lineRule="exact"/>
        <w:rPr>
          <w:sz w:val="20"/>
          <w:szCs w:val="20"/>
          <w:color w:val="auto"/>
        </w:rPr>
      </w:pPr>
    </w:p>
    <w:p>
      <w:pPr>
        <w:jc w:val="both"/>
        <w:ind w:left="328"/>
        <w:spacing w:after="0" w:line="297" w:lineRule="auto"/>
        <w:rPr>
          <w:sz w:val="20"/>
          <w:szCs w:val="20"/>
          <w:color w:val="auto"/>
        </w:rPr>
      </w:pPr>
      <w:r>
        <w:rPr>
          <w:rFonts w:ascii="Times New Roman" w:cs="Times New Roman" w:eastAsia="Times New Roman" w:hAnsi="Times New Roman"/>
          <w:sz w:val="18"/>
          <w:szCs w:val="18"/>
          <w:color w:val="auto"/>
        </w:rPr>
        <w:t>For the three and nine months ended September 30, 2025 and 2024, no amounts of tax benefits were recorded in regard to stock-based compensation.</w:t>
      </w:r>
    </w:p>
    <w:p>
      <w:pPr>
        <w:spacing w:after="0" w:line="217" w:lineRule="exact"/>
        <w:rPr>
          <w:sz w:val="20"/>
          <w:szCs w:val="20"/>
          <w:color w:val="auto"/>
        </w:rPr>
      </w:pPr>
    </w:p>
    <w:p>
      <w:pPr>
        <w:jc w:val="both"/>
        <w:ind w:left="328"/>
        <w:spacing w:after="0" w:line="274" w:lineRule="auto"/>
        <w:rPr>
          <w:sz w:val="20"/>
          <w:szCs w:val="20"/>
          <w:color w:val="auto"/>
        </w:rPr>
      </w:pPr>
      <w:r>
        <w:rPr>
          <w:rFonts w:ascii="Times New Roman" w:cs="Times New Roman" w:eastAsia="Times New Roman" w:hAnsi="Times New Roman"/>
          <w:sz w:val="18"/>
          <w:szCs w:val="18"/>
          <w:color w:val="auto"/>
        </w:rPr>
        <w:t>As of September 30, 2025, there were total unrecognized compensation expenses in the amount of $141,367 related to non-vested equity-based compensation arrangements granted. These expenses are expected to be recognized during the period from October 1, 2025, through September 30, 2029.</w:t>
      </w:r>
    </w:p>
    <w:p>
      <w:pPr>
        <w:spacing w:after="0" w:line="263" w:lineRule="exact"/>
        <w:rPr>
          <w:sz w:val="20"/>
          <w:szCs w:val="20"/>
          <w:color w:val="auto"/>
        </w:rPr>
      </w:pPr>
    </w:p>
    <w:p>
      <w:pPr>
        <w:ind w:left="2908"/>
        <w:spacing w:after="0"/>
        <w:rPr>
          <w:sz w:val="20"/>
          <w:szCs w:val="20"/>
          <w:color w:val="auto"/>
        </w:rPr>
      </w:pPr>
      <w:r>
        <w:rPr>
          <w:rFonts w:ascii="Times New Roman" w:cs="Times New Roman" w:eastAsia="Times New Roman" w:hAnsi="Times New Roman"/>
          <w:sz w:val="18"/>
          <w:szCs w:val="18"/>
          <w:color w:val="auto"/>
        </w:rPr>
        <w:t>SOLAREDGE TECHNOLOGIES INC. | 2025 Form 10-Q | 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128905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482" w:right="339" w:bottom="65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COMMITMENTS AND CONTINGENT LIABILITIES</w:t>
      </w:r>
    </w:p>
    <w:p>
      <w:pPr>
        <w:spacing w:after="0" w:line="28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w:t>
      </w:r>
    </w:p>
    <w:p>
      <w:pPr>
        <w:spacing w:after="0" w:line="279" w:lineRule="exact"/>
        <w:rPr>
          <w:rFonts w:ascii="Times New Roman" w:cs="Times New Roman" w:eastAsia="Times New Roman" w:hAnsi="Times New Roman"/>
          <w:sz w:val="18"/>
          <w:szCs w:val="18"/>
          <w:color w:val="auto"/>
        </w:rPr>
      </w:pPr>
    </w:p>
    <w:p>
      <w:pPr>
        <w:ind w:left="66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2025, contingent liabilities exist regarding guarantees in the amounts of $43,455, $4,564 and $1,522, for each of securing projects with customers and vendors, office rent lease agreements, and other transactions, respectively.</w:t>
      </w:r>
    </w:p>
    <w:p>
      <w:pPr>
        <w:spacing w:after="0" w:line="2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purchase obligations:</w:t>
      </w:r>
    </w:p>
    <w:p>
      <w:pPr>
        <w:spacing w:after="0" w:line="279" w:lineRule="exact"/>
        <w:rPr>
          <w:rFonts w:ascii="Times New Roman" w:cs="Times New Roman" w:eastAsia="Times New Roman" w:hAnsi="Times New Roman"/>
          <w:sz w:val="18"/>
          <w:szCs w:val="18"/>
          <w:color w:val="auto"/>
        </w:rPr>
      </w:pPr>
    </w:p>
    <w:p>
      <w:pPr>
        <w:jc w:val="both"/>
        <w:ind w:left="66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contractual obligations to purchase goods and raw materials. These contractual purchase obligations relate to inventories and other purchase orders, which cannot be canceled without penalty. In addition, the Company acquires raw materials or other goods and services, including product components, by issuing authorizations to its suppliers to purchase materials based on its projected demand and manufacturing needs.</w:t>
      </w:r>
    </w:p>
    <w:p>
      <w:pPr>
        <w:spacing w:after="0" w:line="226" w:lineRule="exact"/>
        <w:rPr>
          <w:rFonts w:ascii="Times New Roman" w:cs="Times New Roman" w:eastAsia="Times New Roman" w:hAnsi="Times New Roman"/>
          <w:sz w:val="18"/>
          <w:szCs w:val="18"/>
          <w:color w:val="auto"/>
        </w:rPr>
      </w:pPr>
    </w:p>
    <w:p>
      <w:pPr>
        <w:ind w:left="66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2025, the Company had non-cancellable purchase obligations totaling approximately $530,674, out of which the Company recorded a provision for loss in the amount of $25,493.</w:t>
      </w:r>
    </w:p>
    <w:p>
      <w:pPr>
        <w:spacing w:after="0" w:line="216" w:lineRule="exact"/>
        <w:rPr>
          <w:rFonts w:ascii="Times New Roman" w:cs="Times New Roman" w:eastAsia="Times New Roman" w:hAnsi="Times New Roman"/>
          <w:sz w:val="18"/>
          <w:szCs w:val="18"/>
          <w:color w:val="auto"/>
        </w:rPr>
      </w:pPr>
    </w:p>
    <w:p>
      <w:pPr>
        <w:jc w:val="both"/>
        <w:ind w:left="66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2025, the Company had contractual obligations for capital expenditures totaling approximately $26,513. These commitments reflect purchases of automated assembly lines and other machinery related to the Company’s general manufacturing process and are primarily for its new manufacturing sites in the U.S.</w:t>
      </w:r>
    </w:p>
    <w:p>
      <w:pPr>
        <w:spacing w:after="0" w:line="2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w:t>
      </w:r>
    </w:p>
    <w:p>
      <w:pPr>
        <w:spacing w:after="0" w:line="279" w:lineRule="exact"/>
        <w:rPr>
          <w:rFonts w:ascii="Times New Roman" w:cs="Times New Roman" w:eastAsia="Times New Roman" w:hAnsi="Times New Roman"/>
          <w:sz w:val="18"/>
          <w:szCs w:val="18"/>
          <w:color w:val="auto"/>
        </w:rPr>
      </w:pPr>
    </w:p>
    <w:p>
      <w:pPr>
        <w:jc w:val="both"/>
        <w:ind w:left="66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Company may be involved in various claims and legal proceedings. The Company reviews the status of each matter and assesses its potential financial exposure. If the potential loss from any claim or legal proceeding is considered probable and the amount can be reasonably estimated, the Company accrues a liability for the estimated loss. These accruals are reviewed at least quarterly and adjusted to reflect the impact of negotiations, settlements, rulings, advice of legal counsel and other information and events pertaining to a particular matter.</w:t>
      </w:r>
    </w:p>
    <w:p>
      <w:pPr>
        <w:spacing w:after="0" w:line="226" w:lineRule="exact"/>
        <w:rPr>
          <w:rFonts w:ascii="Times New Roman" w:cs="Times New Roman" w:eastAsia="Times New Roman" w:hAnsi="Times New Roman"/>
          <w:sz w:val="18"/>
          <w:szCs w:val="18"/>
          <w:color w:val="auto"/>
        </w:rPr>
      </w:pPr>
    </w:p>
    <w:p>
      <w:pPr>
        <w:ind w:left="660" w:right="2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2025, the Company recorded an accrual of $11,648 for legal claims which was recorded under accrued expenses and other current liabilities.</w:t>
      </w:r>
    </w:p>
    <w:p>
      <w:pPr>
        <w:spacing w:after="0" w:line="203"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3, 2023, Daphne Shen, a purported stockholder of the Company, filed a proposed class action complaint for violation of federal securities laws, individually and putatively on behalf of all others similarly situated, in the U.S. District Court of the Southern District of New York against the Company, the Company’s former CEO and the Company’s former CFO. The complaint alleges violations of Section 10(b) and Rule 10b-5 of the Exchange Act, as well as violations of Section 20(a) of the Exchange Act against the individual defendants. The complaint seeks class certification, damages, interest, attorneys’ fees, and other relief. On December 13, 2023, Javier Cascallar filed a similar proposed class action. On January 2, 2024, six purported lead plaintiffs filed motions in the Shen litigation seeking to consolidate the Cascallar and Shen litigations and appoint lead plaintiffs and lead counsel pursuant to the procedures of the Private Securities Litigation Reform Act of 1995.</w:t>
      </w:r>
    </w:p>
    <w:p>
      <w:pPr>
        <w:spacing w:after="0" w:line="243"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7, 2024, the Court consolidated the two actions (the “Consolidated Securities Litigation”), and appointed co-lead plaintiffs (the “Plaintiffs”) and lead counsel. On April 22, 2024, the co-lead Plaintiffs filed an amended complaint adding two additional officers. The amended complaint made substantially similar allegations and claims. Defendants moved to dismiss the amended complaint on July 15, 2024. On December 4, 2024, the Court issued an order granting in part the motion, dismissing all allegations except those relating to two purported misstatements. The Court allowed the Plaintiffs to again amend their complaint, and they filed a second amended complaint (the “Second Amended Complaint”) on January 3, 2025. On February 10, 2025, Defendants moved to dismiss the Second Amended Complaint. On April 7, 2025, the Court issued an order granted in part the motion, dismissing all allegations except those related to alleged misstatements characterizing inventory levels as “low” and those relating to demand in Europe. Discovery is ongoing.</w:t>
      </w:r>
    </w:p>
    <w:p>
      <w:pPr>
        <w:spacing w:after="0" w:line="230" w:lineRule="exact"/>
        <w:rPr>
          <w:rFonts w:ascii="Times New Roman" w:cs="Times New Roman" w:eastAsia="Times New Roman" w:hAnsi="Times New Roman"/>
          <w:sz w:val="18"/>
          <w:szCs w:val="18"/>
          <w:color w:val="auto"/>
        </w:rPr>
      </w:pPr>
    </w:p>
    <w:p>
      <w:pPr>
        <w:ind w:left="660" w:right="2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Plaintiffs filed a motion for class certification on October 17, 2025. Defendants’ deadline to file an opposition to Plaintiffs’ motion is January 16, 2025.</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28" w:name="page29"/>
    <w:bookmarkEnd w:id="28"/>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239"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9" w:lineRule="exact"/>
        <w:rPr>
          <w:sz w:val="20"/>
          <w:szCs w:val="20"/>
          <w:color w:val="auto"/>
        </w:rPr>
      </w:pPr>
    </w:p>
    <w:p>
      <w:pPr>
        <w:ind w:left="3564"/>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56" w:lineRule="exact"/>
        <w:rPr>
          <w:sz w:val="20"/>
          <w:szCs w:val="20"/>
          <w:color w:val="auto"/>
        </w:rPr>
      </w:pPr>
    </w:p>
    <w:p>
      <w:pPr>
        <w:jc w:val="both"/>
        <w:ind w:left="4"/>
        <w:spacing w:after="0" w:line="277" w:lineRule="auto"/>
        <w:rPr>
          <w:sz w:val="20"/>
          <w:szCs w:val="20"/>
          <w:color w:val="auto"/>
        </w:rPr>
      </w:pPr>
      <w:r>
        <w:rPr>
          <w:rFonts w:ascii="Times New Roman" w:cs="Times New Roman" w:eastAsia="Times New Roman" w:hAnsi="Times New Roman"/>
          <w:sz w:val="17"/>
          <w:szCs w:val="17"/>
          <w:color w:val="auto"/>
        </w:rPr>
        <w:t>On March 15, 2024, Abdul Hirani filed a purported derivative complaint (the “Hirani Complaint”) in the U.S. District Court for the Southern District of New York against certain current and former SolarEdge executive officers and board members, including Zvi Lando, Ronen Faier, Nadav Zafrir, Betsy Atkins, Marcel Gani, Dana Gross, Dirk Hoke, Avery More, and Tal Payne. The Hirani Complaint makes largely the same allegations as those in the Consolidated Securities Litigation, namely, that the Company failed to disclose information about SolarEdge’s inventory in Europe and cancellation rates from European distributors, which allegedly resulted in material misstatements about the Company’s business and prospects in its quarterly filings. The Hirani Complaint contends that defendants’ role in allowing those alleged misstatements to be made constitutes (i) breach of fiduciary duty, (ii) aiding and abetting breach of fiduciary duty, (iii) unjust enrichment, (iv) waste of corporate assets, and</w:t>
      </w:r>
    </w:p>
    <w:p>
      <w:pPr>
        <w:spacing w:after="0" w:line="5" w:lineRule="exact"/>
        <w:rPr>
          <w:sz w:val="20"/>
          <w:szCs w:val="20"/>
          <w:color w:val="auto"/>
        </w:rPr>
      </w:pPr>
    </w:p>
    <w:p>
      <w:pPr>
        <w:ind w:left="4" w:right="20" w:hanging="4"/>
        <w:spacing w:after="0" w:line="276" w:lineRule="auto"/>
        <w:tabs>
          <w:tab w:leader="none" w:pos="2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fraud under Section 10(b) of the Exchange Act. The complaint seeks compensatory and punitive damages, interest, attorneys’ fees, and other relief.</w:t>
      </w:r>
    </w:p>
    <w:p>
      <w:pPr>
        <w:spacing w:after="0" w:line="235" w:lineRule="exact"/>
        <w:rPr>
          <w:sz w:val="20"/>
          <w:szCs w:val="20"/>
          <w:color w:val="auto"/>
        </w:rPr>
      </w:pPr>
    </w:p>
    <w:p>
      <w:pPr>
        <w:jc w:val="both"/>
        <w:ind w:left="4"/>
        <w:spacing w:after="0" w:line="263" w:lineRule="auto"/>
        <w:rPr>
          <w:sz w:val="20"/>
          <w:szCs w:val="20"/>
          <w:color w:val="auto"/>
        </w:rPr>
      </w:pPr>
      <w:r>
        <w:rPr>
          <w:rFonts w:ascii="Times New Roman" w:cs="Times New Roman" w:eastAsia="Times New Roman" w:hAnsi="Times New Roman"/>
          <w:sz w:val="18"/>
          <w:szCs w:val="18"/>
          <w:color w:val="auto"/>
        </w:rPr>
        <w:t>On June 10, 2024, Jonathan Blaufarb filed a second purported derivative complaint (the “Blaufarb Complaint”) in the U.S. District Court for the Southern District of New York against the same defendants as those named in the Hirani Complaint as well as Lior Danziger and J.B. Lowe. The Blaufarb Complaint makes largely the same allegations as those in the complaint in the Consolidated Securities Litigation and seeks declaratory relief, corporate governance reforms, damages, restitution, attorneys’ fees, and other relief. It also pleads the same counts as those in the Hirani Complaint, as well as additional counts for abuse of control and gross mismanagement. The Hirani and Blaufarb actions, with the Hirani matter designated as the lead case (together, the “Consolidated Derivative Actions”). On June 20, 2025, the parties agreed that the Consolidated Derivative Actions are stayed through the close of fact discovery in the Consolidated Securities Litigation.</w:t>
      </w:r>
    </w:p>
    <w:p>
      <w:pPr>
        <w:spacing w:after="0" w:line="248"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On August 7, 2024, Edwin Isaac filed a purported derivative complaint (the “Isaac Complaint”) in the U.S. District Court for the District of Delaware against the same defendants as those named in the Consolidated Derivative Actions. The Isaac Complaint makes largely the same allegations as those in the Consolidated Securities Litigation. It also pleads the similar counts to those in the Consolidated Securities Litigation, including (i) breach of fiduciary duty, (ii) contribution, (iii) violation of Section 14(a) of the Exchange Act and SEC Rule 14a-9, (iv) unjust enrichment, (v) waste of corporate assets, and (vi) aiding and abetting breach of fiduciary duty. The complaint seeks declaratory relief, damages, interest, unspecified equitable relief, attorneys’ fees, and other relief. The parties are conferring on service of process and a possible stay of proceedings pending resolution of the motion to dismiss in the Consolidated Securities Litigation. On June 30, 2025, the parties agreed to stay the Isaac matter through the close of fact discovery in the Consolidated Securities Litigation.</w:t>
      </w:r>
    </w:p>
    <w:p>
      <w:pPr>
        <w:spacing w:after="0" w:line="230"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On May 22, 2025, Mike Maddox (a purported shareholder) filed a derivative complaint (the “Maddox Complaint”) in the U.S. district Court for the Southern District of New York against the same Defendants as those named in the Consolidated Derivative Actions and in the Isaac matter. The Maddox Complaint makes largely the same allegations as those in the Consolidated Securities Litigation, the Consolidated Derivative Actions, and the Isaac matter. It also pleads similar counts to those in the Consolidated Derivative Actions and the Isaac matter, including (i) breach of fiduciary duty, (ii) gross mismanagement, (iii) waste of corporate assets, (iv) unjust enrichment, and (v) violation of Section 14(a) of the Exchange Act. The parties agreed to stay the Maddox matter through the close of fact discovery in the Consolidated Securities Litigation. Due to the early stage of these proceedings, the Company cannot reasonably estimate the potential range of loss, if any, or the likelihood of a potential adverse outcome. The parties filed a stipulation on July 21, 2025, agreeing to stay the Maddox Complaint through the close of fact discovery in the Consolidated Securities Litigation.</w:t>
      </w:r>
    </w:p>
    <w:p>
      <w:pPr>
        <w:spacing w:after="0" w:line="230"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On September 3, 2025, Jerald F. Chauncey, Jr. filed a derivative complaint (the “Chauncey Complaint”) in the court of Chancery in the state of Delaware, against the same Defendants as those named in the Consolidated Derivative Actions and in the Isaac and Maddox matters. The Chauncey Complaint makes largely the same allegations as those in the Consolidated Securities Litigation, the Consolidated Derivative Actions, and the Isaac and Maddox matters. It also pleads similar counts to those in the Consolidated Derivative Actions and the Isaac matter, including (i) breach of fiduciary duty, (ii) unjust enrichment, and (iii) waste of corporate assets. The Company disputes the allegations of wrongdoing and intends to vigorously defend against them. On October 7, 2025, the court granted the parties joint motion to stay the Chauncey Complaint through the close of fact discovery in the Consolidated Securities Litigation.</w:t>
      </w:r>
    </w:p>
    <w:p>
      <w:pPr>
        <w:spacing w:after="0" w:line="244"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On January 13, 2025, Stellantis Europe S.p.A. (“Stellantis”) submitted an application for injunctive relief, to the Court of Turin, Italy, claiming that SolarEdge e-Mobility was allegedly in breach of contract. The application for injunctive relief is aimed at obtaining the following interim measures: i) order the Company to resume supply of spare parts and technical assistance activities in favor of Stellantis; and ii) to order the Company to pay a penalty of 100,000 Euro for each day of delay in fulfilling the order above. At a hearing on February 25, 2025 the parties discussed the case. On May 8, 2025, the court denied Stellantis’ request for injunction and on May 23, 2025 Stellantis appealed. The Company disputes the allegations of wrongdoing and intends to vigorously defend against them.</w:t>
      </w:r>
    </w:p>
    <w:p>
      <w:pPr>
        <w:spacing w:after="0" w:line="244" w:lineRule="exact"/>
        <w:rPr>
          <w:sz w:val="20"/>
          <w:szCs w:val="20"/>
          <w:color w:val="auto"/>
        </w:rPr>
      </w:pPr>
    </w:p>
    <w:p>
      <w:pPr>
        <w:jc w:val="both"/>
        <w:ind w:left="4"/>
        <w:spacing w:after="0" w:line="271" w:lineRule="auto"/>
        <w:rPr>
          <w:sz w:val="20"/>
          <w:szCs w:val="20"/>
          <w:color w:val="auto"/>
        </w:rPr>
      </w:pPr>
      <w:r>
        <w:rPr>
          <w:rFonts w:ascii="Times New Roman" w:cs="Times New Roman" w:eastAsia="Times New Roman" w:hAnsi="Times New Roman"/>
          <w:sz w:val="18"/>
          <w:szCs w:val="18"/>
          <w:color w:val="auto"/>
        </w:rPr>
        <w:t>On September 15, 2025, Ampt, LLC (“Ampt”) filed a lawsuit in the District of Delaware seeking to enforce an agreement between Ampt and the Company. The Company had invoked a force majeure clause in relation to its performance of the agreement, valued at $54 million over a period of five years, in October 2023. The Company has not yet filed an answer, the case remains in its very preliminary stages, and it is too early to reasonably determine the outcome of the lawsuit. The Company disputes the allegations and intends to vigorously defend against them.</w:t>
      </w:r>
    </w:p>
    <w:p>
      <w:pPr>
        <w:spacing w:after="0" w:line="253" w:lineRule="exact"/>
        <w:rPr>
          <w:sz w:val="20"/>
          <w:szCs w:val="20"/>
          <w:color w:val="auto"/>
        </w:rPr>
      </w:pPr>
    </w:p>
    <w:p>
      <w:pPr>
        <w:ind w:left="2584"/>
        <w:spacing w:after="0"/>
        <w:rPr>
          <w:sz w:val="20"/>
          <w:szCs w:val="20"/>
          <w:color w:val="auto"/>
        </w:rPr>
      </w:pPr>
      <w:r>
        <w:rPr>
          <w:rFonts w:ascii="Times New Roman" w:cs="Times New Roman" w:eastAsia="Times New Roman" w:hAnsi="Times New Roman"/>
          <w:sz w:val="18"/>
          <w:szCs w:val="18"/>
          <w:color w:val="auto"/>
        </w:rPr>
        <w:t>SOLAREDGE TECHNOLOGIES INC. | 2025 Form 10-Q | 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137160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482" w:right="339" w:bottom="1082"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ACCUMULATED OTHER COMPREHENSIVE LOSS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balances of other comprehensive loss, net of taxes: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23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Unrealized gains (losses) on available-for-sale marketable securities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6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(4,960)</w:t>
            </w:r>
          </w:p>
        </w:tc>
      </w:tr>
      <w:tr>
        <w:trPr>
          <w:trHeight w:val="230"/>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Revaluation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4,571</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8,304</w:t>
            </w:r>
          </w:p>
        </w:tc>
      </w:tr>
      <w:tr>
        <w:trPr>
          <w:trHeight w:val="237"/>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on revaluation</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(1,017)</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(1,786)</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100" w:type="dxa"/>
            <w:vAlign w:val="bottom"/>
            <w:shd w:val="clear" w:color="auto" w:fill="CCEEFF"/>
          </w:tcPr>
          <w:p>
            <w:pPr>
              <w:spacing w:after="0"/>
              <w:rPr>
                <w:sz w:val="19"/>
                <w:szCs w:val="19"/>
                <w:color w:val="auto"/>
              </w:rPr>
            </w:pPr>
          </w:p>
        </w:tc>
      </w:tr>
      <w:tr>
        <w:trPr>
          <w:trHeight w:val="229"/>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(2,747)</w:t>
            </w:r>
          </w:p>
        </w:tc>
      </w:tr>
      <w:tr>
        <w:trPr>
          <w:trHeight w:val="230"/>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on reclassification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699</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Gains reclassified from accumulated other comprehensive income (loss)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(2,048)</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2,975</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4,470</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6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(490)</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Unrealized gains (losses) on cash flow hedges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26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3,940</w:t>
            </w:r>
          </w:p>
        </w:tc>
      </w:tr>
      <w:tr>
        <w:trPr>
          <w:trHeight w:val="229"/>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Revaluation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1,286</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(1,620)</w:t>
            </w:r>
          </w:p>
        </w:tc>
      </w:tr>
      <w:tr>
        <w:trPr>
          <w:trHeight w:val="237"/>
        </w:trPr>
        <w:tc>
          <w:tcPr>
            <w:tcW w:w="5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 on revaluation</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(432)</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losses (gains) before reclassifications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6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shd w:val="clear" w:color="auto" w:fill="CCEEFF"/>
          </w:tcPr>
          <w:p>
            <w:pPr>
              <w:spacing w:after="0"/>
              <w:rPr>
                <w:sz w:val="19"/>
                <w:szCs w:val="19"/>
                <w:color w:val="auto"/>
              </w:rPr>
            </w:pPr>
          </w:p>
        </w:tc>
      </w:tr>
      <w:tr>
        <w:trPr>
          <w:trHeight w:val="229"/>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(3,600)</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(646)</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(6,087)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(1,755)</w:t>
            </w:r>
          </w:p>
        </w:tc>
      </w:tr>
      <w:tr>
        <w:trPr>
          <w:trHeight w:val="230"/>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on reclassification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Gains reclassified from accumulated other comprehensive income (loss)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(3,168)</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(568)</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(5,357)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(1,544)</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(2,597)</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(2,970)</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26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970</w:t>
            </w:r>
          </w:p>
        </w:tc>
      </w:tr>
      <w:tr>
        <w:trPr>
          <w:trHeight w:val="20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adjustments on intra-entity transactions that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are of a long-term investment in nature</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(77,886)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(64,298)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(78,714)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(43,335)</w:t>
            </w:r>
          </w:p>
        </w:tc>
      </w:tr>
      <w:tr>
        <w:trPr>
          <w:trHeight w:val="230"/>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Revaluation</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13,555</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(7,408)</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(78,020)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(50,743)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(78,020)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(50,743)</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Unrealized gains (losses) on foreign currency translation</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14,440</w:t>
            </w:r>
          </w:p>
        </w:tc>
        <w:tc>
          <w:tcPr>
            <w:tcW w:w="26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(10,594)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(2,530)</w:t>
            </w:r>
          </w:p>
        </w:tc>
      </w:tr>
      <w:tr>
        <w:trPr>
          <w:trHeight w:val="230"/>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Revaluation</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(3,497)</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3,604</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9,583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(4,460)</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10,943</w:t>
            </w:r>
          </w:p>
        </w:tc>
        <w:tc>
          <w:tcPr>
            <w:tcW w:w="26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(6,990)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10,943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(6,990)</w:t>
            </w:r>
          </w:p>
        </w:tc>
      </w:tr>
      <w:tr>
        <w:trPr>
          <w:trHeight w:val="27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(64,044)</w:t>
            </w:r>
          </w:p>
        </w:tc>
        <w:tc>
          <w:tcPr>
            <w:tcW w:w="2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(57,253)</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(64,044)</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(57,253)</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The following table summarizes the reclassification out of “Accumulated other comprehensive loss”, net of taxes:</w:t>
            </w:r>
          </w:p>
        </w:tc>
        <w:tc>
          <w:tcPr>
            <w:tcW w:w="2920" w:type="dxa"/>
            <w:vAlign w:val="bottom"/>
          </w:tcPr>
          <w:p>
            <w:pPr>
              <w:spacing w:after="0"/>
              <w:rPr>
                <w:sz w:val="20"/>
                <w:szCs w:val="20"/>
                <w:color w:val="auto"/>
              </w:rPr>
            </w:pPr>
          </w:p>
        </w:tc>
      </w:tr>
      <w:tr>
        <w:trPr>
          <w:trHeight w:val="477"/>
        </w:trPr>
        <w:tc>
          <w:tcPr>
            <w:tcW w:w="29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Details about Accumulated Other</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Affected Line Item in the</w:t>
            </w:r>
          </w:p>
        </w:tc>
      </w:tr>
      <w:tr>
        <w:trPr>
          <w:trHeight w:val="245"/>
        </w:trPr>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Comprehensive Loss Components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17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Statement of Loss</w:t>
            </w:r>
          </w:p>
        </w:tc>
      </w:tr>
      <w:tr>
        <w:trPr>
          <w:trHeight w:val="237"/>
        </w:trPr>
        <w:tc>
          <w:tcPr>
            <w:tcW w:w="96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920" w:type="dxa"/>
            <w:vAlign w:val="bottom"/>
            <w:tcBorders>
              <w:top w:val="single" w:sz="8" w:color="auto"/>
            </w:tcBorders>
          </w:tcPr>
          <w:p>
            <w:pPr>
              <w:spacing w:after="0"/>
              <w:rPr>
                <w:sz w:val="20"/>
                <w:szCs w:val="20"/>
                <w:color w:val="auto"/>
              </w:rPr>
            </w:pPr>
          </w:p>
        </w:tc>
      </w:tr>
      <w:tr>
        <w:trPr>
          <w:trHeight w:val="211"/>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(losses) on available-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r>
      <w:tr>
        <w:trPr>
          <w:trHeight w:val="234"/>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for-sale marketable securities</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r>
      <w:tr>
        <w:trPr>
          <w:trHeight w:val="229"/>
        </w:trPr>
        <w:tc>
          <w:tcPr>
            <w:tcW w:w="9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2,747</w:t>
            </w: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r>
      <w:tr>
        <w:trPr>
          <w:trHeight w:val="229"/>
        </w:trPr>
        <w:tc>
          <w:tcPr>
            <w:tcW w:w="9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(699)</w:t>
            </w: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r>
      <w:tr>
        <w:trPr>
          <w:trHeight w:val="27"/>
        </w:trPr>
        <w:tc>
          <w:tcPr>
            <w:tcW w:w="96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r>
      <w:tr>
        <w:trPr>
          <w:trHeight w:val="229"/>
        </w:trPr>
        <w:tc>
          <w:tcPr>
            <w:tcW w:w="9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2,048</w:t>
            </w: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Total, net of income taxes</w:t>
            </w:r>
          </w:p>
        </w:tc>
      </w:tr>
      <w:tr>
        <w:trPr>
          <w:trHeight w:val="211"/>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(losses) on cash flow</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r>
      <w:tr>
        <w:trPr>
          <w:trHeight w:val="234"/>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hedges, net</w:t>
            </w:r>
          </w:p>
        </w:tc>
        <w:tc>
          <w:tcPr>
            <w:tcW w:w="1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r>
      <w:tr>
        <w:trPr>
          <w:trHeight w:val="229"/>
        </w:trPr>
        <w:tc>
          <w:tcPr>
            <w:tcW w:w="9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614</w:t>
            </w: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1,046</w:t>
            </w:r>
          </w:p>
        </w:tc>
        <w:tc>
          <w:tcPr>
            <w:tcW w:w="70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r>
      <w:tr>
        <w:trPr>
          <w:trHeight w:val="230"/>
        </w:trPr>
        <w:tc>
          <w:tcPr>
            <w:tcW w:w="9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3,231</w:t>
            </w:r>
          </w:p>
        </w:tc>
        <w:tc>
          <w:tcPr>
            <w:tcW w:w="7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1,031</w:t>
            </w: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r>
      <w:tr>
        <w:trPr>
          <w:trHeight w:val="229"/>
        </w:trPr>
        <w:tc>
          <w:tcPr>
            <w:tcW w:w="9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474</w:t>
            </w: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791</w:t>
            </w:r>
          </w:p>
        </w:tc>
        <w:tc>
          <w:tcPr>
            <w:tcW w:w="70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r>
      <w:tr>
        <w:trPr>
          <w:trHeight w:val="229"/>
        </w:trPr>
        <w:tc>
          <w:tcPr>
            <w:tcW w:w="9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1,019</w:t>
            </w:r>
          </w:p>
        </w:tc>
        <w:tc>
          <w:tcPr>
            <w:tcW w:w="7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w:t>
            </w: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r>
      <w:tr>
        <w:trPr>
          <w:trHeight w:val="27"/>
        </w:trPr>
        <w:tc>
          <w:tcPr>
            <w:tcW w:w="96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r>
      <w:tr>
        <w:trPr>
          <w:trHeight w:val="229"/>
        </w:trPr>
        <w:tc>
          <w:tcPr>
            <w:tcW w:w="9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24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6,087</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1,755</w:t>
            </w: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Total, before income taxes</w:t>
            </w:r>
          </w:p>
        </w:tc>
      </w:tr>
      <w:tr>
        <w:trPr>
          <w:trHeight w:val="229"/>
        </w:trPr>
        <w:tc>
          <w:tcPr>
            <w:tcW w:w="9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(432)</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(730)</w:t>
            </w:r>
          </w:p>
        </w:tc>
        <w:tc>
          <w:tcPr>
            <w:tcW w:w="7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r>
      <w:tr>
        <w:trPr>
          <w:trHeight w:val="27"/>
        </w:trPr>
        <w:tc>
          <w:tcPr>
            <w:tcW w:w="96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r>
      <w:tr>
        <w:trPr>
          <w:trHeight w:val="237"/>
        </w:trPr>
        <w:tc>
          <w:tcPr>
            <w:tcW w:w="9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568</w:t>
            </w:r>
          </w:p>
        </w:tc>
        <w:tc>
          <w:tcPr>
            <w:tcW w:w="2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5,357</w:t>
            </w:r>
          </w:p>
        </w:tc>
        <w:tc>
          <w:tcPr>
            <w:tcW w:w="70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1,544</w:t>
            </w: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Total, net of income taxes</w:t>
            </w:r>
          </w:p>
        </w:tc>
      </w:tr>
      <w:tr>
        <w:trPr>
          <w:trHeight w:val="270"/>
        </w:trPr>
        <w:tc>
          <w:tcPr>
            <w:tcW w:w="2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reclassifications for the period</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3,592</w:t>
            </w:r>
          </w:p>
        </w:tc>
        <w:tc>
          <w:tcPr>
            <w:tcW w:w="10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shd w:val="clear" w:color="auto" w:fill="CCEEFF"/>
          </w:tcPr>
          <w:p>
            <w:pPr>
              <w:spacing w:after="0"/>
              <w:rPr>
                <w:sz w:val="23"/>
                <w:szCs w:val="23"/>
                <w:color w:val="auto"/>
              </w:rPr>
            </w:pPr>
          </w:p>
        </w:tc>
      </w:tr>
      <w:tr>
        <w:trPr>
          <w:trHeight w:val="45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16:</w:t>
            </w:r>
          </w:p>
        </w:tc>
        <w:tc>
          <w:tcPr>
            <w:tcW w:w="4820" w:type="dxa"/>
            <w:vAlign w:val="bottom"/>
            <w:gridSpan w:val="8"/>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OTHER OPERATING EXPENSE (INCOME), NET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expenses (income) recorded in the three and nine months ended September 30, 2025, and 2024:</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59"/>
        </w:trPr>
        <w:tc>
          <w:tcPr>
            <w:tcW w:w="5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2"/>
                <w:szCs w:val="22"/>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7"/>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asset-held for sale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from business disposition</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17,982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from sale of property, plant and equipment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(644)</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(10,075)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1,838</w:t>
            </w: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intangible assets and goodwill</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24,725</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24,725</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and disposal by abandonment of property, plant and equipment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673</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204,888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206,620</w:t>
            </w: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(1,167)</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4,960</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(5,811)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4,088</w:t>
            </w:r>
          </w:p>
        </w:tc>
      </w:tr>
      <w:tr>
        <w:trPr>
          <w:trHeight w:val="27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operating expense (income), net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233,929</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41,811</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237,271</w:t>
            </w:r>
          </w:p>
        </w:tc>
        <w:tc>
          <w:tcPr>
            <w:tcW w:w="100" w:type="dxa"/>
            <w:vAlign w:val="bottom"/>
          </w:tcPr>
          <w:p>
            <w:pPr>
              <w:spacing w:after="0"/>
              <w:rPr>
                <w:sz w:val="23"/>
                <w:szCs w:val="23"/>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7"/>
          <w:szCs w:val="17"/>
          <w:b w:val="1"/>
          <w:bCs w:val="1"/>
          <w:color w:val="auto"/>
        </w:rPr>
        <w:t>RESTRUCTURING AND OTHER EXIT ACTIVITIES</w:t>
      </w:r>
    </w:p>
    <w:p>
      <w:pPr>
        <w:spacing w:after="0" w:line="2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On January 21, 2024, the Company announced the adoption of a restructuring plan in response to challenging industry conditions. Under this restructuring plan, the Company reduced its headcount by approximately 900 employees over the first half of 2024 in an involuntary workforce reduction. The adoption of this restructuring plan followed the Company’s previous measures taken to align with current market conditions, including termination of our manufacturing in Mexico and China, and discontinuation of the Company’s light commercial vehicle e-mobility activity. On July 15, 2024, the Company announced additional workforce reductions, resulting in the layoff of 400 employees.</w:t>
      </w:r>
    </w:p>
    <w:p>
      <w:pPr>
        <w:spacing w:after="0" w:line="2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27, 2024, the Company announced the closure of its Energy Storage Division. In connection with the closure, the Company reduced its headcount by approximately 500 employees, primarily in manufacturing positions in South Korea. This closure and associated headcount reduction represented approximately 12% of the Company’s overall employee population, at the time, almost all of whom were dismissed over the first half of 2025 (together with the 2024 workforce reductions, the “Restructuring Plans”). On September 4, 2025, as part of the decision to close its Energy Storage Division, the Company, sold its last battery cell manufacturing facility in South Korea. The Company has determined that the discontinuation of its Energy Storage activity does not represent a strategic shift that will have a major effect on the Company's operations and financial results and therefore it did not meet the criteria for discontinued operations classification.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and other exit charges for the three months ended September 30, 2025 and September 30, 2024, by type of cost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100" w:type="dxa"/>
            <w:vAlign w:val="bottom"/>
          </w:tcPr>
          <w:p>
            <w:pPr>
              <w:spacing w:after="0"/>
              <w:rPr>
                <w:sz w:val="22"/>
                <w:szCs w:val="22"/>
                <w:color w:val="auto"/>
              </w:rPr>
            </w:pPr>
          </w:p>
        </w:tc>
        <w:tc>
          <w:tcPr>
            <w:tcW w:w="3760" w:type="dxa"/>
            <w:vAlign w:val="bottom"/>
            <w:gridSpan w:val="8"/>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2024</w:t>
            </w:r>
          </w:p>
        </w:tc>
      </w:tr>
      <w:tr>
        <w:trPr>
          <w:trHeight w:val="207"/>
        </w:trPr>
        <w:tc>
          <w:tcPr>
            <w:tcW w:w="3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9"/>
        </w:trPr>
        <w:tc>
          <w:tcPr>
            <w:tcW w:w="32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costs</w:t>
            </w:r>
          </w:p>
        </w:tc>
        <w:tc>
          <w:tcPr>
            <w:tcW w:w="2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and other</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2"/>
                <w:szCs w:val="22"/>
                <w:color w:val="auto"/>
              </w:rPr>
            </w:pP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shd w:val="clear" w:color="auto" w:fill="CCEEFF"/>
          </w:tcPr>
          <w:p>
            <w:pPr>
              <w:spacing w:after="0"/>
              <w:rPr>
                <w:sz w:val="19"/>
                <w:szCs w:val="19"/>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648</w:t>
            </w:r>
          </w:p>
        </w:tc>
      </w:tr>
      <w:tr>
        <w:trPr>
          <w:trHeight w:val="23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w:t>
            </w: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r>
      <w:tr>
        <w:trPr>
          <w:trHeight w:val="270"/>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(14,566)</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(14,349)</w:t>
            </w: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and other exit charges for the nine months ended September 30, 2025, and September 30, 2024, by type of cost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2025</w:t>
            </w:r>
          </w:p>
        </w:tc>
        <w:tc>
          <w:tcPr>
            <w:tcW w:w="100" w:type="dxa"/>
            <w:vAlign w:val="bottom"/>
          </w:tcPr>
          <w:p>
            <w:pPr>
              <w:spacing w:after="0"/>
              <w:rPr>
                <w:sz w:val="22"/>
                <w:szCs w:val="22"/>
                <w:color w:val="auto"/>
              </w:rPr>
            </w:pPr>
          </w:p>
        </w:tc>
        <w:tc>
          <w:tcPr>
            <w:tcW w:w="376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2024</w:t>
            </w:r>
          </w:p>
        </w:tc>
      </w:tr>
      <w:tr>
        <w:trPr>
          <w:trHeight w:val="194"/>
        </w:trPr>
        <w:tc>
          <w:tcPr>
            <w:tcW w:w="3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Employee</w:t>
            </w: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Contract</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Employee</w:t>
            </w: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Contract</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10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9"/>
        </w:trPr>
        <w:tc>
          <w:tcPr>
            <w:tcW w:w="3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costs</w:t>
            </w:r>
          </w:p>
        </w:tc>
        <w:tc>
          <w:tcPr>
            <w:tcW w:w="100" w:type="dxa"/>
            <w:vAlign w:val="bottom"/>
          </w:tcPr>
          <w:p>
            <w:pPr>
              <w:spacing w:after="0"/>
              <w:rPr>
                <w:sz w:val="22"/>
                <w:szCs w:val="22"/>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240" w:type="dxa"/>
            <w:vAlign w:val="bottom"/>
          </w:tcPr>
          <w:p>
            <w:pPr>
              <w:spacing w:after="0"/>
              <w:rPr>
                <w:sz w:val="22"/>
                <w:szCs w:val="22"/>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2"/>
                <w:szCs w:val="22"/>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100" w:type="dxa"/>
            <w:vAlign w:val="bottom"/>
          </w:tcPr>
          <w:p>
            <w:pPr>
              <w:spacing w:after="0"/>
              <w:rPr>
                <w:sz w:val="22"/>
                <w:szCs w:val="22"/>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and other</w:t>
            </w:r>
          </w:p>
        </w:tc>
        <w:tc>
          <w:tcPr>
            <w:tcW w:w="220" w:type="dxa"/>
            <w:vAlign w:val="bottom"/>
          </w:tcPr>
          <w:p>
            <w:pPr>
              <w:spacing w:after="0"/>
              <w:rPr>
                <w:sz w:val="22"/>
                <w:szCs w:val="22"/>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6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(14,433)</w:t>
            </w:r>
          </w:p>
        </w:tc>
        <w:tc>
          <w:tcPr>
            <w:tcW w:w="24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(13,963)</w:t>
            </w:r>
          </w:p>
        </w:tc>
        <w:tc>
          <w:tcPr>
            <w:tcW w:w="2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2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8,622</w:t>
            </w:r>
          </w:p>
        </w:tc>
        <w:tc>
          <w:tcPr>
            <w:tcW w:w="22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w:t>
            </w:r>
          </w:p>
        </w:tc>
        <w:tc>
          <w:tcPr>
            <w:tcW w:w="100" w:type="dxa"/>
            <w:vAlign w:val="bottom"/>
            <w:shd w:val="clear" w:color="auto" w:fill="CCEEFF"/>
          </w:tcPr>
          <w:p>
            <w:pPr>
              <w:spacing w:after="0"/>
              <w:rPr>
                <w:sz w:val="19"/>
                <w:szCs w:val="19"/>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3,561</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3,809</w:t>
            </w:r>
          </w:p>
        </w:tc>
      </w:tr>
      <w:tr>
        <w:trPr>
          <w:trHeight w:val="23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1,109</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w:t>
            </w:r>
          </w:p>
        </w:tc>
      </w:tr>
      <w:tr>
        <w:trPr>
          <w:trHeight w:val="23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(3,137)</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(3,137)</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(17,570)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(13,194)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6,922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8,988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15,910</w:t>
            </w:r>
          </w:p>
        </w:tc>
      </w:tr>
      <w:tr>
        <w:trPr>
          <w:trHeight w:val="20"/>
        </w:trPr>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SOLAREDGE TECHNOLOGIES INC.</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10020" w:type="dxa"/>
            <w:vAlign w:val="bottom"/>
            <w:gridSpan w:val="4"/>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 (Unaudited)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liability balance for the restructuring and other exit charges is as follows: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w:t>
            </w:r>
          </w:p>
        </w:tc>
      </w:tr>
      <w:tr>
        <w:trPr>
          <w:trHeight w:val="229"/>
        </w:trPr>
        <w:tc>
          <w:tcPr>
            <w:tcW w:w="8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10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termination</w:t>
            </w:r>
          </w:p>
        </w:tc>
      </w:t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costs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and other</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23,933</w:t>
            </w: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Charges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(16,473)</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(5,449)</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(6,315)</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Non-cash utilization and other</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(1,145)</w:t>
            </w:r>
          </w:p>
        </w:tc>
      </w:tr>
      <w:tr>
        <w:trPr>
          <w:trHeight w:val="27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2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18:</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9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For the three months ended September 30, 2025, the Company reported income taxes at an effective tax rate of negative 5.4% including discrete items, compared to the three months ended September 30, 2024, where the Company reported income taxes at an effective tax rate of negative 10.9%.</w:t>
      </w:r>
    </w:p>
    <w:p>
      <w:pPr>
        <w:spacing w:after="0" w:line="203"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For the nine months ended September 30, 2025, the Company reported income taxes at an effective tax rate of negative 5.4% including discrete items, compared to the nine months ended September 30, 2024, where the Company reported income taxes at an effective tax rate of negative 5.9%.</w:t>
      </w:r>
    </w:p>
    <w:p>
      <w:pPr>
        <w:spacing w:after="0" w:line="2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negative effective tax rate in the three and nine months ended September 30, 2025 resulted primarily from the valuation allowance on current losses and capital losses, coupled with profits in certain jurisdictions and an increase in the provision for uncertain tax positions. The effective tax rate in the corresponding periods in 2024 was mainly caused by the valuation allowance the Company booked on its losses and deferred tax assets to date, impairments and disposals.</w:t>
      </w: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tax assets are evaluated for future realization and reduced by a valuation allowance to the extent that the Company believes they will not be realized. The Company considers all available evidence, including historical information, long range forecast of future taxable income and evaluation of tax planning strategies. Amounts recorded for valuation allowance can result from a complex series of judgments about future events and can rely on estimates and assumptions. Based primarily on the negative evidence outweighing the positive evidence, including the Company's three year cumulative, consolidated GAAP loss, historical tax losses and the difficulty in forecasting excess tax benefits related to equity-based compensation, the Company believes there is uncertainty as to when it will be possible to utilize certain net operating losses (each an “NOL”), credit carryforwards, capital losses and other deferred tax assets. Therefore, the Company recorded a valuation allowance against the deferred tax assets for which it is more-likely-than-not they will not be realized.</w:t>
      </w:r>
    </w:p>
    <w:p>
      <w:pPr>
        <w:spacing w:after="0" w:line="23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Should the Company's operating results improve and projections show continued utilization of the tax attributes, the Company would consider that as significant positive evidence and future reassessment may result in the determination that all or a portion of the valuation allowance is no longer required. If this were to occur, any reversal of the valuation allowance would result in a corresponding non-cash income tax benefit, thereby increasing total deferred tax assets.</w:t>
      </w:r>
    </w:p>
    <w:p>
      <w:pPr>
        <w:spacing w:after="0" w:line="2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July 2025, the One Big Beautiful Bill Act, or H.R.1 was enacted into law modifying clean energy tax credits contained in the Inflation Reduction Act ("IRA") and imposing new eligibility criteria related thereto. The Company does not expect the H.R.1 to have a material effect on its financial position or results of operations. The Company will continue to monitor regulatory guidance and developments and will update its analysis as necessary.</w:t>
      </w:r>
    </w:p>
    <w:p>
      <w:pPr>
        <w:spacing w:after="0" w:line="2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On October 1, 2025, the Governor of California signed Senate Bill 302 (“SB 302”) into law. SB 302 provides a gross income exclusion for taxpayers that either elect to receive direct payments from the Internal Revenue Service or receive payment from transfer of certain federal tax credits beginning tax years on or after January 1, 2026, and before January 1, 2031. The Company is currently evaluating the impact of SB 302 will have on its results of operations in future years.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19:</w:t>
      </w:r>
      <w:r>
        <w:rPr>
          <w:sz w:val="20"/>
          <w:szCs w:val="20"/>
          <w:color w:val="auto"/>
        </w:rPr>
        <w:tab/>
      </w:r>
      <w:r>
        <w:rPr>
          <w:rFonts w:ascii="Times New Roman" w:cs="Times New Roman" w:eastAsia="Times New Roman" w:hAnsi="Times New Roman"/>
          <w:sz w:val="17"/>
          <w:szCs w:val="17"/>
          <w:b w:val="1"/>
          <w:bCs w:val="1"/>
          <w:color w:val="auto"/>
        </w:rPr>
        <w:t>LOSS PER SHARE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loss per share (“EPS”):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9"/>
                <w:szCs w:val="19"/>
                <w:color w:val="auto"/>
              </w:rPr>
            </w:pPr>
          </w:p>
        </w:tc>
        <w:tc>
          <w:tcPr>
            <w:tcW w:w="234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1"/>
                <w:szCs w:val="21"/>
                <w:color w:val="auto"/>
              </w:rPr>
            </w:pPr>
          </w:p>
        </w:tc>
        <w:tc>
          <w:tcPr>
            <w:tcW w:w="23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Basic and diluted EPS: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Numerator:</w:t>
            </w:r>
          </w:p>
        </w:tc>
        <w:tc>
          <w:tcPr>
            <w:tcW w:w="43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9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(50,060)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(1,230,789)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(273,327)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(1,518,918)</w:t>
            </w:r>
          </w:p>
        </w:tc>
        <w:tc>
          <w:tcPr>
            <w:tcW w:w="0" w:type="dxa"/>
            <w:vAlign w:val="bottom"/>
          </w:tcPr>
          <w:p>
            <w:pPr>
              <w:spacing w:after="0"/>
              <w:rPr>
                <w:sz w:val="1"/>
                <w:szCs w:val="1"/>
                <w:color w:val="auto"/>
              </w:rPr>
            </w:pPr>
          </w:p>
        </w:tc>
      </w:tr>
      <w:tr>
        <w:trPr>
          <w:trHeight w:val="230"/>
        </w:trPr>
        <w:tc>
          <w:tcPr>
            <w:tcW w:w="598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Shares used in computing net loss per share of common stock, basic and</w:t>
            </w:r>
          </w:p>
        </w:tc>
        <w:tc>
          <w:tcPr>
            <w:tcW w:w="20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59,278,269</w:t>
            </w:r>
          </w:p>
        </w:tc>
        <w:tc>
          <w:tcPr>
            <w:tcW w:w="20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57,029,983</w:t>
            </w:r>
          </w:p>
        </w:tc>
        <w:tc>
          <w:tcPr>
            <w:tcW w:w="20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58,659,959</w:t>
            </w:r>
          </w:p>
        </w:tc>
        <w:tc>
          <w:tcPr>
            <w:tcW w:w="20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56,952,656</w:t>
            </w:r>
          </w:p>
        </w:tc>
        <w:tc>
          <w:tcPr>
            <w:tcW w:w="0" w:type="dxa"/>
            <w:vAlign w:val="bottom"/>
          </w:tcPr>
          <w:p>
            <w:pPr>
              <w:spacing w:after="0"/>
              <w:rPr>
                <w:sz w:val="1"/>
                <w:szCs w:val="1"/>
                <w:color w:val="auto"/>
              </w:rPr>
            </w:pPr>
          </w:p>
        </w:tc>
      </w:tr>
      <w:tr>
        <w:trPr>
          <w:trHeight w:val="275"/>
        </w:trPr>
        <w:tc>
          <w:tcPr>
            <w:tcW w:w="59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23"/>
                <w:szCs w:val="23"/>
                <w:color w:val="auto"/>
              </w:rPr>
            </w:pPr>
          </w:p>
        </w:tc>
        <w:tc>
          <w:tcPr>
            <w:tcW w:w="1180" w:type="dxa"/>
            <w:vAlign w:val="bottom"/>
            <w:gridSpan w:val="2"/>
            <w:vMerge w:val="continue"/>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vMerge w:val="continue"/>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gridSpan w:val="2"/>
            <w:vMerge w:val="continue"/>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gridSpan w:val="2"/>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5980" w:type="dxa"/>
            <w:vAlign w:val="bottom"/>
            <w:tcBorders>
              <w:top w:val="single" w:sz="8" w:color="CCEEFF"/>
            </w:tcBorders>
            <w:gridSpan w:val="3"/>
          </w:tcPr>
          <w:p>
            <w:pPr>
              <w:spacing w:after="0" w:line="169" w:lineRule="exact"/>
              <w:rPr>
                <w:sz w:val="20"/>
                <w:szCs w:val="20"/>
                <w:color w:val="auto"/>
              </w:rPr>
            </w:pPr>
            <w:r>
              <w:rPr>
                <w:rFonts w:ascii="Times New Roman" w:cs="Times New Roman" w:eastAsia="Times New Roman" w:hAnsi="Times New Roman"/>
                <w:sz w:val="18"/>
                <w:szCs w:val="18"/>
                <w:color w:val="auto"/>
              </w:rPr>
              <w:t>Loss per share:</w:t>
            </w: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100" w:type="dxa"/>
            <w:vAlign w:val="bottom"/>
            <w:tcBorders>
              <w:top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(0.84)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(26.67)</w:t>
            </w:r>
          </w:p>
        </w:tc>
        <w:tc>
          <w:tcPr>
            <w:tcW w:w="0" w:type="dxa"/>
            <w:vAlign w:val="bottom"/>
          </w:tcPr>
          <w:p>
            <w:pPr>
              <w:spacing w:after="0"/>
              <w:rPr>
                <w:sz w:val="1"/>
                <w:szCs w:val="1"/>
                <w:color w:val="auto"/>
              </w:rPr>
            </w:pPr>
          </w:p>
        </w:tc>
      </w:tr>
      <w:tr>
        <w:trPr>
          <w:trHeight w:val="27"/>
        </w:trPr>
        <w:tc>
          <w:tcPr>
            <w:tcW w:w="1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calculation due to their antidilutive nature: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59"/>
        </w:trPr>
        <w:tc>
          <w:tcPr>
            <w:tcW w:w="5980" w:type="dxa"/>
            <w:vAlign w:val="bottom"/>
          </w:tcPr>
          <w:p>
            <w:pPr>
              <w:spacing w:after="0"/>
              <w:rPr>
                <w:sz w:val="22"/>
                <w:szCs w:val="22"/>
                <w:color w:val="auto"/>
              </w:rPr>
            </w:pPr>
          </w:p>
        </w:tc>
        <w:tc>
          <w:tcPr>
            <w:tcW w:w="2720" w:type="dxa"/>
            <w:vAlign w:val="bottom"/>
            <w:gridSpan w:val="4"/>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7"/>
        </w:trPr>
        <w:tc>
          <w:tcPr>
            <w:tcW w:w="59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awards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1,154,437</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2,552,867</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1,698,622</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2,055,632</w:t>
            </w:r>
          </w:p>
        </w:tc>
        <w:tc>
          <w:tcPr>
            <w:tcW w:w="100" w:type="dxa"/>
            <w:vAlign w:val="bottom"/>
            <w:shd w:val="clear" w:color="auto" w:fill="CCEEFF"/>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Notes 2025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1,031,132</w:t>
            </w:r>
          </w:p>
        </w:tc>
        <w:tc>
          <w:tcPr>
            <w:tcW w:w="2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1,170,898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1,510,363</w:t>
            </w:r>
          </w:p>
        </w:tc>
      </w:tr>
      <w:tr>
        <w:trPr>
          <w:trHeight w:val="230"/>
        </w:trPr>
        <w:tc>
          <w:tcPr>
            <w:tcW w:w="59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Notes 2029</w:t>
            </w:r>
            <w:r>
              <w:rPr>
                <w:rFonts w:ascii="Times New Roman" w:cs="Times New Roman" w:eastAsia="Times New Roman" w:hAnsi="Times New Roman"/>
                <w:sz w:val="26"/>
                <w:szCs w:val="26"/>
                <w:color w:val="auto"/>
                <w:vertAlign w:val="superscript"/>
              </w:rPr>
              <w:t>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9,819,347</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984,342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9,819,347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392,152</w:t>
            </w: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excluded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12,004,916</w:t>
            </w:r>
          </w:p>
        </w:tc>
        <w:tc>
          <w:tcPr>
            <w:tcW w:w="2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3,537,209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12,688,867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3,958,147</w:t>
            </w:r>
          </w:p>
        </w:tc>
      </w:tr>
      <w:tr>
        <w:trPr>
          <w:trHeight w:val="21"/>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8"/>
        <w:spacing w:after="0" w:line="230" w:lineRule="auto"/>
        <w:tabs>
          <w:tab w:leader="none" w:pos="125"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conjunction with the issuance of the Notes 2029 in June 2024, the Company used approximately $25,230 of the net proceeds from this offering to pay the cost of the capped call transactions. In July 2024, following an additional issuance of the Notes 2029, $3,111 of net proceeds were used to pay the cost of capped call transactions. In accordance with FASB ASC 260, antidilutive contracts, such as purchased call options are excluded from the computation of diluted net income (loss) per share. Accordingly, any potential impact resulting from capped call transaction is excluded from the Company's computation of diluted net income (loss) per share.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20:</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8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Following the sale of Automation Machines and the discontinuation of the Company's Energy Storage activity, in 2024, the Company now operates as one operating segment that constitutes consolidated results. The Company recast its comparative numbers to conform to current period presentation.</w:t>
      </w:r>
    </w:p>
    <w:p>
      <w:pPr>
        <w:spacing w:after="0" w:line="2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Chief Executive Officer, who is the chief operating decision maker (“CODM”), makes resource allocation decisions and assesses performance based on financial information presented on a consolidated net loss, accompanied by disaggregated information about significant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CODM does not regularly review asset information and, therefore, the Company does not report asset information.</w:t>
      </w:r>
    </w:p>
    <w:p>
      <w:pPr>
        <w:spacing w:after="0" w:line="293"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The segment includes the design, development, manufacturing, and sales of an intelligent inverter solution designed to maximize power generation at the individual PV module level and batteries for PV applications. The segment solution consists mainly of the Company’s power optimizers, inverters, batteries and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monitoring platform.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information on reportable loss for the period presented: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23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340,177</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235,435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849,086</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705,239</w:t>
            </w:r>
          </w:p>
        </w:tc>
        <w:tc>
          <w:tcPr>
            <w:tcW w:w="100" w:type="dxa"/>
            <w:vAlign w:val="bottom"/>
            <w:shd w:val="clear" w:color="auto" w:fill="CCEEFF"/>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 costs of goods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183,007</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172,735</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487,875</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417,095</w:t>
            </w:r>
          </w:p>
        </w:tc>
      </w:tr>
      <w:tr>
        <w:trPr>
          <w:trHeight w:val="229"/>
        </w:trPr>
        <w:tc>
          <w:tcPr>
            <w:tcW w:w="5980" w:type="dxa"/>
            <w:vAlign w:val="bottom"/>
          </w:tcPr>
          <w:p>
            <w:pPr>
              <w:ind w:left="120"/>
              <w:spacing w:after="0" w:line="230" w:lineRule="exact"/>
              <w:rPr>
                <w:sz w:val="20"/>
                <w:szCs w:val="20"/>
                <w:color w:val="auto"/>
              </w:rPr>
            </w:pPr>
            <w:r>
              <w:rPr>
                <w:rFonts w:ascii="Times New Roman" w:cs="Times New Roman" w:eastAsia="Times New Roman" w:hAnsi="Times New Roman"/>
                <w:sz w:val="16"/>
                <w:szCs w:val="16"/>
                <w:color w:val="auto"/>
              </w:rPr>
              <w:t>Salaries</w:t>
            </w:r>
            <w:r>
              <w:rPr>
                <w:rFonts w:ascii="Times New Roman" w:cs="Times New Roman" w:eastAsia="Times New Roman" w:hAnsi="Times New Roman"/>
                <w:sz w:val="26"/>
                <w:szCs w:val="26"/>
                <w:color w:val="auto"/>
                <w:vertAlign w:val="superscript"/>
              </w:rPr>
              <w:t>1</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102,547</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127,643</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328,657</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392,290</w:t>
            </w:r>
          </w:p>
        </w:tc>
      </w:tr>
      <w:tr>
        <w:trPr>
          <w:trHeight w:val="230"/>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 costs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(10,117)</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656,495</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(10,007)</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666,246</w:t>
            </w:r>
          </w:p>
        </w:tc>
      </w:tr>
      <w:tr>
        <w:trPr>
          <w:trHeight w:val="230"/>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Shipment and logistics</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14,103</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23,505</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29,983</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64,497</w:t>
            </w:r>
          </w:p>
        </w:tc>
      </w:tr>
      <w:tr>
        <w:trPr>
          <w:trHeight w:val="230"/>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Warranty</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25,309</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33,192</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36,684</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76,454</w:t>
            </w:r>
          </w:p>
        </w:tc>
      </w:tr>
      <w:tr>
        <w:trPr>
          <w:trHeight w:val="229"/>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13,849</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13,529</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42,980</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39,111</w:t>
            </w:r>
          </w:p>
        </w:tc>
      </w:tr>
      <w:tr>
        <w:trPr>
          <w:trHeight w:val="230"/>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Directly related overhead costs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15,975</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13,248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42,608</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40,797</w:t>
            </w:r>
          </w:p>
        </w:tc>
      </w:tr>
      <w:tr>
        <w:trPr>
          <w:trHeight w:val="230"/>
        </w:trPr>
        <w:tc>
          <w:tcPr>
            <w:tcW w:w="5980" w:type="dxa"/>
            <w:vAlign w:val="bottom"/>
          </w:tcPr>
          <w:p>
            <w:pPr>
              <w:ind w:left="120"/>
              <w:spacing w:after="0" w:line="230"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6"/>
                <w:szCs w:val="26"/>
                <w:color w:val="auto"/>
                <w:vertAlign w:val="superscript"/>
              </w:rPr>
              <w:t>2</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45,665</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309,750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154,521</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438,747</w:t>
            </w:r>
          </w:p>
        </w:tc>
      </w:tr>
      <w:tr>
        <w:trPr>
          <w:trHeight w:val="230"/>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(3,040)</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(5,558)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(5,785)</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2,371</w:t>
            </w:r>
          </w:p>
        </w:tc>
      </w:tr>
      <w:tr>
        <w:trPr>
          <w:trHeight w:val="229"/>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2,563</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121,108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13,946</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85,109</w:t>
            </w:r>
          </w:p>
        </w:tc>
      </w:tr>
      <w:tr>
        <w:trPr>
          <w:trHeight w:val="230"/>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from equity method investments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376</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577</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951</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1,440</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(50,060)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(1,230,789)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(273,327)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(1,518,918)</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1" w:lineRule="exact"/>
        <w:rPr>
          <w:sz w:val="20"/>
          <w:szCs w:val="20"/>
          <w:color w:val="auto"/>
        </w:rPr>
      </w:pPr>
    </w:p>
    <w:p>
      <w:pPr>
        <w:ind w:left="200" w:hanging="192"/>
        <w:spacing w:after="0"/>
        <w:tabs>
          <w:tab w:leader="none" w:pos="20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Including stock-based compensation expenses.</w:t>
      </w:r>
    </w:p>
    <w:p>
      <w:pPr>
        <w:spacing w:after="0" w:line="265" w:lineRule="exact"/>
        <w:rPr>
          <w:sz w:val="20"/>
          <w:szCs w:val="20"/>
          <w:color w:val="auto"/>
        </w:rPr>
      </w:pPr>
    </w:p>
    <w:p>
      <w:pPr>
        <w:ind w:right="2200" w:firstLine="8"/>
        <w:spacing w:after="0" w:line="426" w:lineRule="auto"/>
        <w:tabs>
          <w:tab w:leader="none" w:pos="187"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indirect costs of goods, consultants and sub-contractors, marketing, bad debt and impairments and dispositions. The following table presents revenues disaggregated by geographical location: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23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6"/>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203,252</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103,224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520,481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265,650</w:t>
            </w:r>
          </w:p>
        </w:tc>
        <w:tc>
          <w:tcPr>
            <w:tcW w:w="100" w:type="dxa"/>
            <w:vAlign w:val="bottom"/>
            <w:shd w:val="clear" w:color="auto" w:fill="CCEEFF"/>
          </w:tcPr>
          <w:p>
            <w:pPr>
              <w:spacing w:after="0"/>
              <w:rPr>
                <w:sz w:val="19"/>
                <w:szCs w:val="19"/>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100,463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82,959</w:t>
            </w:r>
          </w:p>
        </w:tc>
        <w:tc>
          <w:tcPr>
            <w:tcW w:w="240" w:type="dxa"/>
            <w:vAlign w:val="bottom"/>
          </w:tcPr>
          <w:p>
            <w:pPr>
              <w:spacing w:after="0"/>
              <w:rPr>
                <w:sz w:val="19"/>
                <w:szCs w:val="19"/>
                <w:color w:val="auto"/>
              </w:rPr>
            </w:pP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218,224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274,433</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markets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36,462</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49,252</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110,381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165,156</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340,177</w:t>
            </w:r>
          </w:p>
        </w:tc>
        <w:tc>
          <w:tcPr>
            <w:tcW w:w="26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235,435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849,086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705,239</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82" w:right="339" w:bottom="1440" w:gutter="0" w:footer="0" w:header="0"/>
        </w:sectPr>
      </w:pP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SOLAREDGE TECHNOLOGIES INC. | 2025 Form 10-Q | F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83" w:lineRule="exact"/>
        <w:rPr>
          <w:sz w:val="20"/>
          <w:szCs w:val="20"/>
          <w:color w:val="auto"/>
        </w:rPr>
      </w:pPr>
    </w:p>
    <w:p>
      <w:pPr>
        <w:jc w:val="both"/>
        <w:ind w:firstLine="486"/>
        <w:spacing w:after="0" w:line="264" w:lineRule="auto"/>
        <w:rPr>
          <w:sz w:val="20"/>
          <w:szCs w:val="20"/>
          <w:color w:val="auto"/>
        </w:rPr>
      </w:pPr>
      <w:r>
        <w:rPr>
          <w:rFonts w:ascii="Times New Roman" w:cs="Times New Roman" w:eastAsia="Times New Roman" w:hAnsi="Times New Roman"/>
          <w:sz w:val="18"/>
          <w:szCs w:val="18"/>
          <w:color w:val="auto"/>
        </w:rPr>
        <w:t>Statements contained in this Form 10-Q or statements incorporated by reference from documents we have filed with the Securities and Exchange Commission may contain forward-looking statements that are based on our management’s expectations, estimates, projections, beliefs and assumptions in accordance with information currently available to our management. Forward-looking statements should be read in conjunction with our unaudited condensed consolidated financial statements and related notes included in Part 1, Item 1 of this report. This discussion contains certain forward-looking statements within the meaning of Section 27A of the Securities Act of 1933, as amended, and Section 21E of the Securities Exchange Act of 1934, as amended. Forward-looking statements include information concerning our possible or assumed future results of operations, business strategies, technology developments, new products and services, financing and investment plans, competitive position, backlog, industry and regulatory environment, effects of acquisitions, growth opportunities, potential future impairments, and the effects of competition. Forward-looking statements include statements that are not historical facts and can be identified by terms such as “anticipate,” “believe,” “could,” “seek,” “estimate,” “expect,” “intend,” “may,” “plan,” “potential,” “predict,” “project,” “should,” “will,” “would” or similar expressions and the negatives of those terms.</w:t>
      </w:r>
    </w:p>
    <w:p>
      <w:pPr>
        <w:spacing w:after="0" w:line="248" w:lineRule="exact"/>
        <w:rPr>
          <w:sz w:val="20"/>
          <w:szCs w:val="20"/>
          <w:color w:val="auto"/>
        </w:rPr>
      </w:pPr>
    </w:p>
    <w:p>
      <w:pPr>
        <w:jc w:val="both"/>
        <w:ind w:firstLine="486"/>
        <w:spacing w:after="0" w:line="263" w:lineRule="auto"/>
        <w:rPr>
          <w:sz w:val="20"/>
          <w:szCs w:val="20"/>
          <w:color w:val="auto"/>
        </w:rPr>
      </w:pPr>
      <w:r>
        <w:rPr>
          <w:rFonts w:ascii="Times New Roman" w:cs="Times New Roman" w:eastAsia="Times New Roman" w:hAnsi="Times New Roman"/>
          <w:sz w:val="18"/>
          <w:szCs w:val="18"/>
          <w:color w:val="auto"/>
        </w:rPr>
        <w:t>Forward-looking statements inherently involve known and unknown risks, uncertainties and other factors that may cause our actual results, performance or achievements to be materially different from any future results, performance or achievements expressed or implied by the forward-looking statements. Given these uncertainties, you should not place undue reliance on forward-looking statements. Forward-looking and other statements regarding our sustainability efforts and aspirations are not an indication that these statements are necessarily material to investors or requiring disclosure in our filing with the Securities and Exchange Commission (“SEC”). In addition, historical, current and forward-looking sustainability-related statements may be based on standards for measuring progress that are still developing, internal controls and processes that continue to evolve and assumptions that are subject to change in the future, including future rule-making. Also, forward-looking statements represent our management’s beliefs and assumptions only as of the date of this filing. Important factors that could cause actual results to differ materially from our expectations include:</w:t>
      </w:r>
    </w:p>
    <w:p>
      <w:pPr>
        <w:spacing w:after="0" w:line="25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demand for renewable energy including solar energy solutions;</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demand for our products accurately and to match production to such demand as well as our customers' ability to forecast demand based on inventory levels;</w:t>
      </w:r>
    </w:p>
    <w:p>
      <w:pPr>
        <w:ind w:left="66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 including the Inflation Reduction Act and the One Big Beautiful Bill Act;</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 and global trade environments, including the imposition and/or increase of import tariffs or other restrictive trade measures;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successfully operate our global operations with a reduced work force;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 our domestic and international markets, such as inflation concerns, interest rates and recessionary concerns;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elimination or expiration of government subsidies and economic incentives for on-grid solar energy applications;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retail price of electricity derived from the utility grid or alternative energy 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and supply of capital in the global financial markets in general and in the solar market specifically;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including introductions of power optimizer, inverter and solar photovoltaic (“PV”) system monitoring products by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alternative technologies or improvements in distributed solar energy generation;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 cyclicality of the solar industry and periodic downturns;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or performance problems in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executives, and our ability to retain key personnel and attract additional qualified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delays, price changes, or cessation of operations or production affecting our suppliers of key components;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disruptions, and quality control problems in manufacturing;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upon a small number of outside contract manufacturers and limited or single source suppliers;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net metering policies or the reduction, elimination or expiration of government subsidies and economic incentives for on-grid solar energy applications;</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constraints, delivery schedules, manufacturing yields, and costs of our contract manufacturers and availability of components;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distributors and large installers in selling our products;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6" w:name="page37"/>
    <w:bookmarkEnd w:id="36"/>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solar industry among our customers and distributors;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changes in our organization, expansion into new markets, or discontinuing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expected benefits from restructuring plans;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access to, disclosure, or theft of personal information or unauthorized access to our network or other similar cyber incidents;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new Enterprise Resource Planning ("ERP") system;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continued U.S. government shutdown;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businesses;</w:t>
      </w:r>
    </w:p>
    <w:p>
      <w:pPr>
        <w:spacing w:after="0" w:line="22"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business operations due to the evolving state of war in Israel and political conditions related to the war and Israeli government's plans to significantly reduce the Israeli Supreme Court's judicial oversight;</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ocean transportation to timely deliver our products in a cost-effective manner;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global currency exchange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evolving legal and regulatory requirements, including corporate social responsibility and sustainability,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future responses to and effects of pandemics, epidemics or other health crises;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regulations governing the electric utility industry with respect to solar energy;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practices and regulatory compliance of our raw material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brand and to protect and defend our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our stock price;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financial stability, creditworthiness, and debt leverage ratio;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design, launch, market, and sell new generations of our products and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events affecting, our major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public health events and other disruptions;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goodwill or other long-lived and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and ability to service our debt; and</w:t>
      </w:r>
    </w:p>
    <w:p>
      <w:pPr>
        <w:spacing w:after="0" w:line="261"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the other factors set forth below in Part II, Item 1.A under “Risk Factors and in Part I, Item 1A under Risk Factors” in our Annual Report on Form 10-K for the year ended December 31, 2024 and in other documents we file from time to time with the SEC that disclose risks and uncertainties that may affect our business.</w:t>
      </w:r>
    </w:p>
    <w:p>
      <w:pPr>
        <w:spacing w:after="0" w:line="23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preceding list is not intended to be an exhaustive list of all of our forward-looking statements. 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develop, manufacture and sell products in a solar segment that addresses a broad range of energy market segments through our diversified product offering, including residential, commercial and large scale photovoltaic or PV, home energy management, grid services and virtual power plants. In prior years, we also had product offerings for the e-mobility market, automation machines (“Automation Machines”) and energy storage. In October 2023, we decided to discontinue our light commercial vehicle (“LCV”), e-Mobility activity. In October 2024, we completed the sale of Automation Machines. Additionally, in November 2024, the Company announced the closure of our Energy Storage Division. On September 4, 2025, as part of the decision to close our Energy Storage Division, we sold our last battery cell manufacturing facility in South Korea. In April 2025, we divested from our PV tracker business, as part of our effort to focus on our core activities.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7" w:name="page38"/>
    <w:bookmarkEnd w:id="37"/>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Following the sale of Automation Machines and the discontinuation of our Energy Storage activity in 2024, the Company now operates as one operating segment, the Solar segment, that constitutes consolidated results.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light of the Inflation Reduction Act (the “IRA”) legislation in the United States, which incentivizes the local manufacturing of renewable energy products by providing benefits to installers for the purchase and installation of product with domestic content, as well as by incentivizing local manufacturing of our products, we manufacture the vast majority of our products in the United States. This includes residential inverters in Texas, optimizers and commercial inverters in Florida, and manufacturing of batteries in Utah. As part of our effort to streamline and centralize, we have discontinued manufacturing in China, Mexico, and Hungary. We continue to manufacture a minor portion of our products in Israel, at our Sella 1 facility. We also continue to maintain manufacturing capabilities in Vietnam, with a third-party manufacturer. As of September 30, 2025, we shipped approximately 140.0 million power optimizers, 6.1 million inverters and 418.0 thousand batteries for PV applications. Over 4.4 million installations, many of which may include multiple inverters, are currently connected to, and monitored through, our cloud-based monitoring platform. As of September 30, 2025, we shipped approximately 60.1 GW of our DC optimized inverter systems and approximately 3.0 GWh of our batteries for PV applications.</w:t>
      </w:r>
    </w:p>
    <w:p>
      <w:pPr>
        <w:spacing w:after="0" w:line="23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Our revenues for the three months ended September 30, 2025, and 2024 were $340.2 million and $235.4 million, respectively. Gross profit as a percentage of revenue was 21.2% for the three months ended September 30, 2025, compared to our gross loss as a percentage of revenue of 309.1% for the three months ended September 30, 2024. Net loss for the three months ended September 30, 2025, and 2024 was $50.1 million and $1,230.8 million, respectively.</w:t>
      </w:r>
    </w:p>
    <w:p>
      <w:pPr>
        <w:spacing w:after="0" w:line="24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Our revenues for the nine months ended September 30, 2025, and 2024 were $849.1 million and $705.2 million, respectively. Gross profit as a percentage of revenue was 14.3% for the nine months ended September 30, 2025, compared to our gross loss as a percentage of revenue of 108.5% for the nine months ended September 30, 2024. Net loss for the nine months ended September 30, 2025 and 2024 was $273.3 million and $1,518.9 million respectively.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Circumstances Influencing our Business and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Demand for Products</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prolonged softness in demand in the global market for solar products has continued to adversely impact the solar industry. Additionally, uncertainty related to changes in tariffs, trade policies, legislation, and guidance including from H.R.1, may further contribute to market volatility and adversely impact customer demand for our products, pricing and our financial performance. Despite a prolonged softness in demand , we have seen an increase in sales due to more normalized channel inventory in both the United States and in Europe. Additionally, the attachment rate of batteries within solar installations is rising globally, which we believe has led an increase in demand for our batteries.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mpact of the H.R.1 on U.S. Tax Incentives</w:t>
      </w:r>
    </w:p>
    <w:p>
      <w:pPr>
        <w:spacing w:after="0" w:line="29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On July 4, 2025, H.R.1, was enacted into law introducing amendments to the clean energy tax credits contained in the IRA. The IRA provides energy tax credits that are significant to SolarEdge and its U.S. based customers, and material changes thereto could adversely affect our revenue, our eligibility for certain tax credits, tax credits available to our customers, competitiveness and demand for our products and our financial condition. H.R.1 accelerates the phase-out timeline for certain credits and imposes new eligibility criteria.</w:t>
      </w:r>
    </w:p>
    <w:p>
      <w:pPr>
        <w:spacing w:after="0" w:line="2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45X of the Internal Revenue Code (the “Code”), as enacted by the IRA, offers Advanced Manufacturing Production Tax Credits (“AMPTC”s) that incentivize the manufacturing of eligible components within the U.S. H.R.1 does not shorten the term of such Section 45X credits. The Company established manufacturing capabilities in the U.S. in 2023, and further expanded such capabilities in 2024 and 2025. On October 24, 2024, regulations concerning the application of Section 45X were published by the U.S. Treasury Department which contain detailed rules concerning eligibility, qualifying and accounting for AMPTCs. Of particular relevance to the Company are the tax credits that we generate as a result of rules concerning the qualification and measurement of AMPTCs to Residential Inverters, Commercial Inverters and DC-Optimized Inverter Systems that we manufacture in the United States. In 2024 and the first nine months of 2025, we sold a significant part of the AMPTCs that we generated from our U.S. production of eligible components.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38" w:name="page39"/>
    <w:bookmarkEnd w:id="3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Among other changes, H.R.1 shortens the term of the investment tax credit and production tax credit under Section 48E and 45Y of the Code, used by customers of SolarEdge who are engaged in third-party ownership (“TPO”) models, such as residential solar leases and power purchase agreements, and commercial solar customers and developers, shortening the end date from 2034 to 2027. However, H.R.1 also includes a 12-month period in which such customers can begin construction giving them four years to complete their projects. Projects begun after twelve months from enactment of H.R.1 must be placed in service by December 31, 2027, to receive the credit. H.R.1 eliminates the individual residential tax credit under Section 25D of the Code at the end of 2025. These changes may negatively impact the eligibility of our customers and individuals to obtain tax credits, which may negatively affect the overall demand for our products.</w:t>
      </w:r>
    </w:p>
    <w:p>
      <w:pPr>
        <w:spacing w:after="0" w:line="24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H.R.1 also amends the domestic content bonus credit rules for Section 48E projects. Projects commencing construction after June 16, 2025 must meet a 45% domestic content threshold, up from 40%, and the threshold thereafter increases on an annual basis until 2029. In addition, H.R.1 introduced new Foreign Entity of Concern (“FEOC”) requirements for Sections 45X, 45Y, and 48E of the Code. These restrictions will require threshold percentages of non FEOC components that increase over time, beginning January 1, 2026. If we are unable to provide components with non-FEOC percentages towards their total requirement, our customers’ eligibility to qualify for certain tax credits could be impaired, which may adversely affect our revenue, gross margins, business operations and competitive position. In addition, beginning January 1, 2026, in order to receive the 45X credit manufacturers must also reach a required percentage of non-FEOC content in their manufactured components. If the Company is unable to reach that required percentage, it could have adverse impacts on our gross margins.</w:t>
      </w:r>
    </w:p>
    <w:p>
      <w:pPr>
        <w:spacing w:after="0" w:line="25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15, 2025, the U.S. Treasury Department and the IRS released Notice 2025-42, its first set of guidance for H.R.1 related to beginning of construction requirements applicable to our customers. While it removed the ability for projects over 1.5 GW to utilize the 5% safe harbor method, it kept in place the physical work test method for all projects. The U.S. Treasury Department is expected to provide additional guidance on the FEOC requirements included in H.R. 1 that could create challenges for the Company to meet the FEOC requirements or to assist our customers in meeting them. If we are unable to meet the requirements this may adversely affect our revenue, or our customers eligibility to obtain certain tax credits, the overall demand for our products, our results of operations and cash flows.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Tariff Uncertainties</w:t>
      </w:r>
    </w:p>
    <w:p>
      <w:pPr>
        <w:spacing w:after="0" w:line="28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The current trade situation is creating uncertainty about what impact new or existing tariffs, trade restrictions or retaliatory actions may have on us, the solar industry, our partners, and our customers. We have relocated our contract manufacturing to the United States, where we manufacture the vast bulk of our products. We continue to manufacture a minor portion of our products in Israel, at our Sella 1 facility. Certain critical subcomponents for our products are still sourced from outside the United States. If not resolved, the escalation in trade tensions or the implementation of broader tariffs, trade restrictions or other retaliatory measures on our products or components or subcomponents originating from countries outside of the United States, could adversely impact our ability to source necessary components or subcomponents, manufacture products at competitive cost, or sell our products at prices customers are willing to pay. In addition, retaliatory measures from other countries on products originating from the United States for export could adversely impact our ability to sell our products at competitive prices in such countries. Certain of the subcomponents used in our products are being imported to the United States from China, which may be subject to significantly increased tariffs. In light of the aforementioned, we continue to adjust our supply chains and are exploring alternative suppliers outside of China, however, there is no assurance that we will be successful in identifying suitable alternatives, or that such alternatives, if identified, will not result in increased costs or reduced operational efficiency.</w:t>
      </w:r>
    </w:p>
    <w:p>
      <w:pPr>
        <w:spacing w:after="0" w:line="2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price of solar power systems increases, as well as the cost of manufacturing our products in the United States, the use of solar power systems could become less economically feasible and could further reduce our gross margins or reduce the demand of solar power systems manufactured and sold, which in turn may decrease demand for our products. Additionally, existing or future tariffs may negatively affect key partners, suppliers and manufacturers. Such outcomes could adversely affect the amount or timing of our revenue, results of operations or cash flows, and continuing uncertainty could cause sales volatility, price fluctuations or supply shortages or cause our customers to advance or delay their purchase of our products. Any such developments could materially and adversely affect our business operations, results of operations and cash flows.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Disruptions Due to the War in Israel</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Due to the war that began on October 7, 2023, some of our employees in Israel were called to active reserve duty and additional employees may be called in the future, if needed. In the three months ended September 30, 2025, approximately 6.3% of our employees in Israel were called to active reserve duty for varying periods. On October 9, 2025, Israel, Hamas, the United States and other countries in the region agreed to a framework for a ceasefire in Gaza between Israel and Hamas. It is unknown whether this ceasefire will endure, or if other conflicts in Gaza, Lebanon, Yemen, Iran, or in the broader region will reemerge or escalate in the future.</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While our offices and facilities are open worldwide, including in Israel, and, to date, we have not had material disruptions to our ability to manufacture and deliver products and services to customers. A reemergence of conflicts in Israel could materially adversely affect our business, financial condition, and results of operations. Due to the ongoing and evolving nature of the conflict in Israel, and the extent of these events, the adverse effect on our business operations is still unknown.</w:t>
      </w:r>
    </w:p>
    <w:p>
      <w:pPr>
        <w:spacing w:after="0" w:line="2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majority of our key employees and officers are residents of Israel. If any of our facilities in Israel were to be damaged, destroyed or otherwise rendered unable to operate, whether due to war, acts of hostility, earthquakes, fire, floods, storms, other natural disasters, employee malfeasance, terrorist acts, power outages or otherwise, or if performance of our research and development is disrupted for any other reason, such an event could delay commercialization of our products, and if we choose to manufacture all or any part of them internally, jeopardize our ability to manufacture our products as promptly as our prospective customers will likely expect, or possibly at all. If we experience delays in achieving our development objectives within a timeframe that meets our prospective customers’ expectations, our business, prospects, financial results and reputation could be harmed.</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managing our business and assessing financial performance, from time to time we have supplemented the information provided in our financial statements with other operating metrics, such as inverters shipped, power optimizers shipped, Megawatts shipped, and Megawatt hours shipped. These operating metrics have been utilized historically by our management to evaluate the acceptance of our products, measure our performance, identify trends affecting our business, and formulate projections. In the third quarter of 2025, we re-evaluated the key operating metrics that we have historically used to measure our operating performance to improve their accuracy and relevance to the Company's business. This process includes our application of new data, technologies, and/or product changes that may allow us to identify metrics that we view to be the most reflective of our business.</w:t>
      </w:r>
    </w:p>
    <w:p>
      <w:pPr>
        <w:spacing w:after="0" w:line="24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Specifically, the markets that we serve are increasingly transitioning away from discreet product purchases and toward more comprehensive systems and solutions. This trend is occurring across all of our regions and end markets. As a result of these market trends, we are adjusting our technology platform and go to market strategies to cater to this trend by offering more comprehensive solutions. These trends also result in the cost of our inverter, optimizer, and energy storage products becoming a widely varying fraction of the overall value of the solutions that we provide. In addition, the ASP calculation for these units also widely varies due to diverse end market exposure. As such, trends in costs and selling prices per megawatt and megawatt hour are less representative of our overall business performance. We believe that this trend will only continue to become more prevalent in the future. Additionally, the Company believes that revenue recognition is a more accurate measurement than products shipped, for the purpose of assessing the Company’s actual earnings rather than mere operational activity. In some cases, products shipped may not be recognized as revenue in a specific quarter due to timing of delivery, and results may differ as such in the metrics used currently in our financial statements. Accordingly, management has determined that i) inverters shipped</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ii) optimizers shipped</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and iii) MWh of batteries shipped</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should be removed as key operating metrics, starting with the fourth quarter of 2025, in favor of i) inverters recognized as revenue, ii) optimizers recognized as revenue, and iii) MWh of batteries recognized as revenue, which we believe would accurately reflect the Company’s actual operations. In addition, we intend to begin disclosing revenue derived from inverters, optimizers and batteries on a quarterly basis within our upcoming quarterly reports on Form 10Q.</w:t>
      </w:r>
    </w:p>
    <w:p>
      <w:pPr>
        <w:spacing w:after="0" w:line="26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8"/>
          <w:szCs w:val="18"/>
          <w:color w:val="auto"/>
        </w:rPr>
        <w:t>In an effort to simplify the Company’s product portfolio and streamline our business, we plan on reducing the variety of Stock Keeping Units ("SKU"), in a manner in which we would no longer be able to track Megawatts shipped as a metric. The move to our Single SKU concept means that the Company will not be able to determine the AC power rating of inverters at the time of shipment. The AC power rating will only be determined once it is installed in the field, which typically occurs at least 6 months after shipment and can be altered in accordance with an end users needs. As a result, the Company will no longer be able to provide Megawatts shipped</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as key operating metrics, starting with the fourth quarter of 2025.</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Key Operating Metrics Intended to be Removed:</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540"/>
        </w:trPr>
        <w:tc>
          <w:tcPr>
            <w:tcW w:w="3480" w:type="dxa"/>
            <w:vAlign w:val="bottom"/>
            <w:tcBorders>
              <w:top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29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27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29"/>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Inverters shipped (in thousands)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shd w:val="clear" w:color="auto" w:fill="CCEEFF"/>
          </w:tcPr>
          <w:p>
            <w:pPr>
              <w:spacing w:after="0"/>
              <w:rPr>
                <w:sz w:val="19"/>
                <w:szCs w:val="19"/>
                <w:color w:val="auto"/>
              </w:rPr>
            </w:pPr>
          </w:p>
        </w:tc>
      </w:tr>
      <w:tr>
        <w:trPr>
          <w:trHeight w:val="230"/>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optimizers shipped (in thousands)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2,903.7</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1,848.7</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7,898.0</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4,921.3</w:t>
            </w:r>
          </w:p>
        </w:tc>
      </w:tr>
      <w:tr>
        <w:trPr>
          <w:trHeight w:val="230"/>
        </w:trPr>
        <w:tc>
          <w:tcPr>
            <w:tcW w:w="54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Megawatts shipped</w:t>
            </w:r>
            <w:r>
              <w:rPr>
                <w:rFonts w:ascii="Times New Roman" w:cs="Times New Roman" w:eastAsia="Times New Roman" w:hAnsi="Times New Roman"/>
                <w:sz w:val="26"/>
                <w:szCs w:val="26"/>
                <w:color w:val="auto"/>
                <w:vertAlign w:val="superscript"/>
              </w:rPr>
              <w:t>1</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1,471.0</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850.0</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3,872.0</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2,668.0</w:t>
            </w:r>
          </w:p>
        </w:tc>
      </w:tr>
      <w:tr>
        <w:trPr>
          <w:trHeight w:val="234"/>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Megawatt hours shipped - batteries for PV applications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269.0</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189.0</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696.0</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446.0</w:t>
            </w:r>
          </w:p>
        </w:tc>
      </w:tr>
    </w:tbl>
    <w:p>
      <w:pPr>
        <w:spacing w:after="0" w:line="247" w:lineRule="exact"/>
        <w:rPr>
          <w:sz w:val="20"/>
          <w:szCs w:val="20"/>
          <w:color w:val="auto"/>
        </w:rPr>
      </w:pPr>
    </w:p>
    <w:p>
      <w:pPr>
        <w:ind w:right="60" w:firstLine="8"/>
        <w:spacing w:after="0" w:line="201" w:lineRule="auto"/>
        <w:tabs>
          <w:tab w:leader="none" w:pos="112"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Excluding batteries for PV applications, based on the aggregate nameplate capacity of inverters shipped during the applicable period. Nameplate capacity is the maximum rated power output capacity of an inverter, as specified by the manufacturer.</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Key Operating Metrics Intended to be Included:</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540"/>
        </w:trPr>
        <w:tc>
          <w:tcPr>
            <w:tcW w:w="3420" w:type="dxa"/>
            <w:vAlign w:val="bottom"/>
            <w:tcBorders>
              <w:top w:val="single" w:sz="8" w:color="auto"/>
            </w:tcBorders>
          </w:tcPr>
          <w:p>
            <w:pPr>
              <w:spacing w:after="0"/>
              <w:rPr>
                <w:sz w:val="24"/>
                <w:szCs w:val="24"/>
                <w:color w:val="auto"/>
              </w:rPr>
            </w:pPr>
          </w:p>
        </w:tc>
        <w:tc>
          <w:tcPr>
            <w:tcW w:w="2060" w:type="dxa"/>
            <w:vAlign w:val="bottom"/>
          </w:tcPr>
          <w:p>
            <w:pPr>
              <w:spacing w:after="0"/>
              <w:rPr>
                <w:sz w:val="24"/>
                <w:szCs w:val="24"/>
                <w:color w:val="auto"/>
              </w:rPr>
            </w:pPr>
          </w:p>
        </w:tc>
        <w:tc>
          <w:tcPr>
            <w:tcW w:w="29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27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34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29"/>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Inverters recognized as revenue (in thousands)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shd w:val="clear" w:color="auto" w:fill="CCEEFF"/>
          </w:tcPr>
          <w:p>
            <w:pPr>
              <w:spacing w:after="0"/>
              <w:rPr>
                <w:sz w:val="19"/>
                <w:szCs w:val="19"/>
                <w:color w:val="auto"/>
              </w:rPr>
            </w:pPr>
          </w:p>
        </w:tc>
      </w:tr>
      <w:tr>
        <w:trPr>
          <w:trHeight w:val="230"/>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optimizers recognized as revenue (in thousands)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2,946.7</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1,762.9</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7,700.5</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4,831.3</w:t>
            </w:r>
          </w:p>
        </w:tc>
      </w:tr>
      <w:tr>
        <w:trPr>
          <w:trHeight w:val="230"/>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Megawatt hours recognized as revenue - batteries for PV applications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230.0</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185.6</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617.0</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6459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right="200" w:firstLine="8"/>
        <w:spacing w:after="0" w:line="201" w:lineRule="auto"/>
        <w:tabs>
          <w:tab w:leader="none" w:pos="12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believes that its financial performance is better reflected by revenue recognized as opposed to products shipped, which reflects operating activity.</w:t>
      </w:r>
    </w:p>
    <w:p>
      <w:pPr>
        <w:spacing w:after="0" w:line="1" w:lineRule="exact"/>
        <w:rPr>
          <w:rFonts w:ascii="Times New Roman" w:cs="Times New Roman" w:eastAsia="Times New Roman" w:hAnsi="Times New Roman"/>
          <w:sz w:val="30"/>
          <w:szCs w:val="30"/>
          <w:color w:val="auto"/>
          <w:vertAlign w:val="superscript"/>
        </w:rPr>
      </w:pPr>
    </w:p>
    <w:p>
      <w:pPr>
        <w:spacing w:after="0" w:line="185"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Id.</w:t>
      </w: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6"/>
          <w:szCs w:val="16"/>
          <w:color w:val="auto"/>
        </w:rPr>
        <w:t xml:space="preserve"> Id.</w:t>
      </w:r>
    </w:p>
    <w:p>
      <w:pPr>
        <w:ind w:right="160"/>
        <w:spacing w:after="0" w:line="191"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With the transition to the Single SKU concept, the Company will no longer be able to determine the power rating of inverters at the time of shipment, as this power rating will only be established upon installation in the field, typically occurring at least six months post-shipment.</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9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condensed consolidated financial statements and related notes included elsewhere in this report.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selected consolidated statements of loss data for each of the periods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59"/>
        </w:trPr>
        <w:tc>
          <w:tcPr>
            <w:tcW w:w="38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2"/>
                <w:szCs w:val="22"/>
                <w:color w:val="auto"/>
              </w:rPr>
            </w:pPr>
          </w:p>
        </w:tc>
        <w:tc>
          <w:tcPr>
            <w:tcW w:w="23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6"/>
        </w:trPr>
        <w:tc>
          <w:tcPr>
            <w:tcW w:w="38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30"/>
        </w:trPr>
        <w:tc>
          <w:tcPr>
            <w:tcW w:w="3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340,177</w:t>
            </w:r>
          </w:p>
        </w:tc>
        <w:tc>
          <w:tcPr>
            <w:tcW w:w="26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235,435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849,086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705,239</w:t>
            </w: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268,034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963,229</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727,276</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1,470,189</w:t>
            </w:r>
          </w:p>
        </w:tc>
      </w:tr>
      <w:tr>
        <w:trPr>
          <w:trHeight w:val="237"/>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2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72,143</w:t>
            </w:r>
          </w:p>
        </w:tc>
        <w:tc>
          <w:tcPr>
            <w:tcW w:w="260" w:type="dxa"/>
            <w:vAlign w:val="bottom"/>
            <w:tcBorders>
              <w:left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(727,794)</w:t>
            </w:r>
          </w:p>
        </w:tc>
        <w:tc>
          <w:tcPr>
            <w:tcW w:w="22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121,810</w:t>
            </w:r>
          </w:p>
        </w:tc>
        <w:tc>
          <w:tcPr>
            <w:tcW w:w="22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(764,950)</w:t>
            </w:r>
          </w:p>
        </w:tc>
        <w:tc>
          <w:tcPr>
            <w:tcW w:w="100" w:type="dxa"/>
            <w:vAlign w:val="bottom"/>
            <w:shd w:val="clear" w:color="auto" w:fill="CCEEFF"/>
          </w:tcPr>
          <w:p>
            <w:pPr>
              <w:spacing w:after="0"/>
              <w:rPr>
                <w:sz w:val="20"/>
                <w:szCs w:val="20"/>
                <w:color w:val="auto"/>
              </w:rPr>
            </w:pPr>
          </w:p>
        </w:tc>
      </w:tr>
      <w:tr>
        <w:trPr>
          <w:trHeight w:val="229"/>
        </w:trPr>
        <w:tc>
          <w:tcPr>
            <w:tcW w:w="5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29"/>
        </w:trPr>
        <w:tc>
          <w:tcPr>
            <w:tcW w:w="5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54,146</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70,372</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169,529</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214,999</w:t>
            </w:r>
          </w:p>
        </w:tc>
      </w:tr>
      <w:tr>
        <w:trPr>
          <w:trHeight w:val="230"/>
        </w:trPr>
        <w:tc>
          <w:tcPr>
            <w:tcW w:w="5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37,427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87,293</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116,316</w:t>
            </w:r>
          </w:p>
        </w:tc>
      </w:tr>
      <w:tr>
        <w:trPr>
          <w:trHeight w:val="229"/>
        </w:trPr>
        <w:tc>
          <w:tcPr>
            <w:tcW w:w="5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26,574</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41,212</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76,546</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111,085</w:t>
            </w:r>
          </w:p>
        </w:tc>
      </w:tr>
      <w:tr>
        <w:trPr>
          <w:trHeight w:val="237"/>
        </w:trPr>
        <w:tc>
          <w:tcPr>
            <w:tcW w:w="5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(338)</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233,929</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41,811</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237,271</w:t>
            </w:r>
          </w:p>
        </w:tc>
      </w:tr>
      <w:tr>
        <w:trPr>
          <w:trHeight w:val="209"/>
        </w:trPr>
        <w:tc>
          <w:tcPr>
            <w:tcW w:w="5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107,293</w:t>
            </w:r>
          </w:p>
        </w:tc>
        <w:tc>
          <w:tcPr>
            <w:tcW w:w="260" w:type="dxa"/>
            <w:vAlign w:val="bottom"/>
            <w:tcBorders>
              <w:lef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382,940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375,179</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679,671</w:t>
            </w:r>
          </w:p>
        </w:tc>
        <w:tc>
          <w:tcPr>
            <w:tcW w:w="100" w:type="dxa"/>
            <w:vAlign w:val="bottom"/>
            <w:shd w:val="clear" w:color="auto" w:fill="CCEEFF"/>
          </w:tcPr>
          <w:p>
            <w:pPr>
              <w:spacing w:after="0"/>
              <w:rPr>
                <w:sz w:val="18"/>
                <w:szCs w:val="18"/>
                <w:color w:val="auto"/>
              </w:rPr>
            </w:pPr>
          </w:p>
        </w:tc>
      </w:tr>
      <w:tr>
        <w:trPr>
          <w:trHeight w:val="27"/>
        </w:trPr>
        <w:tc>
          <w:tcPr>
            <w:tcW w:w="380" w:type="dxa"/>
            <w:vAlign w:val="bottom"/>
            <w:tcBorders>
              <w:top w:val="single" w:sz="8" w:color="auto"/>
            </w:tcBorders>
            <w:shd w:val="clear" w:color="auto" w:fill="CCEEFF"/>
          </w:tcPr>
          <w:p>
            <w:pPr>
              <w:spacing w:after="0"/>
              <w:rPr>
                <w:sz w:val="2"/>
                <w:szCs w:val="2"/>
                <w:color w:val="auto"/>
              </w:rPr>
            </w:pPr>
          </w:p>
        </w:tc>
        <w:tc>
          <w:tcPr>
            <w:tcW w:w="56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880" w:type="dxa"/>
            <w:vAlign w:val="bottom"/>
            <w:tcBorders>
              <w:top w:val="single" w:sz="8" w:color="CCEEFF"/>
            </w:tcBorders>
            <w:shd w:val="clear" w:color="auto" w:fill="000000"/>
          </w:tcPr>
          <w:p>
            <w:pPr>
              <w:spacing w:after="0"/>
              <w:rPr>
                <w:sz w:val="2"/>
                <w:szCs w:val="2"/>
                <w:color w:val="auto"/>
              </w:rPr>
            </w:pPr>
          </w:p>
        </w:tc>
        <w:tc>
          <w:tcPr>
            <w:tcW w:w="26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86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2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(35,150)</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(1,110,734)</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(253,369)</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(1,444,621)</w:t>
            </w:r>
          </w:p>
        </w:tc>
      </w:tr>
      <w:tr>
        <w:trPr>
          <w:trHeight w:val="22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26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5,558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5,785</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(2,371)</w:t>
            </w: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(15,011)</w:t>
            </w: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(3,928)</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(10,846)</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14,623</w:t>
            </w:r>
          </w:p>
        </w:tc>
      </w:tr>
      <w:tr>
        <w:trPr>
          <w:trHeight w:val="23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(47,121)</w:t>
            </w:r>
          </w:p>
        </w:tc>
        <w:tc>
          <w:tcPr>
            <w:tcW w:w="260" w:type="dxa"/>
            <w:vAlign w:val="bottom"/>
            <w:tcBorders>
              <w:left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(1,109,104)</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(258,430)</w:t>
            </w:r>
          </w:p>
        </w:tc>
        <w:tc>
          <w:tcPr>
            <w:tcW w:w="22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(1,432,369)</w:t>
            </w:r>
          </w:p>
        </w:tc>
        <w:tc>
          <w:tcPr>
            <w:tcW w:w="100" w:type="dxa"/>
            <w:vAlign w:val="bottom"/>
            <w:shd w:val="clear" w:color="auto" w:fill="CCEEFF"/>
          </w:tcPr>
          <w:p>
            <w:pPr>
              <w:spacing w:after="0"/>
              <w:rPr>
                <w:sz w:val="19"/>
                <w:szCs w:val="19"/>
                <w:color w:val="auto"/>
              </w:rPr>
            </w:pPr>
          </w:p>
        </w:tc>
      </w:tr>
      <w:tr>
        <w:trPr>
          <w:trHeight w:val="22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(2,563)</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(121,108)</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(13,946)</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(85,109)</w:t>
            </w:r>
          </w:p>
        </w:tc>
      </w:tr>
      <w:tr>
        <w:trPr>
          <w:trHeight w:val="23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equity method investments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(376)</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(577)</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(951)</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(1,440)</w:t>
            </w:r>
          </w:p>
        </w:tc>
      </w:tr>
      <w:tr>
        <w:trPr>
          <w:trHeight w:val="27"/>
        </w:trPr>
        <w:tc>
          <w:tcPr>
            <w:tcW w:w="380" w:type="dxa"/>
            <w:vAlign w:val="bottom"/>
            <w:shd w:val="clear" w:color="auto" w:fill="CCEEFF"/>
          </w:tcPr>
          <w:p>
            <w:pPr>
              <w:spacing w:after="0"/>
              <w:rPr>
                <w:sz w:val="2"/>
                <w:szCs w:val="2"/>
                <w:color w:val="auto"/>
              </w:rPr>
            </w:pPr>
          </w:p>
        </w:tc>
        <w:tc>
          <w:tcPr>
            <w:tcW w:w="56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(50,060)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(1,230,789)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(273,327)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(1,518,918)</w:t>
            </w:r>
          </w:p>
        </w:tc>
      </w:tr>
      <w:tr>
        <w:trPr>
          <w:trHeight w:val="27"/>
        </w:trPr>
        <w:tc>
          <w:tcPr>
            <w:tcW w:w="3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and nine months ended September 30, 2025, and the three and nine months ended September 30,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507"/>
        </w:trPr>
        <w:tc>
          <w:tcPr>
            <w:tcW w:w="2380" w:type="dxa"/>
            <w:vAlign w:val="bottom"/>
          </w:tcPr>
          <w:p>
            <w:pPr>
              <w:spacing w:after="0"/>
              <w:rPr>
                <w:sz w:val="24"/>
                <w:szCs w:val="24"/>
                <w:color w:val="auto"/>
              </w:rPr>
            </w:pPr>
          </w:p>
        </w:tc>
        <w:tc>
          <w:tcPr>
            <w:tcW w:w="4260" w:type="dxa"/>
            <w:vAlign w:val="bottom"/>
            <w:gridSpan w:val="7"/>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 to 2024</w:t>
            </w:r>
          </w:p>
        </w:tc>
        <w:tc>
          <w:tcPr>
            <w:tcW w:w="220" w:type="dxa"/>
            <w:vAlign w:val="bottom"/>
          </w:tcPr>
          <w:p>
            <w:pPr>
              <w:spacing w:after="0"/>
              <w:rPr>
                <w:sz w:val="24"/>
                <w:szCs w:val="24"/>
                <w:color w:val="auto"/>
              </w:rPr>
            </w:pPr>
          </w:p>
        </w:tc>
        <w:tc>
          <w:tcPr>
            <w:tcW w:w="4380" w:type="dxa"/>
            <w:vAlign w:val="bottom"/>
            <w:gridSpan w:val="8"/>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to 2024</w:t>
            </w:r>
          </w:p>
        </w:tc>
      </w:tr>
      <w:tr>
        <w:trPr>
          <w:trHeight w:val="236"/>
        </w:trPr>
        <w:tc>
          <w:tcPr>
            <w:tcW w:w="23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2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0"/>
        </w:trPr>
        <w:tc>
          <w:tcPr>
            <w:tcW w:w="2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340,177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235,435</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104,742</w:t>
            </w:r>
          </w:p>
        </w:tc>
        <w:tc>
          <w:tcPr>
            <w:tcW w:w="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44.5%</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849,086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705,239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143,847</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w:t>
            </w:r>
          </w:p>
        </w:tc>
      </w:tr>
    </w:tbl>
    <w:p>
      <w:pPr>
        <w:spacing w:after="0" w:line="25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8"/>
          <w:szCs w:val="18"/>
          <w:color w:val="auto"/>
        </w:rPr>
        <w:t>Revenues increased by $104.7 million, or 44.5%, in the three months ended September 30, 2025, compared to the three months ended September 30, 2024, primarily due to (i) an increase of $105.0 million related to an increase in the number of inverters and power optimizers sold; and (ii) an increase of $16.7 million related to an increase in the number of batteries for PV applications sold; these were partially offset by (i) a decrease of $10.8 million in revenues due to the discontinuation of our Energy Storage Business; and (ii) a decrease of $4.3 million related to less ancillary solar products sold.</w:t>
      </w:r>
    </w:p>
    <w:p>
      <w:pPr>
        <w:spacing w:after="0" w:line="200" w:lineRule="exact"/>
        <w:rPr>
          <w:sz w:val="20"/>
          <w:szCs w:val="20"/>
          <w:color w:val="auto"/>
        </w:rPr>
      </w:pPr>
    </w:p>
    <w:p>
      <w:pPr>
        <w:spacing w:after="0" w:line="26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Revenues from outside of the U.S. comprised 40.3% of our revenues in the three months ended September 30, 2025 compared to 56.2% in the three months ended September 30, 2024.</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number of power optimizers recognized as revenues increased by approximately 1.2 million units, or 67.1%, from approximately 1.8 million units, in the three months ended September 30, 2024, to approximately 2.9 million units in the three months ended September 30, 2025. The number of inverters recognized as revenues increased by approximately 38.5 thousand units, or 71.0%, from approximately 54.2 thousand units in the three months ended September 30, 2024 to approximately 92.7 thousand units in the three months ended September 30, 2025. The megawatt hours of batteries for PV applications recognized as revenues increased by approximately 44.9 megawatt hours, or 24.2%, from approximately 185.6 in the three months ended September 30, 2024 to approximately 230.0 megawatt hours in the three months ended September 30, 2025.</w:t>
      </w:r>
    </w:p>
    <w:p>
      <w:pPr>
        <w:spacing w:after="0" w:line="2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blended Average Selling Price (“ASP”) per watt for solar products excluding batteries for PV applications is calculated by dividing the sales of solar products, excluding the sales of batteries for PV applications, by the name plate capacity of inverters shipped. Our blended ASP per watt for solar products shipped excluding batteries for PV applications decreased by $0.017, or 8.8%, in the three months ended September 30, 2025, compared to the three months ended September 30, 2024. This decrease in blended ASP per watt is primarily attributed to a decrease in the sale of residential products that are characterized by higher ASP per watt. This decrease in blended ASP per watt was partially offset by a higher number of power optimizers shipped, compared to the number of inverters shipped.</w:t>
      </w:r>
    </w:p>
    <w:p>
      <w:pPr>
        <w:spacing w:after="0" w:line="2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blended ASP per watt/hour for batteries for PV applications is calculated by dividing batteries for PV applications sales, by the nameplate capacity of batteries for PV applications shipped. Our blended ASP per watt/hour for batteries for PV applications decreased by $0.013, or 4.2%, in the three months ended September 30, 2025, compared to the three months ended September 30, 2024. The decrease in blended ASP per watt/hour is primarily attributed to a price reduction,of our batteries for PV applications mainly in Europe, which was intensified by an increase in sales in Europe compared to sales in the U.S.</w:t>
      </w:r>
    </w:p>
    <w:p>
      <w:pPr>
        <w:spacing w:after="0" w:line="24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Revenues increased by $143.8 million, or 20.4%, in the nine months ended September 30, 2025 compared to the nine months ended September 30, 2024, primarily due to (i) an increase of $179.7 million related to an increase in the number of inverters and power optimizers sold; (ii) an increase of $40.9 million related to the higher number of batteries for PV applications sold; these were partially offset by (i) a decrease of $38.2 million related to less ancillary solar products sold; (ii) a decrease of $27.6 million in revenues due to the discontinuation of our Energy Storage Business; and (iii) a decrease of $8.2 million in revenues from automation machines, which was sold in October 2024..</w:t>
      </w:r>
    </w:p>
    <w:p>
      <w:pPr>
        <w:spacing w:after="0" w:line="22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Revenues from outside of the U.S. comprised 38.7% of our revenues in the nine months ended September 30, 2025 compared to 62.3% in the nine months ended September 30, 2024.</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number of power optimizers recognized as revenues increased by approximately 2.9 million units, or 59.4%, from approximately 4.8 million units, in the nine months ended September 30, 2024, to approximately 7.7 million units in the nine months ended September 30, 2025. The number of inverters recognized as revenues increased by approximately 69.0 thousand units, or 37.9%, from approximately 181.9 thousand units in the nine months ended September 30, 2024 to approximately 250.8 thousand units in the nine months ended September 30, 2025. The megawatt hours of batteries for PV applications recognized as revenues increased by approximately 212.0 megawatt hours, or 52.3%, from approximately 405.0 megawatt hours in the nine months ended September 30, 2024 to approximately 617.0 megawatt hours in the nine months ended September 30, 2025.</w:t>
      </w:r>
    </w:p>
    <w:p>
      <w:pPr>
        <w:spacing w:after="0" w:line="2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blended ASP per watt for solar products shipped excluding batteries for PV applications decreased by $0.016, or 8.6%, in the nine months ended September 30, 2025 compared to the nine months ended September 30, 2024. This decrease in blended ASP per watt is primarily attributed to price reductions. This decrease in blended ASP per watt was partially offset by a higher number of power optimizers shipped, compared to the number of inverters shipped; as well as higher ASP due to increase in sales in the U.S. compared to sales in Europe, which is characterized by a higher demand for residential products, which have a higher ASP per watt out of our total solar product mix.</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Our blended ASP per watt/hour for batteries for PV applications decreased by $0.059, or 16.8%, in the nine months ended September 30, 2025, compared to the nine months ended September 30, 2024. The decrease in blended ASP per watt/hour is primarily attributed to a price reduction,of our batteries for PV applications mainly in Europe, which was intensified by an increase in sales in Europe compared to sales in the U.S, as well as, an increase in the sale of our three-phase battery that is sold at a lower ASP per watt/hour.</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393"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6"/>
        </w:trPr>
        <w:tc>
          <w:tcPr>
            <w:tcW w:w="350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Cost of Revenues and Gross Profit (loss)</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520"/>
        </w:trPr>
        <w:tc>
          <w:tcPr>
            <w:tcW w:w="2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4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 to 2024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60" w:type="dxa"/>
            <w:vAlign w:val="bottom"/>
            <w:gridSpan w:val="9"/>
          </w:tcPr>
          <w:p>
            <w:pPr>
              <w:ind w:left="1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to 2024</w:t>
            </w:r>
          </w:p>
        </w:tc>
      </w:tr>
      <w:tr>
        <w:trPr>
          <w:trHeight w:val="236"/>
        </w:trPr>
        <w:tc>
          <w:tcPr>
            <w:tcW w:w="2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840" w:type="dxa"/>
            <w:vAlign w:val="bottom"/>
            <w:tcBorders>
              <w:top w:val="single" w:sz="8" w:color="auto"/>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8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0"/>
        </w:trPr>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(In</w:t>
            </w:r>
          </w:p>
        </w:tc>
        <w:tc>
          <w:tcPr>
            <w:tcW w:w="11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268,034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963,229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(695,195)</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(72.2)%</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727,276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1,470,189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(742,913)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72,143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(727,794)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799,937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121,810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(764,950)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886,760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(115.9)%</w:t>
            </w:r>
          </w:p>
        </w:tc>
      </w:tr>
    </w:tbl>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revenues decreased by $695.2 million, or 72.2%, in the three months ended September 30, 2025,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primarily due to:</w:t>
      </w:r>
    </w:p>
    <w:p>
      <w:pPr>
        <w:spacing w:after="0" w:line="274"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$666.6 million related to prior year inventory write-down accruals; and</w:t>
      </w:r>
    </w:p>
    <w:p>
      <w:pPr>
        <w:spacing w:after="0" w:line="2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 in direct cost of revenues sold, of $8.6 million, associated primarily with the AMPTC recognized and a decrease in shipment costs, which was partially offset by the increase in the volume of revenues.</w:t>
      </w:r>
    </w:p>
    <w:p>
      <w:pPr>
        <w:spacing w:after="0" w:line="216"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Gross profit as a percentage of revenue was 21.2% in the three months ended September 30, 2025, compared to gross loss as a percentage of revenue of 309.1%, in the three months ended September 30, 2024, primarily due to:</w:t>
      </w:r>
    </w:p>
    <w:p>
      <w:pPr>
        <w:spacing w:after="0" w:line="203"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inventory write-down accruals resulting in higher gross margin of approximately 312.3%; and</w:t>
      </w:r>
    </w:p>
    <w:p>
      <w:pPr>
        <w:spacing w:after="0" w:line="2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absolute fixed and other production related costs, which were divided this quarter by significantly higher revenue, resulting in higher gross margin of approximately 22.0%.</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revenues decreased by $742.9 million, or 50.5%, in the nine months ended September 30, 2025 compared to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primarily due to:</w:t>
      </w:r>
    </w:p>
    <w:p>
      <w:pPr>
        <w:spacing w:after="0" w:line="288"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$676.3 million related to prior year inventory write-down accruals;</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warranty expenses and warranty accruals of $39.8 million associated primarily with a lower cost of materials;</w:t>
      </w:r>
    </w:p>
    <w:p>
      <w:pPr>
        <w:spacing w:after="0" w:line="2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direct cost of revenues sold of $9.2 million associated primarily with the AMPTC recognized and a decrease in shipment costs which was partially offset by the increase in revenues; and</w:t>
      </w:r>
    </w:p>
    <w:p>
      <w:pPr>
        <w:spacing w:after="0" w:line="21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personnel-related costs of $10.4 million resulting primarily from our Restructuring Plans designed to reduce operating expenses and align our cost structure to current market dynamics.</w:t>
      </w:r>
    </w:p>
    <w:p>
      <w:pPr>
        <w:spacing w:after="0" w:line="21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Gross profit as a percentage of revenue was 14.3% in the nine months ended September 30, 2025 compared to gross loss as a percentage of revenue of 108.5% in the nine months ended September 30, 2024 primarily due to:</w:t>
      </w:r>
    </w:p>
    <w:p>
      <w:pPr>
        <w:spacing w:after="0" w:line="229"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inventory write-down accruals resulting in higher gross margin of approximately 111.8%; and</w:t>
      </w:r>
    </w:p>
    <w:p>
      <w:pPr>
        <w:spacing w:after="0" w:line="2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absolute fixed and other production related costs, which were divided this period by significantly higher revenue, resulting in higher gross margin of approximately 7.0%;</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6"/>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99"/>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507"/>
        </w:trPr>
        <w:tc>
          <w:tcPr>
            <w:tcW w:w="2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4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 to 2024</w:t>
            </w:r>
          </w:p>
        </w:tc>
        <w:tc>
          <w:tcPr>
            <w:tcW w:w="220" w:type="dxa"/>
            <w:vAlign w:val="bottom"/>
          </w:tcPr>
          <w:p>
            <w:pPr>
              <w:spacing w:after="0"/>
              <w:rPr>
                <w:sz w:val="24"/>
                <w:szCs w:val="24"/>
                <w:color w:val="auto"/>
              </w:rPr>
            </w:pPr>
          </w:p>
        </w:tc>
        <w:tc>
          <w:tcPr>
            <w:tcW w:w="4420" w:type="dxa"/>
            <w:vAlign w:val="bottom"/>
            <w:gridSpan w:val="8"/>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to 2024</w:t>
            </w:r>
          </w:p>
        </w:tc>
      </w:tr>
      <w:tr>
        <w:trPr>
          <w:trHeight w:val="237"/>
        </w:trPr>
        <w:tc>
          <w:tcPr>
            <w:tcW w:w="2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4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9"/>
        </w:trPr>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54,146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70,372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(16,226)</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(23.1)%</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169,529</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214,999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(45,470)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bl>
    <w:p>
      <w:pPr>
        <w:spacing w:after="0" w:line="25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Research and development costs decreased by $16.2 million or 23.1%, in the three months ended September 30, 2025, compared to the three months ended September 30, 2024, primarily due to:</w:t>
      </w:r>
    </w:p>
    <w:p>
      <w:pPr>
        <w:spacing w:after="0" w:line="217" w:lineRule="exact"/>
        <w:rPr>
          <w:sz w:val="20"/>
          <w:szCs w:val="20"/>
          <w:color w:val="auto"/>
        </w:rPr>
      </w:pPr>
    </w:p>
    <w:p>
      <w:pPr>
        <w:ind w:left="130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personnel-related costs of $12.9 million resulting primarily from our Restructuring Plans designed to reduce operating expenses and align our cost structure to current market dynamics;</w:t>
      </w:r>
    </w:p>
    <w:p>
      <w:pPr>
        <w:spacing w:after="0" w:line="21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depreciation and amortization of $1.6 million; and</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expenses related to consulting and sub-contracting of $1.5 million.</w:t>
      </w:r>
    </w:p>
    <w:p>
      <w:pPr>
        <w:spacing w:after="0" w:line="27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costs decreased by $45.5 million or 21.1%, in the nine months ended September 30, 2025, compared to the nine months ended September 30, 2024, primarily due to:</w:t>
      </w:r>
    </w:p>
    <w:p>
      <w:pPr>
        <w:spacing w:after="0" w:line="229" w:lineRule="exact"/>
        <w:rPr>
          <w:sz w:val="20"/>
          <w:szCs w:val="20"/>
          <w:color w:val="auto"/>
        </w:rPr>
      </w:pPr>
    </w:p>
    <w:p>
      <w:pPr>
        <w:ind w:left="1300" w:hanging="644"/>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personnel-related costs of $32.6 million resulting primarily from our Restructuring Plans designed to reduce operating expenses and align our cost structure to current market dynamics;</w:t>
      </w:r>
    </w:p>
    <w:p>
      <w:pPr>
        <w:spacing w:after="0" w:line="21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depreciation and amortization of $4.7 million;</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material consumption in an amount of $3.7 million; and</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expenses related to consulting and sub-contracting of $3.1 million.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520"/>
        </w:trPr>
        <w:tc>
          <w:tcPr>
            <w:tcW w:w="2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4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 to 2024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60" w:type="dxa"/>
            <w:vAlign w:val="bottom"/>
            <w:gridSpan w:val="8"/>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to 2024</w:t>
            </w:r>
          </w:p>
        </w:tc>
      </w:tr>
      <w:tr>
        <w:trPr>
          <w:trHeight w:val="237"/>
        </w:trPr>
        <w:tc>
          <w:tcPr>
            <w:tcW w:w="2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4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0"/>
        </w:trPr>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1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37,427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(10,516)</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(28.1)%</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87,293</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116,316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(29,023)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bl>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decreased by $10.5 million, or 28.1%, in the three months ended September 30, 2025, compared to the three months ended September 30, 2024, primarily due to:</w:t>
      </w:r>
    </w:p>
    <w:p>
      <w:pPr>
        <w:spacing w:after="0" w:line="229" w:lineRule="exact"/>
        <w:rPr>
          <w:sz w:val="20"/>
          <w:szCs w:val="20"/>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personnel-related costs of $7.9 million resulting primarily from our Restructuring Plans designed to reduce operating expenses and align our cost structure to current market dynamics; and</w:t>
      </w:r>
    </w:p>
    <w:p>
      <w:pPr>
        <w:spacing w:after="0" w:line="2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$1.1 million in marketing expenses.</w:t>
      </w:r>
    </w:p>
    <w:p>
      <w:pPr>
        <w:spacing w:after="0" w:line="279"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Sales and marketing expenses decreased by $29.0 million, or 25.0%, in the nine months ended September 30, 2025, compared to the nine months ended September 30, 2024, primarily due to:</w:t>
      </w:r>
    </w:p>
    <w:p>
      <w:pPr>
        <w:spacing w:after="0" w:line="203" w:lineRule="exact"/>
        <w:rPr>
          <w:sz w:val="20"/>
          <w:szCs w:val="20"/>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personnel-related costs of $22.9 million resulting primarily from our Restructuring Plans designed to reduce operating expenses and align our cost structure to current market dynamics; and</w:t>
      </w:r>
    </w:p>
    <w:p>
      <w:pPr>
        <w:spacing w:after="0" w:line="2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$2.2 million in marketing expenses.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520"/>
        </w:trPr>
        <w:tc>
          <w:tcPr>
            <w:tcW w:w="2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4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 to 2024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60" w:type="dxa"/>
            <w:vAlign w:val="bottom"/>
            <w:gridSpan w:val="8"/>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to 2024</w:t>
            </w:r>
          </w:p>
        </w:tc>
      </w:tr>
      <w:tr>
        <w:trPr>
          <w:trHeight w:val="236"/>
        </w:trPr>
        <w:tc>
          <w:tcPr>
            <w:tcW w:w="2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4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0"/>
        </w:trPr>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1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2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   $</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41,212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(14,638)</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(35.5)%</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76,546</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111,085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(34,539)</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bl>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$14.6 million, or 35.5%, in the three months ended September 30, 2025 compared to the three months ended September 30, 2024, primarily due to:</w:t>
      </w:r>
    </w:p>
    <w:p>
      <w:pPr>
        <w:spacing w:after="0" w:line="229"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$11.3 million in doubtful debt expenses; and</w:t>
      </w:r>
    </w:p>
    <w:p>
      <w:pPr>
        <w:spacing w:after="0" w:line="2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personnel-related costs of $6.0 million resulting primarily from our Restructuring Plans designed to reduce operating expenses and align our cost structure to current market dynamics.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were partially offset by a decrease of $2.7 million related to potential legal claims.</w:t>
      </w:r>
    </w:p>
    <w:p>
      <w:pPr>
        <w:spacing w:after="0" w:line="29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$34.5 million, or 31.1%, in the nine months ended September 30, 2025, compared to the nine months ended September 30, 2024, primarily due to:</w:t>
      </w:r>
    </w:p>
    <w:p>
      <w:pPr>
        <w:spacing w:after="0" w:line="229" w:lineRule="exact"/>
        <w:rPr>
          <w:sz w:val="20"/>
          <w:szCs w:val="20"/>
          <w:color w:val="auto"/>
        </w:rPr>
      </w:pPr>
    </w:p>
    <w:p>
      <w:pPr>
        <w:jc w:val="both"/>
        <w:ind w:left="1300" w:hanging="644"/>
        <w:spacing w:after="0" w:line="274"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reversal of doubtful debt in the amount of $16.8 million in the nine months ended September 30, 2025, compared to an expense of $24.3 million, in the nine months ended September 30, 2024, mainly related to the collection of doubtful debt and a lower amount of provisions for doubtful debts; and</w:t>
      </w:r>
    </w:p>
    <w:p>
      <w:pPr>
        <w:spacing w:after="0" w:line="23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personnel-related costs of $11.7 million resulting primarily from our Restructuring Plans designed to reduce operating expenses and align our cost structure to current market dynamics;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were partially offset by:</w:t>
      </w:r>
    </w:p>
    <w:p>
      <w:pPr>
        <w:spacing w:after="0" w:line="239"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$11.2 million related to potential legal claims; and</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$8.1 million primarily due to a penalty for postponing the commencement of our campus lease agreement.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 expense (income), net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4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 to 2024</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60" w:type="dxa"/>
            <w:vAlign w:val="bottom"/>
            <w:gridSpan w:val="7"/>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to 2024</w:t>
            </w:r>
          </w:p>
        </w:tc>
        <w:tc>
          <w:tcPr>
            <w:tcW w:w="0" w:type="dxa"/>
            <w:vAlign w:val="bottom"/>
          </w:tcPr>
          <w:p>
            <w:pPr>
              <w:spacing w:after="0"/>
              <w:rPr>
                <w:sz w:val="1"/>
                <w:szCs w:val="1"/>
                <w:color w:val="auto"/>
              </w:rPr>
            </w:pPr>
          </w:p>
        </w:tc>
      </w:tr>
      <w:tr>
        <w:trPr>
          <w:trHeight w:val="236"/>
        </w:trPr>
        <w:tc>
          <w:tcPr>
            <w:tcW w:w="2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000" w:type="dxa"/>
            <w:vAlign w:val="bottom"/>
            <w:tcBorders>
              <w:top w:val="single" w:sz="8" w:color="auto"/>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4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1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operating expense</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(338)</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233,929</w:t>
            </w:r>
          </w:p>
        </w:tc>
        <w:tc>
          <w:tcPr>
            <w:tcW w:w="110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(234,267)</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3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41,811</w:t>
            </w: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237,271</w:t>
            </w:r>
          </w:p>
        </w:tc>
        <w:tc>
          <w:tcPr>
            <w:tcW w:w="1460" w:type="dxa"/>
            <w:vAlign w:val="bottom"/>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  (195,460)</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net</w:t>
            </w:r>
          </w:p>
        </w:tc>
        <w:tc>
          <w:tcPr>
            <w:tcW w:w="180" w:type="dxa"/>
            <w:vAlign w:val="bottom"/>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380" w:type="dxa"/>
            <w:vAlign w:val="bottom"/>
            <w:gridSpan w:val="2"/>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460" w:type="dxa"/>
            <w:vAlign w:val="bottom"/>
            <w:vMerge w:val="continue"/>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operating expenses, net, decreased by $234.3 million in the three months ended September 30, 2025,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primarily due to:</w:t>
      </w:r>
    </w:p>
    <w:p>
      <w:pPr>
        <w:spacing w:after="0" w:line="274"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$206.7 million in losses related to the impairment of property, plant and equipment;</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$22.5 million in losses related to the impairment of intangible assets; and</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$2.3 million in losses related to the impairment of goodwill.</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color w:val="auto"/>
        </w:rPr>
        <w:t>Other operating expenses, net, decreased by $195.5 million, in the nine months ended September 30, 2025, compared to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primarily due to:</w:t>
      </w:r>
    </w:p>
    <w:p>
      <w:pPr>
        <w:spacing w:after="0" w:line="274"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$206.4 million in losses related to the impairment of property, plant and equipment;</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$22.5 million in losses related to the impairment of intangible assets;</w:t>
      </w:r>
    </w:p>
    <w:p>
      <w:pPr>
        <w:spacing w:after="0" w:line="2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gain in the nine months ended September 30, 2025 of $10.1 million from sale of property, plant, and equipment compared to a loss of $1.8 million in the nine months ended September 30, 2024; and</w:t>
      </w:r>
    </w:p>
    <w:p>
      <w:pPr>
        <w:spacing w:after="0" w:line="215" w:lineRule="exact"/>
        <w:rPr>
          <w:rFonts w:ascii="Times New Roman" w:cs="Times New Roman" w:eastAsia="Times New Roman" w:hAnsi="Times New Roman"/>
          <w:sz w:val="18"/>
          <w:szCs w:val="18"/>
          <w:color w:val="auto"/>
        </w:rPr>
      </w:pPr>
    </w:p>
    <w:p>
      <w:pPr>
        <w:ind w:left="660" w:right="3900" w:hanging="328"/>
        <w:spacing w:after="0" w:line="57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$4.2 million in income related to lower than expected discontinuation charges; These were partially offset by:</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$37.1 million related to impairment of held for sale asset; and</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$18.0 million related to the sale of the PV tracker business.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income (expense), net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4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 to 2024</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60" w:type="dxa"/>
            <w:vAlign w:val="bottom"/>
            <w:gridSpan w:val="9"/>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to 2024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8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1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Financial income (expense),</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5,558</w:t>
            </w:r>
          </w:p>
        </w:tc>
        <w:tc>
          <w:tcPr>
            <w:tcW w:w="26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(2,518)</w:t>
            </w:r>
          </w:p>
        </w:tc>
        <w:tc>
          <w:tcPr>
            <w:tcW w:w="7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(45.3)%</w:t>
            </w:r>
          </w:p>
        </w:tc>
        <w:tc>
          <w:tcPr>
            <w:tcW w:w="3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5,785</w:t>
            </w:r>
          </w:p>
        </w:tc>
        <w:tc>
          <w:tcPr>
            <w:tcW w:w="18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(2,371)</w:t>
            </w: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8,156</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w:t>
            </w:r>
          </w:p>
        </w:tc>
        <w:tc>
          <w:tcPr>
            <w:tcW w:w="180" w:type="dxa"/>
            <w:vAlign w:val="bottom"/>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380" w:type="dxa"/>
            <w:vAlign w:val="bottom"/>
            <w:gridSpan w:val="2"/>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income, net decreased by $2.5 million in the three months ended September 30, 2025,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primarily due to:</w:t>
      </w:r>
    </w:p>
    <w:p>
      <w:pPr>
        <w:spacing w:after="0" w:line="288" w:lineRule="exact"/>
        <w:rPr>
          <w:sz w:val="20"/>
          <w:szCs w:val="20"/>
          <w:color w:val="auto"/>
        </w:rPr>
      </w:pPr>
    </w:p>
    <w:p>
      <w:pPr>
        <w:ind w:left="1300" w:hanging="644"/>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expenses in the three months ended September 30, 2025 compared to income of $4.6 million as a result of fluctuations in foreign exchange rates, primarily between the Euro and the NIS against the U.S. dollar; and</w:t>
      </w:r>
    </w:p>
    <w:p>
      <w:pPr>
        <w:spacing w:after="0" w:line="21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$3.4 million in interest income related to our marketable securities investments;</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were partially offset by:</w:t>
      </w:r>
    </w:p>
    <w:p>
      <w:pPr>
        <w:spacing w:after="0" w:line="279"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$3.9 million due to credit loss related to loans receivable; and</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$2.2 million mainly due to interest income from loans receivable.</w:t>
      </w:r>
    </w:p>
    <w:p>
      <w:pPr>
        <w:spacing w:after="0" w:line="279"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Financial income, net was $5.8 million in the nine months ended September 30, 2025, compared to financial expenses, net in the amount of $2.4 million in the nine months ended September 30, 2024, primarily due to:</w:t>
      </w:r>
    </w:p>
    <w:p>
      <w:pPr>
        <w:spacing w:after="0" w:line="217"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$16.5 million in credit loss expenses related to loans receivable; and</w:t>
      </w:r>
    </w:p>
    <w:p>
      <w:pPr>
        <w:spacing w:after="0" w:line="2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 million income in the nine months ended September 30, 2025 compared to expenses of $0.5 million in the nine months ended September 30, 2024, as a result of fluctuations in foreign exchange rates, primarily between the Euro and the NIS against the U.S. dollar,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were partially offset by:</w:t>
      </w:r>
    </w:p>
    <w:p>
      <w:pPr>
        <w:spacing w:after="0" w:line="279"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$9.8 million in interest income related to our marketable securities investments.</w:t>
      </w:r>
    </w:p>
    <w:p>
      <w:pPr>
        <w:spacing w:after="0" w:line="29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of $3.6 million in the nine months ended September 30, 2025 compared to income of $0.8 million in the nine months ended September 30, 2024 due to hedging; and</w:t>
      </w:r>
    </w:p>
    <w:p>
      <w:pPr>
        <w:spacing w:after="0" w:line="21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$3.9 million in interest expenses primarily related to our Notes 2029.</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6"/>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520"/>
        </w:trPr>
        <w:tc>
          <w:tcPr>
            <w:tcW w:w="2380" w:type="dxa"/>
            <w:vAlign w:val="bottom"/>
          </w:tcPr>
          <w:p>
            <w:pPr>
              <w:spacing w:after="0"/>
              <w:rPr>
                <w:sz w:val="24"/>
                <w:szCs w:val="24"/>
                <w:color w:val="auto"/>
              </w:rPr>
            </w:pPr>
          </w:p>
        </w:tc>
        <w:tc>
          <w:tcPr>
            <w:tcW w:w="4220" w:type="dxa"/>
            <w:vAlign w:val="bottom"/>
            <w:gridSpan w:val="8"/>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 to 2024</w:t>
            </w:r>
          </w:p>
        </w:tc>
        <w:tc>
          <w:tcPr>
            <w:tcW w:w="220" w:type="dxa"/>
            <w:vAlign w:val="bottom"/>
          </w:tcPr>
          <w:p>
            <w:pPr>
              <w:spacing w:after="0"/>
              <w:rPr>
                <w:sz w:val="24"/>
                <w:szCs w:val="24"/>
                <w:color w:val="auto"/>
              </w:rPr>
            </w:pPr>
          </w:p>
        </w:tc>
        <w:tc>
          <w:tcPr>
            <w:tcW w:w="4420" w:type="dxa"/>
            <w:vAlign w:val="bottom"/>
            <w:gridSpan w:val="9"/>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to 2024</w:t>
            </w:r>
          </w:p>
        </w:tc>
      </w:tr>
      <w:tr>
        <w:trPr>
          <w:trHeight w:val="236"/>
        </w:trPr>
        <w:tc>
          <w:tcPr>
            <w:tcW w:w="2380" w:type="dxa"/>
            <w:vAlign w:val="bottom"/>
          </w:tcPr>
          <w:p>
            <w:pPr>
              <w:spacing w:after="0"/>
              <w:rPr>
                <w:sz w:val="20"/>
                <w:szCs w:val="20"/>
                <w:color w:val="auto"/>
              </w:rPr>
            </w:pPr>
          </w:p>
        </w:tc>
        <w:tc>
          <w:tcPr>
            <w:tcW w:w="90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8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0"/>
        </w:trPr>
        <w:tc>
          <w:tcPr>
            <w:tcW w:w="2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1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35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(expense), net  $   (15,011)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(3,928)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(11,083)</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282.2%</w:t>
            </w: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(10,846)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14,623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(25,469)</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r>
    </w:tbl>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expense increased by $11.1 million in the three months ended September 30, 2025 as compared to the three months ended September 30, 2024, primarily due to an increase of $10.0 million in impairment of investments in privately held companies.</w:t>
      </w:r>
    </w:p>
    <w:p>
      <w:pPr>
        <w:spacing w:after="0" w:line="22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Other expense was $10.8 million in the nine months ended September 30, 2025 as compared to other income of $14.6 million in the nine months ended September 30, 2024, primarily due to:</w:t>
      </w:r>
    </w:p>
    <w:p>
      <w:pPr>
        <w:spacing w:after="0" w:line="230" w:lineRule="exact"/>
        <w:rPr>
          <w:sz w:val="20"/>
          <w:szCs w:val="20"/>
          <w:color w:val="auto"/>
        </w:rPr>
      </w:pPr>
    </w:p>
    <w:p>
      <w:pPr>
        <w:ind w:left="740" w:hanging="354"/>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income of $15.5 million in gain from the repurchase of the 2025 Notes recognized in prior year;</w:t>
      </w:r>
    </w:p>
    <w:p>
      <w:pPr>
        <w:spacing w:after="0" w:line="360"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expenses of $10.1 million as a result of impairment of investment in privately held company.</w:t>
      </w:r>
    </w:p>
    <w:p>
      <w:pPr>
        <w:spacing w:after="0" w:line="360"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income of $3.0 million in realized gain from marketable securities;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were partially offset by $4.0 million income from sale of an investment in a privately held company.</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Income taxes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507"/>
        </w:trPr>
        <w:tc>
          <w:tcPr>
            <w:tcW w:w="2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4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 to 2024</w:t>
            </w:r>
          </w:p>
        </w:tc>
        <w:tc>
          <w:tcPr>
            <w:tcW w:w="220" w:type="dxa"/>
            <w:vAlign w:val="bottom"/>
          </w:tcPr>
          <w:p>
            <w:pPr>
              <w:spacing w:after="0"/>
              <w:rPr>
                <w:sz w:val="24"/>
                <w:szCs w:val="24"/>
                <w:color w:val="auto"/>
              </w:rPr>
            </w:pPr>
          </w:p>
        </w:tc>
        <w:tc>
          <w:tcPr>
            <w:tcW w:w="4420" w:type="dxa"/>
            <w:vAlign w:val="bottom"/>
            <w:gridSpan w:val="9"/>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to 2024</w:t>
            </w:r>
          </w:p>
        </w:tc>
      </w:tr>
      <w:tr>
        <w:trPr>
          <w:trHeight w:val="237"/>
        </w:trPr>
        <w:tc>
          <w:tcPr>
            <w:tcW w:w="2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4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9"/>
        </w:trPr>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1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(121,108)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118,545</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(97.9)%</w:t>
            </w: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(13,946)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(85,109)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71,163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r>
    </w:tbl>
    <w:p>
      <w:pPr>
        <w:spacing w:after="0" w:line="252"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Income taxes decreased by $118.5 million in the three months ended September 30, 2025, compared to the three months ended September 30, 2024. The difference is primarily due to the fact that in September 30, 2024 financials we booked a valuation allowance for its losses and deferred tax assets to date.</w:t>
      </w:r>
    </w:p>
    <w:p>
      <w:pPr>
        <w:spacing w:after="0" w:line="218"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Income taxes decreased by $71.2 million in the nine months ended September 30, 2025, compared to the nine months ended September 30, 2024. The difference is primarily due to the fact that in September 30, 2024 financials we booked a valuation allowance for its losses and deferred tax assets to date..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from equity method investments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4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 to 2024</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60" w:type="dxa"/>
            <w:vAlign w:val="bottom"/>
            <w:gridSpan w:val="9"/>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to 2024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4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1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 from equity</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(376)</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(577)</w:t>
            </w:r>
          </w:p>
        </w:tc>
        <w:tc>
          <w:tcPr>
            <w:tcW w:w="360" w:type="dxa"/>
            <w:vAlign w:val="bottom"/>
            <w:vMerge w:val="restart"/>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201</w:t>
            </w:r>
          </w:p>
        </w:tc>
        <w:tc>
          <w:tcPr>
            <w:tcW w:w="7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(34.8)%</w:t>
            </w:r>
          </w:p>
        </w:tc>
        <w:tc>
          <w:tcPr>
            <w:tcW w:w="3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(951)</w:t>
            </w:r>
          </w:p>
        </w:tc>
        <w:tc>
          <w:tcPr>
            <w:tcW w:w="18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(1,440)</w:t>
            </w: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489</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method investments</w:t>
            </w:r>
          </w:p>
        </w:tc>
        <w:tc>
          <w:tcPr>
            <w:tcW w:w="180" w:type="dxa"/>
            <w:vAlign w:val="bottom"/>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380" w:type="dxa"/>
            <w:vAlign w:val="bottom"/>
            <w:gridSpan w:val="2"/>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Net loss from equity method investments decreased by $0.2 million, or 34.8% in the three months ended September 30, 2025, compared to the three months ended September 30, 2024.</w:t>
      </w:r>
    </w:p>
    <w:p>
      <w:pPr>
        <w:spacing w:after="0" w:line="20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Net loss from equity method investments decreased by $0.5 million, or 34.0% in the nine months ended September 30, 2025, compared to the nine months ended September 30,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6"/>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loss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520"/>
        </w:trPr>
        <w:tc>
          <w:tcPr>
            <w:tcW w:w="2380" w:type="dxa"/>
            <w:vAlign w:val="bottom"/>
          </w:tcPr>
          <w:p>
            <w:pPr>
              <w:spacing w:after="0"/>
              <w:rPr>
                <w:sz w:val="24"/>
                <w:szCs w:val="24"/>
                <w:color w:val="auto"/>
              </w:rPr>
            </w:pPr>
          </w:p>
        </w:tc>
        <w:tc>
          <w:tcPr>
            <w:tcW w:w="422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 to 2024</w:t>
            </w:r>
          </w:p>
        </w:tc>
        <w:tc>
          <w:tcPr>
            <w:tcW w:w="220" w:type="dxa"/>
            <w:vAlign w:val="bottom"/>
          </w:tcPr>
          <w:p>
            <w:pPr>
              <w:spacing w:after="0"/>
              <w:rPr>
                <w:sz w:val="24"/>
                <w:szCs w:val="24"/>
                <w:color w:val="auto"/>
              </w:rPr>
            </w:pPr>
          </w:p>
        </w:tc>
        <w:tc>
          <w:tcPr>
            <w:tcW w:w="4420" w:type="dxa"/>
            <w:vAlign w:val="bottom"/>
            <w:gridSpan w:val="7"/>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to 2024</w:t>
            </w:r>
          </w:p>
        </w:tc>
      </w:tr>
      <w:tr>
        <w:trPr>
          <w:trHeight w:val="237"/>
        </w:trPr>
        <w:tc>
          <w:tcPr>
            <w:tcW w:w="2380" w:type="dxa"/>
            <w:vAlign w:val="bottom"/>
          </w:tcPr>
          <w:p>
            <w:pPr>
              <w:spacing w:after="0"/>
              <w:rPr>
                <w:sz w:val="20"/>
                <w:szCs w:val="20"/>
                <w:color w:val="auto"/>
              </w:rPr>
            </w:pPr>
          </w:p>
        </w:tc>
        <w:tc>
          <w:tcPr>
            <w:tcW w:w="90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4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9"/>
        </w:trPr>
        <w:tc>
          <w:tcPr>
            <w:tcW w:w="2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1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2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(50,060)</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4"/>
              </w:rPr>
              <w:t>$ (1,230,789)</w:t>
            </w:r>
          </w:p>
        </w:tc>
        <w:tc>
          <w:tcPr>
            <w:tcW w:w="13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$ 1,180,729</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(95.9)%</w:t>
            </w: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(273,327)</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 (1,518,918)</w:t>
            </w:r>
          </w:p>
        </w:tc>
        <w:tc>
          <w:tcPr>
            <w:tcW w:w="14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$ 1,245,591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r>
    </w:tbl>
    <w:p>
      <w:pPr>
        <w:spacing w:after="0" w:line="25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factors discussed above, net loss in the three months ended September 30, 2025 and September 30, 2024 was $50.1 million and $1,230.8 million, respectively.</w:t>
      </w:r>
    </w:p>
    <w:p>
      <w:pPr>
        <w:spacing w:after="0" w:line="229"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As a result of the factors discussed above, net loss in the nine months ended September 30, 2025 and September 30, 2024 was $273.3 million and $1,518.9 million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our cash flows from operating activities, investing activities, and financing activities for the stated periods: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480" w:type="dxa"/>
            <w:vAlign w:val="bottom"/>
          </w:tcPr>
          <w:p>
            <w:pPr>
              <w:spacing w:after="0"/>
              <w:rPr>
                <w:sz w:val="22"/>
                <w:szCs w:val="22"/>
                <w:color w:val="auto"/>
              </w:rPr>
            </w:pPr>
          </w:p>
        </w:tc>
        <w:tc>
          <w:tcPr>
            <w:tcW w:w="29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54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29"/>
        </w:trPr>
        <w:tc>
          <w:tcPr>
            <w:tcW w:w="5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78"/>
              </w:rPr>
              <w:t>thousands)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46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w w:val="78"/>
              </w:rPr>
              <w:t>thousands)</w:t>
            </w:r>
          </w:p>
        </w:tc>
        <w:tc>
          <w:tcPr>
            <w:tcW w:w="100" w:type="dxa"/>
            <w:vAlign w:val="bottom"/>
          </w:tcPr>
          <w:p>
            <w:pPr>
              <w:spacing w:after="0"/>
              <w:rPr>
                <w:sz w:val="19"/>
                <w:szCs w:val="19"/>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25,608</w:t>
            </w: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(89,332)</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51,632</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(351,123)</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80" w:type="dxa"/>
            <w:vAlign w:val="bottom"/>
          </w:tcPr>
          <w:p>
            <w:pPr>
              <w:spacing w:after="0"/>
              <w:rPr>
                <w:sz w:val="19"/>
                <w:szCs w:val="19"/>
                <w:color w:val="auto"/>
              </w:rPr>
            </w:pP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235,594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100,998</w:t>
            </w:r>
          </w:p>
        </w:tc>
        <w:tc>
          <w:tcPr>
            <w:tcW w:w="260" w:type="dxa"/>
            <w:vAlign w:val="bottom"/>
          </w:tcPr>
          <w:p>
            <w:pPr>
              <w:spacing w:after="0"/>
              <w:rPr>
                <w:sz w:val="19"/>
                <w:szCs w:val="19"/>
                <w:color w:val="auto"/>
              </w:rPr>
            </w:pPr>
          </w:p>
        </w:tc>
        <w:tc>
          <w:tcPr>
            <w:tcW w:w="12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371,781</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344,222</w:t>
            </w:r>
          </w:p>
        </w:tc>
      </w:tr>
      <w:tr>
        <w:trPr>
          <w:trHeight w:val="25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(342,927)</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30,811</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(349,537)</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(19,873)</w:t>
            </w:r>
          </w:p>
        </w:tc>
      </w:tr>
      <w:tr>
        <w:trPr>
          <w:trHeight w:val="20"/>
        </w:trPr>
        <w:tc>
          <w:tcPr>
            <w:tcW w:w="5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(81,725)</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42,477</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73,876</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(26,774)</w:t>
            </w:r>
          </w:p>
        </w:tc>
      </w:tr>
      <w:tr>
        <w:trPr>
          <w:trHeight w:val="21"/>
        </w:trPr>
        <w:tc>
          <w:tcPr>
            <w:tcW w:w="5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2025, our cash and cash equivalents were $439.5 million. This amount does not include $59.1 million invested in available-for-sale marketable securities, $47.5 million in restricted cash, and $0.5 million invested in deposits and restricted deposits. Our principal uses of cash are for funding our operations, capital expenditures, other working capital requirements and other investments. As of September 30, 2025, we have open commitments for capital expenditures in an amount of approximately $26.5 million. These commitments mainly reflect purchases of automated assembly lines and other machinery related to our manufacturing and operations. We also have purchase obligations in the amount of $530.7 million, related to raw materials and commitments for the future manufacturing of our products.</w:t>
      </w: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Beginning in the fourth quarter of 2024, we started to sell AMPTCs. We plan to pursue additional tax credit sales in the future.</w:t>
      </w:r>
    </w:p>
    <w:p>
      <w:pPr>
        <w:spacing w:after="0" w:line="27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We believe that cash provided by operating activities, as well as our cash and cash equivalents, and available-for-sale marketable securities will be sufficient to meet our anticipated cash needs for at least the next 12 months as well as in the longer term, including the self-funding of our capital expenditure, operational commitments and the redemption of our debt.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9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Operating cash flows consist primarily of net loss, adjusted for certain non-cash items and changes in assets and liabilities. Cash provided by operating activities was $51.6 million in the nine months ended September 30, 2025 compared to cash used in operating activities of $351.1 million in the nine months ended September 30, 2024, attributed to a decrease in net loss adjusted for certain non-cash items as well as a decrease in operating working capital requirements.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97"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Investing cash flows consist primarily of capital expenditures, investment in, sales and maturities of available for sale marketable securities, investment and withdrawal of bank deposits and restricted bank deposits, cash used for acquisitions, and disbursements and receipts from collections of loans made by the Company. Cash provided by investing activities increased by $27.6 million in the nine months ended September 30, 2025 compared to the nine months ended September 30, 2024, primarily driven by a decrease of $81.7 million in purchase of property plant and equipment, an increase of $55.6 million in proceeds provided by sales and maturities of available-for-sale marketable securities, a decrease of $37.5 million in disbursements of loans made by the Company, an increase of $36.3 million in sale of property plant and equipment, a decrease of $25.4 million in the purchase of privately-held companies, an increase of $23.7 million in proceeds from loans receivables, a decrease of $10.4 million in cash used for a business combination, and a decrease of $10.0 million in purchase of intangible assets, these were partially offset by an increase of $253.7 million in purchases of available-for-sale debt investments.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8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Financing cash flows consisted primarily of repurchases of our common stock under the share repurchase program, which expired on December 31, 2024, the issuance, repayment and partial repurchase of convertible senior notes, and our employee equity incentive plans. Cash used in financing activities in the nine months ended September 30, 2025 increased by $329.7 million compared to the nine months ended September 30, 2024, primarily due to an increase of $342.3 million in cash used due to the repayment of our Notes 2025, a decrease of $329.2 million in cash provided by the issuance of the Notes 2029, these were partially offset by a decrease of $262.8 million in cash used for the repurchase of our Notes 2025, a decrease of $50.3 million in cash used in share repurchases, and a decrease of $28.3 million in cash used to purchase the capped call transactions.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9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On November 1, 2023, we announced the approval by the Board of Directors of a share repurchase program which authorized the repurchase of up to $300 million of the Company’s common stock. Under the share repurchase program, repurchases could be made using a variety of methods, which may have included open market purchases, block trades, privately negotiated transactions, accelerated share repurchase programs and/or a non-discretionary trading plan or other means, including through 10b5-1 trading plans, all in compliance with the rules of the SEC and other applicable legal requirements. The timing, manner, price and amount of any common share repurchases under the share repurchase program were determined by the Company in its discretion and depended on a variety of factors, including legal requirements, price and economic and market conditions. The program did not obligate the Company to acquire any amount of common stock, it could have been suspended, extended, modified, discontinued or terminated at any time at the Company’s discretion without prior notice, and expired on December 31, 2024. The Company repurchased 753,364 shares under the program.</w:t>
      </w:r>
    </w:p>
    <w:p>
      <w:pPr>
        <w:spacing w:after="0" w:line="25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During the six months ended June 30, 2024, the Company repurchased 753,364 shares of common stock from the open market at an average cost of $66.79 per share for a total of $50.3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28, 2024, we sold an aggregate principal amount of $300 million of 2.25% convertible senior notes due in 2029 in a transaction exempt from registration pursuant to Rule 144A and Regulation S under the Securities Act. The net proceeds from the offering of the Notes 2029 were approximately $293.2 million, after deducting fees and estimated expenses. Separately, we have entered into capped call transactions. We used approximately $25.2 million of the net proceeds from this offering to pay the cost of the capped call transactions and approximately $267.9 million of the net proceeds from this offering to repurchase $285.0 million principal amount of its outstanding 0.000% convertible notes due 2025. As a result of the repurchase of Notes 2025, we recognized a gain of $15.5 million which was recorded under other income. We intend to use the remainder of the net proceeds from the offering for general corporate purposes.</w:t>
      </w:r>
    </w:p>
    <w:p>
      <w:pPr>
        <w:spacing w:after="0" w:line="244"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On July 8, 2024, we sold an aggregate principal amount of $37 million of the Notes 2029. The Notes 2029 were sold pursuant to the Initial Purchasers’ exercise of the option granted by the Company to the Initial Purchasers to purchase additional Notes 2029, as described above in Note 11, “Convertible Senior Notes.”</w:t>
      </w:r>
    </w:p>
    <w:p>
      <w:pPr>
        <w:spacing w:after="0" w:line="23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March 2025 the Company repurchased $5.2 million principal amount of its Notes 2025. The Company recorded a net gain of $146 thousands under other income, from this repurchase.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18"/>
          <w:szCs w:val="18"/>
          <w:color w:val="auto"/>
        </w:rPr>
        <w:t>After such repurchases, an aggregate of $342.3 million principal amount of the Notes 2025 remained outstanding.</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settled all of our remaining Notes 2025 on September 15, 2025, when the Notes 2025 reached maturity. As part of the settlement, we paid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$342.3 million in cash towards principal amount of the Notes 2025 and no shares were issued in connection with the settlement as the conversion value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the principal amount of the Notes 2025. Following the settlement, there were no Notes 2025 outstanding as of September 30,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28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Management believes that there have been no significant changes during the nine months ended September 30, 2025 to the items that we disclosed as our critical accounting policies and estimates in MD&amp;A in our Annual Report on Form 10-K for the fiscal year ended December 31, 2024, except as mentioned in Note 1, “General” (if any).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97" w:lineRule="exact"/>
        <w:rPr>
          <w:sz w:val="20"/>
          <w:szCs w:val="20"/>
          <w:color w:val="auto"/>
        </w:rPr>
      </w:pPr>
    </w:p>
    <w:p>
      <w:pPr>
        <w:jc w:val="both"/>
        <w:ind w:right="20" w:firstLine="648"/>
        <w:spacing w:after="0" w:line="274"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foreign currency exchange rates, customer concentrations, interest rates and commodity prices. We do not hold or issue financial instruments for trading purposes.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9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Approximately 34.9% and 62.3% of our revenues for the nine months ended September 30, 2025, and September 30, 2024, respectively, were earned in non-U.S. dollar denominated currencies other than the U.S. dollar, principally the Euro. Our expenses are generally denominated in the currencies in which our operations are located, primarily the U.S. dollar, NIS, and Euro. Our NIS denominated expenses consist primarily of personnel and overhead costs. Our consolidated results of operations and cash flows are, therefore, subject to fluctuations due to changes in foreign currency exchange rates and may be adversely affected in the future due to changes in foreign exchange rates. A hypothetical 10% change in foreign currency exchange rates between the Euro and the U.S. dollar would increase or decrease our net income by $12.8 million for the nine months ended September 30, 2025. A hypothetical 10% change in foreign currency exchange rates between NIS and the U.S. dollar would increase or decrease our net income by $4.5 million for the nine months ended September 30, 2025.</w:t>
      </w:r>
    </w:p>
    <w:p>
      <w:pPr>
        <w:spacing w:after="0" w:line="251"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For purposes of our consolidated financial statements, local currency assets and liabilities are translated at the rate of exchange to the U.S. dollar on the balance sheet date, and local currency revenues and expenses are translated at the exchange rate as of the date of the transaction or at the average exchange rate to the U.S. dollar during the reporting period.</w:t>
      </w:r>
    </w:p>
    <w:p>
      <w:pPr>
        <w:spacing w:after="0" w:line="23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To date, we have used derivative financial instruments, specifically foreign currency forward contracts and put and call options, to manage exposure to foreign currency risks by hedging portions of the anticipated payroll payments denominated in NIS. These derivative instruments are designated as cash flow hedges.</w:t>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from time to time we enter into derivative financial instruments to hedge the Company’s exposure to currencies other than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mainly forward contracts to sell Euro for U.S. dollars. These derivative instruments are not designated as cash flow hedges.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Major Customers</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trade accounts receivables potentially expose us to a concentration of credit risk with our major customers. As of September 30, 2025, two major customers accounted for approximately 40.1% of our consolidated trade receivables, net balance. As of September 30, 2024, three major customers jointly accounted for approximately 37.4% of our consolidated trade receivables, net balance. For the three months ended September 30, 2025, one major customer accounted for approximately 23.1% of our total revenues. For the three months ended September 30, 2024, one major customer accounted for approximately 16.7% of our total revenues. For the nine months ended September 30, 2025 two major customers accounted for approximately 32.4% of our total revenues. For the nine months ended September 30, 2024 one major customer accounted for approximately 11.0% of our total revenues.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9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We are subject to risk from fluctuating market prices of certain commodity raw materials which are used in our products, including Copper, Lithium, Nickel and Cobalt. Prices of these raw materials may be affected by supply restrictions or other market factors from time to time, and we do not enter into hedging arrangements to mitigate commodity risk. Significant price changes for these raw materials could reduce our operating margins if we are unable to recover such increases from our customers, and could harm our business, financial condition, and results of operations.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pursuant to Rule 13a-15 under the Securities Exchange Act of 1934, as amended (the “Exchange Act”), as of September 30, 2025.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concluded, as of September 30, 2025, that our disclosure controls and procedures were effective and operating to provide reasonable assurance that information we are required to disclose in reports that we file or submit under the Exchange Act is recorded, processed, summarized, and reported within the time periods specified in SEC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substantially completed the implementation of our new ERP system during the fiscal quarter ended June 30, 2025. We are performing our post-implementation activities. The implementation of that ERP system is expected to, among other things, improve user access security and automate a number of accounting, back office and reporting processes and activities, thereby decreasing the amount of manual processes previously required. The implementation resulted in, and the post-implementation activities may result in, changes to certain of our processes and procedures. These changes have been and will continue to be subject to our evaluation of the operating effectiveness of internal controls over financial reporting. Except for the implementation of the new ERP system as described in this paragraph, there have been no changes in our internal control over financial reporting (as defined in Rule 13a-15(f) of the Exchange Act) that occurred during the quarter ended September 30, 2025, that materially affected, or are reasonably likely to materially affect, our internal control over financial reporting.</w:t>
      </w:r>
    </w:p>
    <w:p>
      <w:pPr>
        <w:spacing w:after="0" w:line="24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SOLAREDGE TECHNOLOGIES INC. | 2025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8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In the normal course of business, we may from time to time be named as a party to various legal claims, actions and complaints (including as a result of initiating such legal claims, action or complaints on behalf of the Company), including the matters described in Note 14 – “Commitments and Contingent Liabilities” to our condensed consolidated financial statements in this Quarterly Report on Form 10-Q and in Item 3 – “Legal Proceedings” of our Annual Report on Form 10-K for the period ended December 31, 2024. It is impossible to predict with certainty whether any resulting liability from any such legal claims, actions or complaints would have a material adverse effect on our financial position, results of operations or cash flows.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8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risks set forth below and the risk factors as described in Part I, Item 1A, “Risk Factors”, in our Annual Report on Form 10-K for the year ended December 31, 2024. Other than the risk factors set forth below, there have been no material changes to the risk factors previously disclosed in the 2024 Form 10-K.</w:t>
      </w:r>
    </w:p>
    <w:p>
      <w:pPr>
        <w:spacing w:after="0" w:line="214"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b w:val="1"/>
          <w:bCs w:val="1"/>
          <w:color w:val="auto"/>
        </w:rPr>
        <w:t>Changes in tax laws, tax treaties, and regulations or the interpretation of them, including the Inflation Reduction Act and the One Big Beautiful Bill Act could reduce demand for our products, reduce or eliminate tax credits available to us and to our customers, harm our business and otherwise adversely impact our results of operations.</w:t>
      </w:r>
    </w:p>
    <w:p>
      <w:pPr>
        <w:spacing w:after="0" w:line="214"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National, state and local government bodies in many countries, including the United States, have provided incentives in the form of rebates, tax credits, feed-in tariffs and others to manufacturers, system owners, distributors and installers of solar PV systems and battery energy storage systems.</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August 2022, the IRA was signed into federal law. The IRA provided for, among other things, certain incentives, including certain tax credits for solar energy, that are significant to the Company and its U.S. based customers. On July 4, 2025, H.R.1 was enacted into law, introducing amendments to clean energy tax credits contained in the IRA. The H.R.1 accelerates the phase-out timeline for our customers' tax credits and imposes new eligibility criteria for the Company and our customers.</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invested significant resources in establishing our manufacturing presence in the U.S. to benefit from the incentives available under the IRA, including tax credits available to us for manufacturing in the U.S. and tax credits available to certain of our US customers. The Company established manufacturing capabilities in the U.S. in 2023 and further expanded such capabilities in 2024 and 2025. Moreover, we incorporate into our planning and agreements with our customers and suppliers certain assumptions regarding U.S. tax incentives. Material changes thereto could adversely affect our revenue, our eligibility for certain tax credits, tax credits available to our customers, competitiveness and demand for our products and our financial condition.</w:t>
      </w:r>
    </w:p>
    <w:p>
      <w:pPr>
        <w:spacing w:after="0" w:line="2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Section 45X of the Code, as enacted by the IRA, offers Advanced Manufacturing Production Tax Credits (“AMPTC”s) that incentivize the manufacturing of eligible components within the U.S. Of particular relevance to the Company are the tax credits that we generate as a result of rules concerning the qualification and measurement of AMPTCs to Residential Inverters, Commercial Inverters and DC-Optimized Inverter Systems that we manufacture in the United States. H.R.1 does not shorten the term of such Section 45X credits.</w:t>
      </w:r>
    </w:p>
    <w:p>
      <w:pPr>
        <w:spacing w:after="0" w:line="24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Among other changes, H.R.1 shortens the term of the investment tax credit and production tax credit under Section 48E and 45Y of the Code, available to the Company’s customers, who are engaged in third-party ownership (“TPO”) models, such as residential solar leases and power purchase agreements, and commercial solar customers and developers, shortening the end date from 2034 to 2027. H.R.1 also includes a 12-month window in which such customers can begin construction, giving them four years to complete their projects. Projects begun after twelve months from enactment of H.R.1 must be placed in service by December 31, 2027, to receive the credit. H.R.1 also amends the domestic content bonus credit rules for Section 48E projects: Projects commencing construction after June 16, 2025 must meet a 45% domestic content threshold, up from 40%, and the threshold thereafter increases by 5% on an annual basis until 2029. H.R.1 eliminates the individual residential tax credit under Section 25D of the Code at the end of 2025. These changes may negatively impact the eligibility of our customers and individuals to obtain tax credits, which may negatively affect the overall demand for our products.</w:t>
      </w:r>
    </w:p>
    <w:p>
      <w:pPr>
        <w:spacing w:after="0" w:line="24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H.R.1 has also introduced new Foreign Entity of Concern (“FEOC”) requirements including for Sections 45X, 45Y, and 48E of the Code. These restrictions will require threshold percentages of non-FEOC material assistance that increase over time, for projects that begin on January 1, 2026. On July 7, 2025, the President issued an Executive Order titled “Ending Market Distorting Subsidies for Unreliable, Foreign Controlled Energy Sources.” In response, on August 15, 2025, the U.S. Treasury Department released IRS Notice 2025-42, its first set of guidance for H.R. 1 related to beginning of construction requirements applicable to our customers. While it removed the ability for projects over 1.5 GW to utilize the 5% safe harbor method, it kept in place the ability to utilize the physical work test method for all size projects and codified that inverters could be utilized for this method. The U.S Department of Treasury is expected to provide additional guidance on the FEOC requirements included in H.R. 1 that could create challenges for the Company to meet the FEOC requirements or to assist our customers in meeting them. If we are unable to meet the requirements this may adversely affect our revenue, or our customers eligibility to obtain certain tax credits, the overall demand for our products, our results of operations and cash flows.</w:t>
      </w:r>
    </w:p>
    <w:p>
      <w:pPr>
        <w:spacing w:after="0" w:line="24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Unfavorable regulatory treatment, or guidance, expiration of or changes to the benefits made available, which we relied upon in structuring certain projects and investments, or any adverse impacts on our ability to increase production in the U.S. in a timely manner to benefit from the incentives available under the IRA and H.R.1, could adversely impact our business and financial condition. The U.S. Administration and to a lesser extent, portions of the European Union, have expressed a prioritization of fossil fuels over renewable energy. For example, in Germany there is a discussion regarding the possibility of reducing small residential customer’s feed-in tariffs. If successful, certain of these legislative actions could further slow the solar market potentially resulting in adverse effects on overall demand for our products, impacts to our revenue, operations and cash flows.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29" w:gutter="0" w:footer="0" w:header="0"/>
        </w:sectPr>
      </w:pPr>
    </w:p>
    <w:bookmarkStart w:id="53" w:name="page54"/>
    <w:bookmarkEnd w:id="53"/>
    <w:p>
      <w:pPr>
        <w:ind w:right="460"/>
        <w:spacing w:after="0" w:line="302" w:lineRule="auto"/>
        <w:rPr>
          <w:sz w:val="20"/>
          <w:szCs w:val="20"/>
          <w:color w:val="auto"/>
        </w:rPr>
      </w:pPr>
      <w:r>
        <w:rPr>
          <w:rFonts w:ascii="Times New Roman" w:cs="Times New Roman" w:eastAsia="Times New Roman" w:hAnsi="Times New Roman"/>
          <w:sz w:val="18"/>
          <w:szCs w:val="18"/>
          <w:b w:val="1"/>
          <w:bCs w:val="1"/>
          <w:color w:val="auto"/>
        </w:rPr>
        <w:t>Changes in the global trade environment, including the United States trade environment, such as the increase or imposition of import tariffs, could adversely affect the amount or timing of our revenue, results of operations or cash flows.</w:t>
      </w:r>
    </w:p>
    <w:p>
      <w:pPr>
        <w:spacing w:after="0" w:line="1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United States has recently imposed significant new tariffs on nearly all products and components imported into the United States and could propose additional tariffs or increases to those already in place. We have relocated our contract manufacturing to the United States, where we manufacture the vast bulk of our products. We continue to manufacture a minor portion of our products in Israel, at our Sella 1 facility. However, certain components and subcomponents necessary for our products are currently required to be imported from outside the U.S. It is unknown whether and to what extent these tariffs will remain in place or if other new laws or regulations will be adopted. In addition, retaliatory tariffs may be imposed on products exported from the United States to other countries in which we sell our products. Due to broad uncertainty regarding the breadth, timing and extent of any regulatory changes related to trade, in the United States or abroad, we cannot predict the impact, if any, that these changes could have to our business, financial condition, ability to compete, and the results of operations.</w:t>
      </w:r>
    </w:p>
    <w:p>
      <w:pPr>
        <w:spacing w:after="0" w:line="2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 is unknown what effect any such new tariffs or retaliatory actions will have on the solar industry and our customers. The resulting environment of escalating trade tension, retaliatory trade tension, or other trade actions, restrictive measures, additional trade restrictions, or barriers, if implemented on a broader range of products or components from outside the United States, or with respect to products shipped from the United States, could harm our ability to obtain necessary product components or to sell our products at prices customers are willing to pay, which could have a material adverse effect on our business, prospects, results of operations and cash flows.</w:t>
      </w:r>
    </w:p>
    <w:p>
      <w:pPr>
        <w:spacing w:after="0" w:line="24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Furthermore, if the price of solar power systems in the United States increases, as well as the cost of manufacturing our products in the United States, the use of solar power systems could become less economically feasible and could reduce our gross margins or reduce the demand of solar power systems manufactured and sold, which in turn may decrease demand for our products. Additionally, existing or future tariffs could negatively affect key partners, suppliers and manufacturers. Such outcomes could adversely affect the amount or timing of our revenue, results of operations or cash flows, and continuing uncertainty could cause sales volatility, price fluctuations or supply shortages or cause our customers to advance or delay their purchase of our products. It is difficult to predict what further trade-related actions the U.S. and other governments may take, which may include additional or increased tariffs and trade restrictions, and we may be unable to quickly and effectively react to such actions. As additional new tariffs, legislation and/or regulations are implemented, or if existing trade agreements are renegotiated or if affected countries take retaliatory trade actions, such changes could have a material adverse effect on our business, financial condition, results of operations or cash flows.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Index to 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0" w:type="dxa"/>
            <w:vAlign w:val="bottom"/>
            <w:gridSpan w:val="8"/>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680" w:type="dxa"/>
            <w:vAlign w:val="bottom"/>
            <w:vMerge w:val="restart"/>
          </w:tcPr>
          <w:p>
            <w:pPr>
              <w:ind w:left="1540"/>
              <w:spacing w:after="0"/>
              <w:rPr>
                <w:sz w:val="20"/>
                <w:szCs w:val="20"/>
                <w:color w:val="auto"/>
              </w:rPr>
            </w:pPr>
            <w:r>
              <w:rPr>
                <w:rFonts w:ascii="Times New Roman" w:cs="Times New Roman" w:eastAsia="Times New Roman" w:hAnsi="Times New Roman"/>
                <w:sz w:val="18"/>
                <w:szCs w:val="18"/>
                <w:b w:val="1"/>
                <w:bCs w:val="1"/>
                <w:color w:val="auto"/>
                <w:w w:val="99"/>
              </w:rPr>
              <w:t>Incorporation by Reference</w:t>
            </w:r>
          </w:p>
        </w:tc>
        <w:tc>
          <w:tcPr>
            <w:tcW w:w="0" w:type="dxa"/>
            <w:vAlign w:val="bottom"/>
          </w:tcPr>
          <w:p>
            <w:pPr>
              <w:spacing w:after="0"/>
              <w:rPr>
                <w:sz w:val="1"/>
                <w:szCs w:val="1"/>
                <w:color w:val="auto"/>
              </w:rPr>
            </w:pPr>
          </w:p>
        </w:tc>
      </w:tr>
      <w:tr>
        <w:trPr>
          <w:trHeight w:val="238"/>
        </w:trPr>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No.</w:t>
            </w: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0" w:type="dxa"/>
            <w:vAlign w:val="bottom"/>
            <w:gridSpan w:val="8"/>
            <w:vMerge w:val="continue"/>
          </w:tcPr>
          <w:p>
            <w:pPr>
              <w:spacing w:after="0"/>
              <w:rPr>
                <w:sz w:val="20"/>
                <w:szCs w:val="20"/>
                <w:color w:val="auto"/>
              </w:rPr>
            </w:pPr>
          </w:p>
        </w:tc>
        <w:tc>
          <w:tcPr>
            <w:tcW w:w="3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1</w:t>
            </w:r>
          </w:p>
        </w:tc>
        <w:tc>
          <w:tcPr>
            <w:tcW w:w="51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Rules 13a-14(a)</w:t>
            </w:r>
          </w:p>
        </w:tc>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with this report.</w:t>
            </w:r>
          </w:p>
        </w:tc>
        <w:tc>
          <w:tcPr>
            <w:tcW w:w="0" w:type="dxa"/>
            <w:vAlign w:val="bottom"/>
          </w:tcPr>
          <w:p>
            <w:pPr>
              <w:spacing w:after="0"/>
              <w:rPr>
                <w:sz w:val="1"/>
                <w:szCs w:val="1"/>
                <w:color w:val="auto"/>
              </w:rPr>
            </w:pPr>
          </w:p>
        </w:tc>
      </w:tr>
      <w:tr>
        <w:trPr>
          <w:trHeight w:val="209"/>
        </w:trPr>
        <w:tc>
          <w:tcPr>
            <w:tcW w:w="320" w:type="dxa"/>
            <w:vAlign w:val="bottom"/>
            <w:tcBorders>
              <w:top w:val="single" w:sz="8" w:color="0000EE"/>
            </w:tcBorders>
          </w:tcPr>
          <w:p>
            <w:pPr>
              <w:spacing w:after="0"/>
              <w:rPr>
                <w:sz w:val="18"/>
                <w:szCs w:val="18"/>
                <w:color w:val="auto"/>
              </w:rPr>
            </w:pPr>
          </w:p>
        </w:tc>
        <w:tc>
          <w:tcPr>
            <w:tcW w:w="640" w:type="dxa"/>
            <w:vAlign w:val="bottom"/>
          </w:tcPr>
          <w:p>
            <w:pPr>
              <w:spacing w:after="0"/>
              <w:rPr>
                <w:sz w:val="18"/>
                <w:szCs w:val="18"/>
                <w:color w:val="auto"/>
              </w:rPr>
            </w:pPr>
          </w:p>
        </w:tc>
        <w:tc>
          <w:tcPr>
            <w:tcW w:w="47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and15d-14(a) of the Securities Exchange Act of 1934, as amended</w:t>
            </w:r>
          </w:p>
        </w:tc>
        <w:tc>
          <w:tcPr>
            <w:tcW w:w="160" w:type="dxa"/>
            <w:vAlign w:val="bottom"/>
            <w:tcBorders>
              <w:top w:val="single" w:sz="8" w:color="0000EE"/>
            </w:tcBorders>
            <w:gridSpan w:val="3"/>
          </w:tcPr>
          <w:p>
            <w:pPr>
              <w:spacing w:after="0"/>
              <w:rPr>
                <w:sz w:val="18"/>
                <w:szCs w:val="18"/>
                <w:color w:val="auto"/>
              </w:rPr>
            </w:pPr>
          </w:p>
        </w:tc>
        <w:tc>
          <w:tcPr>
            <w:tcW w:w="200" w:type="dxa"/>
            <w:vAlign w:val="bottom"/>
            <w:gridSpan w:val="2"/>
          </w:tcPr>
          <w:p>
            <w:pPr>
              <w:spacing w:after="0"/>
              <w:rPr>
                <w:sz w:val="18"/>
                <w:szCs w:val="18"/>
                <w:color w:val="auto"/>
              </w:rPr>
            </w:pP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jc w:val="right"/>
              <w:ind w:right="640"/>
              <w:spacing w:after="0" w:line="196" w:lineRule="exact"/>
              <w:rPr>
                <w:sz w:val="20"/>
                <w:szCs w:val="20"/>
                <w:color w:val="auto"/>
              </w:rPr>
            </w:pPr>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2</w:t>
            </w:r>
          </w:p>
        </w:tc>
        <w:tc>
          <w:tcPr>
            <w:tcW w:w="51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Rules 13a-14(a)</w:t>
            </w:r>
          </w:p>
        </w:tc>
        <w:tc>
          <w:tcPr>
            <w:tcW w:w="368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Filed with this report.</w:t>
            </w:r>
          </w:p>
        </w:tc>
        <w:tc>
          <w:tcPr>
            <w:tcW w:w="0" w:type="dxa"/>
            <w:vAlign w:val="bottom"/>
          </w:tcPr>
          <w:p>
            <w:pPr>
              <w:spacing w:after="0"/>
              <w:rPr>
                <w:sz w:val="1"/>
                <w:szCs w:val="1"/>
                <w:color w:val="auto"/>
              </w:rPr>
            </w:pPr>
          </w:p>
        </w:tc>
      </w:tr>
      <w:tr>
        <w:trPr>
          <w:trHeight w:val="210"/>
        </w:trPr>
        <w:tc>
          <w:tcPr>
            <w:tcW w:w="320" w:type="dxa"/>
            <w:vAlign w:val="bottom"/>
            <w:tcBorders>
              <w:top w:val="single" w:sz="8" w:color="0000EE"/>
            </w:tcBorders>
          </w:tcPr>
          <w:p>
            <w:pPr>
              <w:spacing w:after="0"/>
              <w:rPr>
                <w:sz w:val="18"/>
                <w:szCs w:val="18"/>
                <w:color w:val="auto"/>
              </w:rPr>
            </w:pPr>
          </w:p>
        </w:tc>
        <w:tc>
          <w:tcPr>
            <w:tcW w:w="640" w:type="dxa"/>
            <w:vAlign w:val="bottom"/>
          </w:tcPr>
          <w:p>
            <w:pPr>
              <w:spacing w:after="0"/>
              <w:rPr>
                <w:sz w:val="18"/>
                <w:szCs w:val="18"/>
                <w:color w:val="auto"/>
              </w:rPr>
            </w:pPr>
          </w:p>
        </w:tc>
        <w:tc>
          <w:tcPr>
            <w:tcW w:w="47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and15d-14(a) of the Securities Exchange Act of 1934, as amended</w:t>
            </w:r>
          </w:p>
        </w:tc>
        <w:tc>
          <w:tcPr>
            <w:tcW w:w="100" w:type="dxa"/>
            <w:vAlign w:val="bottom"/>
            <w:tcBorders>
              <w:top w:val="single" w:sz="8" w:color="0000EE"/>
            </w:tcBorders>
          </w:tcPr>
          <w:p>
            <w:pPr>
              <w:spacing w:after="0"/>
              <w:rPr>
                <w:sz w:val="18"/>
                <w:szCs w:val="18"/>
                <w:color w:val="auto"/>
              </w:rPr>
            </w:pPr>
          </w:p>
        </w:tc>
        <w:tc>
          <w:tcPr>
            <w:tcW w:w="260" w:type="dxa"/>
            <w:vAlign w:val="bottom"/>
            <w:gridSpan w:val="4"/>
          </w:tcPr>
          <w:p>
            <w:pPr>
              <w:spacing w:after="0"/>
              <w:rPr>
                <w:sz w:val="18"/>
                <w:szCs w:val="18"/>
                <w:color w:val="auto"/>
              </w:rPr>
            </w:pP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jc w:val="right"/>
              <w:ind w:right="640"/>
              <w:spacing w:after="0" w:line="196" w:lineRule="exact"/>
              <w:rPr>
                <w:sz w:val="20"/>
                <w:szCs w:val="20"/>
                <w:color w:val="auto"/>
              </w:rPr>
            </w:pPr>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1</w:t>
            </w:r>
          </w:p>
        </w:tc>
        <w:tc>
          <w:tcPr>
            <w:tcW w:w="51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w:t>
            </w:r>
          </w:p>
        </w:tc>
        <w:tc>
          <w:tcPr>
            <w:tcW w:w="368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Furnished with this report.</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Section 1350, as adopted pursuant to Section 906 of the Sarbanes-</w:t>
            </w:r>
          </w:p>
        </w:tc>
        <w:tc>
          <w:tcPr>
            <w:tcW w:w="380" w:type="dxa"/>
            <w:vAlign w:val="bottom"/>
            <w:gridSpan w:val="6"/>
          </w:tcPr>
          <w:p>
            <w:pPr>
              <w:spacing w:after="0"/>
              <w:rPr>
                <w:sz w:val="18"/>
                <w:szCs w:val="18"/>
                <w:color w:val="auto"/>
              </w:rPr>
            </w:pP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Oxley Act of 2002</w:t>
            </w:r>
          </w:p>
        </w:tc>
        <w:tc>
          <w:tcPr>
            <w:tcW w:w="3800" w:type="dxa"/>
            <w:vAlign w:val="bottom"/>
            <w:gridSpan w:val="8"/>
          </w:tcPr>
          <w:p>
            <w:pPr>
              <w:spacing w:after="0"/>
              <w:rPr>
                <w:sz w:val="17"/>
                <w:szCs w:val="17"/>
                <w:color w:val="auto"/>
              </w:rPr>
            </w:pP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2</w:t>
            </w:r>
          </w:p>
        </w:tc>
        <w:tc>
          <w:tcPr>
            <w:tcW w:w="51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18 U.S.C. Section</w:t>
            </w:r>
          </w:p>
        </w:tc>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Furnished with this report.</w:t>
            </w:r>
          </w:p>
        </w:tc>
        <w:tc>
          <w:tcPr>
            <w:tcW w:w="0" w:type="dxa"/>
            <w:vAlign w:val="bottom"/>
          </w:tcPr>
          <w:p>
            <w:pPr>
              <w:spacing w:after="0"/>
              <w:rPr>
                <w:sz w:val="1"/>
                <w:szCs w:val="1"/>
                <w:color w:val="auto"/>
              </w:rPr>
            </w:pPr>
          </w:p>
        </w:tc>
      </w:tr>
      <w:tr>
        <w:trPr>
          <w:trHeight w:val="209"/>
        </w:trPr>
        <w:tc>
          <w:tcPr>
            <w:tcW w:w="320" w:type="dxa"/>
            <w:vAlign w:val="bottom"/>
            <w:tcBorders>
              <w:top w:val="single" w:sz="8" w:color="0000EE"/>
            </w:tcBorders>
          </w:tcPr>
          <w:p>
            <w:pPr>
              <w:spacing w:after="0"/>
              <w:rPr>
                <w:sz w:val="18"/>
                <w:szCs w:val="18"/>
                <w:color w:val="auto"/>
              </w:rPr>
            </w:pPr>
          </w:p>
        </w:tc>
        <w:tc>
          <w:tcPr>
            <w:tcW w:w="640" w:type="dxa"/>
            <w:vAlign w:val="bottom"/>
          </w:tcPr>
          <w:p>
            <w:pPr>
              <w:spacing w:after="0"/>
              <w:rPr>
                <w:sz w:val="18"/>
                <w:szCs w:val="18"/>
                <w:color w:val="auto"/>
              </w:rPr>
            </w:pPr>
          </w:p>
        </w:tc>
        <w:tc>
          <w:tcPr>
            <w:tcW w:w="492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1350, as adopted pursuant to Section 906 of the Sarbanes-Oxley Act</w:t>
            </w:r>
          </w:p>
        </w:tc>
        <w:tc>
          <w:tcPr>
            <w:tcW w:w="120" w:type="dxa"/>
            <w:vAlign w:val="bottom"/>
            <w:tcBorders>
              <w:top w:val="single" w:sz="8" w:color="0000EE"/>
            </w:tcBorders>
            <w:gridSpan w:val="2"/>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1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960" w:right="4419" w:hanging="952"/>
        <w:spacing w:after="0" w:line="279" w:lineRule="auto"/>
        <w:tabs>
          <w:tab w:leader="none" w:pos="9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statements from the Company’s Quarterly Report on Form 10-Q for the quarter ended September 30, 2025, formatted in Inline XBRL: (i) Condensed Consolidated Balance Sheets, (ii) Condensed Consolidated Statements of Income, (iii)</w:t>
      </w:r>
    </w:p>
    <w:tbl>
      <w:tblPr>
        <w:tblLayout w:type="fixed"/>
        <w:tblInd w:w="0" w:type="dxa"/>
        <w:tblCellMar>
          <w:top w:w="0" w:type="dxa"/>
          <w:left w:w="0" w:type="dxa"/>
          <w:bottom w:w="0" w:type="dxa"/>
          <w:right w:w="0" w:type="dxa"/>
        </w:tblCellMar>
      </w:tblPr>
      <w:tr>
        <w:trPr>
          <w:trHeight w:val="211"/>
        </w:trPr>
        <w:tc>
          <w:tcPr>
            <w:tcW w:w="6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(iv)</w:t>
            </w:r>
          </w:p>
        </w:tc>
      </w:tr>
      <w:tr>
        <w:trPr>
          <w:trHeight w:val="230"/>
        </w:trPr>
        <w:tc>
          <w:tcPr>
            <w:tcW w:w="620" w:type="dxa"/>
            <w:vAlign w:val="bottom"/>
          </w:tcPr>
          <w:p>
            <w:pPr>
              <w:spacing w:after="0"/>
              <w:rPr>
                <w:sz w:val="19"/>
                <w:szCs w:val="19"/>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(v)</w:t>
            </w:r>
          </w:p>
        </w:tc>
      </w:tr>
      <w:tr>
        <w:trPr>
          <w:trHeight w:val="230"/>
        </w:trPr>
        <w:tc>
          <w:tcPr>
            <w:tcW w:w="620" w:type="dxa"/>
            <w:vAlign w:val="bottom"/>
          </w:tcPr>
          <w:p>
            <w:pPr>
              <w:spacing w:after="0"/>
              <w:rPr>
                <w:sz w:val="19"/>
                <w:szCs w:val="19"/>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Condensed Consolidated Statements of Cash Flows,  (vi) Notes to</w:t>
            </w:r>
          </w:p>
        </w:tc>
      </w:tr>
      <w:tr>
        <w:trPr>
          <w:trHeight w:val="216"/>
        </w:trPr>
        <w:tc>
          <w:tcPr>
            <w:tcW w:w="6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Condensed Consolidated Financial Statements, and (vii) part II, Item</w:t>
            </w:r>
          </w:p>
        </w:tc>
      </w:tr>
      <w:tr>
        <w:trPr>
          <w:trHeight w:val="228"/>
        </w:trPr>
        <w:tc>
          <w:tcPr>
            <w:tcW w:w="620" w:type="dxa"/>
            <w:vAlign w:val="bottom"/>
          </w:tcPr>
          <w:p>
            <w:pPr>
              <w:spacing w:after="0"/>
              <w:rPr>
                <w:sz w:val="19"/>
                <w:szCs w:val="19"/>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5(c)</w:t>
            </w:r>
          </w:p>
        </w:tc>
      </w:tr>
      <w:tr>
        <w:trPr>
          <w:trHeight w:val="231"/>
        </w:trPr>
        <w:tc>
          <w:tcPr>
            <w:tcW w:w="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6"/>
              </w:rPr>
              <w:t>104</w:t>
            </w: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The cover page from the Company’s Quarterly Report on Form 10-Q   </w:t>
            </w:r>
            <w:r>
              <w:rPr>
                <w:rFonts w:ascii="Times New Roman" w:cs="Times New Roman" w:eastAsia="Times New Roman" w:hAnsi="Times New Roman"/>
                <w:sz w:val="18"/>
                <w:szCs w:val="18"/>
                <w:i w:val="1"/>
                <w:iCs w:val="1"/>
                <w:color w:val="auto"/>
              </w:rPr>
              <w:t>Included in Exhibit 101</w:t>
            </w:r>
          </w:p>
        </w:tc>
      </w:tr>
      <w:tr>
        <w:trPr>
          <w:trHeight w:val="216"/>
        </w:trPr>
        <w:tc>
          <w:tcPr>
            <w:tcW w:w="6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 the quarter ended</w:t>
            </w:r>
          </w:p>
        </w:tc>
      </w:tr>
      <w:tr>
        <w:trPr>
          <w:trHeight w:val="230"/>
        </w:trPr>
        <w:tc>
          <w:tcPr>
            <w:tcW w:w="620" w:type="dxa"/>
            <w:vAlign w:val="bottom"/>
          </w:tcPr>
          <w:p>
            <w:pPr>
              <w:spacing w:after="0"/>
              <w:rPr>
                <w:sz w:val="19"/>
                <w:szCs w:val="19"/>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September 30, 2025</w:t>
            </w:r>
          </w:p>
        </w:tc>
      </w:tr>
      <w:tr>
        <w:trPr>
          <w:trHeight w:val="234"/>
        </w:trPr>
        <w:tc>
          <w:tcPr>
            <w:tcW w:w="620" w:type="dxa"/>
            <w:vAlign w:val="bottom"/>
          </w:tcPr>
          <w:p>
            <w:pPr>
              <w:spacing w:after="0"/>
              <w:rPr>
                <w:sz w:val="20"/>
                <w:szCs w:val="20"/>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formatted in Inline XBRL</w:t>
            </w:r>
          </w:p>
        </w:tc>
      </w:tr>
    </w:tbl>
    <w:p>
      <w:pPr>
        <w:spacing w:after="0" w:line="26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SOLAREDGE TECHNOLOGIES INC. | 2025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87" w:right="1440"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9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9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Shuki Nir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Shuki Nir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7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Asaf Alperovitz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Asaf Alperovitz</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2025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6" w:name="page57"/>
    <w:bookmarkEnd w:id="56"/>
    <w:p>
      <w:pPr>
        <w:ind w:left="10320"/>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31.1</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Shuki Nir, certify that:</w:t>
      </w:r>
    </w:p>
    <w:p>
      <w:pPr>
        <w:spacing w:after="0" w:line="239" w:lineRule="exact"/>
        <w:rPr>
          <w:sz w:val="20"/>
          <w:szCs w:val="20"/>
          <w:color w:val="auto"/>
        </w:rPr>
      </w:pPr>
    </w:p>
    <w:p>
      <w:pPr>
        <w:ind w:left="180" w:hanging="172"/>
        <w:spacing w:after="0"/>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SolarEdge Technologies, Inc.;</w:t>
      </w:r>
    </w:p>
    <w:p>
      <w:pPr>
        <w:spacing w:after="0" w:line="252"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8"/>
        <w:spacing w:after="0" w:line="274" w:lineRule="auto"/>
        <w:tabs>
          <w:tab w:leader="none" w:pos="20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sz w:val="20"/>
          <w:szCs w:val="20"/>
          <w:color w:val="auto"/>
        </w:rPr>
      </w:pPr>
    </w:p>
    <w:p>
      <w:pPr>
        <w:jc w:val="both"/>
        <w:ind w:firstLine="8"/>
        <w:spacing w:after="0" w:line="274" w:lineRule="auto"/>
        <w:tabs>
          <w:tab w:leader="none" w:pos="25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Times New Roman" w:cs="Times New Roman" w:eastAsia="Times New Roman" w:hAnsi="Times New Roman"/>
          <w:sz w:val="18"/>
          <w:szCs w:val="18"/>
          <w:color w:val="auto"/>
        </w:rPr>
      </w:pPr>
    </w:p>
    <w:p>
      <w:pPr>
        <w:jc w:val="both"/>
        <w:ind w:firstLine="8"/>
        <w:spacing w:after="0" w:line="274" w:lineRule="auto"/>
        <w:tabs>
          <w:tab w:leader="none" w:pos="25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Times New Roman" w:cs="Times New Roman" w:eastAsia="Times New Roman" w:hAnsi="Times New Roman"/>
          <w:sz w:val="18"/>
          <w:szCs w:val="18"/>
          <w:color w:val="auto"/>
        </w:rPr>
      </w:pPr>
    </w:p>
    <w:p>
      <w:pPr>
        <w:ind w:firstLine="8"/>
        <w:spacing w:after="0" w:line="297" w:lineRule="auto"/>
        <w:tabs>
          <w:tab w:leader="none" w:pos="25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firstLine="8"/>
        <w:spacing w:after="0" w:line="281" w:lineRule="auto"/>
        <w:tabs>
          <w:tab w:leader="none" w:pos="27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sz w:val="20"/>
          <w:szCs w:val="20"/>
          <w:color w:val="auto"/>
        </w:rPr>
      </w:pPr>
    </w:p>
    <w:p>
      <w:pPr>
        <w:ind w:firstLine="8"/>
        <w:spacing w:after="0" w:line="297" w:lineRule="auto"/>
        <w:tabs>
          <w:tab w:leader="none" w:pos="19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firstLine="8"/>
        <w:spacing w:after="0" w:line="297" w:lineRule="auto"/>
        <w:tabs>
          <w:tab w:leader="none" w:pos="24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firstLine="8"/>
        <w:spacing w:after="0" w:line="297" w:lineRule="auto"/>
        <w:tabs>
          <w:tab w:leader="none" w:pos="26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Shuki Nir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Shuki Nir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7" w:name="page58"/>
    <w:bookmarkEnd w:id="57"/>
    <w:p>
      <w:pPr>
        <w:ind w:left="10320"/>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31.2</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Asaf Alperovitz, certify that:</w:t>
      </w:r>
    </w:p>
    <w:p>
      <w:pPr>
        <w:spacing w:after="0" w:line="239" w:lineRule="exact"/>
        <w:rPr>
          <w:sz w:val="20"/>
          <w:szCs w:val="20"/>
          <w:color w:val="auto"/>
        </w:rPr>
      </w:pPr>
    </w:p>
    <w:p>
      <w:pPr>
        <w:ind w:left="180" w:hanging="172"/>
        <w:spacing w:after="0"/>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SolarEdge Technologies, Inc.;</w:t>
      </w:r>
    </w:p>
    <w:p>
      <w:pPr>
        <w:spacing w:after="0" w:line="252"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8"/>
        <w:spacing w:after="0" w:line="274" w:lineRule="auto"/>
        <w:tabs>
          <w:tab w:leader="none" w:pos="20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sz w:val="20"/>
          <w:szCs w:val="20"/>
          <w:color w:val="auto"/>
        </w:rPr>
      </w:pPr>
    </w:p>
    <w:p>
      <w:pPr>
        <w:jc w:val="both"/>
        <w:ind w:firstLine="8"/>
        <w:spacing w:after="0" w:line="274" w:lineRule="auto"/>
        <w:tabs>
          <w:tab w:leader="none" w:pos="25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Times New Roman" w:cs="Times New Roman" w:eastAsia="Times New Roman" w:hAnsi="Times New Roman"/>
          <w:sz w:val="18"/>
          <w:szCs w:val="18"/>
          <w:color w:val="auto"/>
        </w:rPr>
      </w:pPr>
    </w:p>
    <w:p>
      <w:pPr>
        <w:jc w:val="both"/>
        <w:ind w:firstLine="8"/>
        <w:spacing w:after="0" w:line="274" w:lineRule="auto"/>
        <w:tabs>
          <w:tab w:leader="none" w:pos="25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Times New Roman" w:cs="Times New Roman" w:eastAsia="Times New Roman" w:hAnsi="Times New Roman"/>
          <w:sz w:val="18"/>
          <w:szCs w:val="18"/>
          <w:color w:val="auto"/>
        </w:rPr>
      </w:pPr>
    </w:p>
    <w:p>
      <w:pPr>
        <w:ind w:firstLine="8"/>
        <w:spacing w:after="0" w:line="297" w:lineRule="auto"/>
        <w:tabs>
          <w:tab w:leader="none" w:pos="25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firstLine="8"/>
        <w:spacing w:after="0" w:line="281" w:lineRule="auto"/>
        <w:tabs>
          <w:tab w:leader="none" w:pos="27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sz w:val="20"/>
          <w:szCs w:val="20"/>
          <w:color w:val="auto"/>
        </w:rPr>
      </w:pPr>
    </w:p>
    <w:p>
      <w:pPr>
        <w:ind w:firstLine="8"/>
        <w:spacing w:after="0" w:line="297" w:lineRule="auto"/>
        <w:tabs>
          <w:tab w:leader="none" w:pos="19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firstLine="8"/>
        <w:spacing w:after="0" w:line="297" w:lineRule="auto"/>
        <w:tabs>
          <w:tab w:leader="none" w:pos="24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firstLine="8"/>
        <w:spacing w:after="0" w:line="297" w:lineRule="auto"/>
        <w:tabs>
          <w:tab w:leader="none" w:pos="26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Asaf Alperovitz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Asaf Alperovitz</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32.1</w:t>
      </w:r>
    </w:p>
    <w:p>
      <w:pPr>
        <w:spacing w:after="0" w:line="2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 Shuki Nir, certify, pursuant to 18 U.S.C. Section 1350, as adopted pursuant to Section 906 of the Sarbanes-Oxley Act of 2002, that the Quarterly Report on Form 10-Q of SolarEdge Technologies, Inc. for the quarterly period ended March 31, 2025 fully complies with the requirements of Section 13(a) or 15(d) of the Securities Exchange Act of 1934, as amended, and that the information contained in such Quarterly Report on Form 10-Q fairly presents, in all material respects, the financial condition and results of operations of SolarEdge Technologies, Inc.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Shuki Nir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Shuki Nir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32.2</w:t>
      </w:r>
    </w:p>
    <w:p>
      <w:pPr>
        <w:spacing w:after="0" w:line="2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 Asaf Alperovitz, certify, pursuant to 18 U.S.C. Section 1350, as adopted pursuant to Section 906 of the Sarbanes-Oxley Act of 2002, that the Quarterly Report on Form 10-Q of SolarEdge Technologies, Inc. for the quarterly period ended March 31, 2025 fully complies with the requirements of Section 13(a) or 15(d) of the Securities Exchange Act of 1934, as amended, and that the information contained in such Quarterly Report on Form 10-Q fairly presents, in all material respects, the financial condition and results of operations of SolarEdge Technologies, Inc.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Asaf Alperovitz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Asaf Alperovitz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lowerLetter"/>
      <w:start w:val="1"/>
    </w:lvl>
  </w:abstractNum>
  <w:abstractNum w:abstractNumId="3">
    <w:nsid w:val="8EDBDAB"/>
    <w:multiLevelType w:val="hybridMultilevel"/>
    <w:lvl w:ilvl="0">
      <w:lvlJc w:val="left"/>
      <w:lvlText w:val="%1."/>
      <w:numFmt w:val="lowerLetter"/>
      <w:start w:val="4"/>
    </w:lvl>
  </w:abstractNum>
  <w:abstractNum w:abstractNumId="4">
    <w:nsid w:val="79838CB2"/>
    <w:multiLevelType w:val="hybridMultilevel"/>
    <w:lvl w:ilvl="0">
      <w:lvlJc w:val="left"/>
      <w:lvlText w:val="%1."/>
      <w:numFmt w:val="lowerLetter"/>
      <w:start w:val="7"/>
    </w:lvl>
  </w:abstractNum>
  <w:abstractNum w:abstractNumId="5">
    <w:nsid w:val="4353D0CD"/>
    <w:multiLevelType w:val="hybridMultilevel"/>
    <w:lvl w:ilvl="0">
      <w:lvlJc w:val="left"/>
      <w:lvlText w:val="1"/>
      <w:numFmt w:val="bullet"/>
      <w:start w:val="1"/>
    </w:lvl>
  </w:abstractNum>
  <w:abstractNum w:abstractNumId="6">
    <w:nsid w:val="B03E0C6"/>
    <w:multiLevelType w:val="hybridMultilevel"/>
    <w:lvl w:ilvl="0">
      <w:lvlJc w:val="left"/>
      <w:lvlText w:val="2"/>
      <w:numFmt w:val="bullet"/>
      <w:start w:val="1"/>
    </w:lvl>
  </w:abstractNum>
  <w:abstractNum w:abstractNumId="7">
    <w:nsid w:val="189A769B"/>
    <w:multiLevelType w:val="hybridMultilevel"/>
    <w:lvl w:ilvl="0">
      <w:lvlJc w:val="left"/>
      <w:lvlText w:val="%1."/>
      <w:numFmt w:val="lowerLetter"/>
      <w:start w:val="1"/>
    </w:lvl>
  </w:abstractNum>
  <w:abstractNum w:abstractNumId="8">
    <w:nsid w:val="54E49EB4"/>
    <w:multiLevelType w:val="hybridMultilevel"/>
    <w:lvl w:ilvl="0">
      <w:lvlJc w:val="left"/>
      <w:lvlText w:val="%1."/>
      <w:numFmt w:val="lowerLetter"/>
      <w:start w:val="3"/>
    </w:lvl>
  </w:abstractNum>
  <w:abstractNum w:abstractNumId="9">
    <w:nsid w:val="71F32454"/>
    <w:multiLevelType w:val="hybridMultilevel"/>
    <w:lvl w:ilvl="0">
      <w:lvlJc w:val="left"/>
      <w:lvlText w:val="%1."/>
      <w:numFmt w:val="lowerLetter"/>
      <w:start w:val="1"/>
    </w:lvl>
  </w:abstractNum>
  <w:abstractNum w:abstractNumId="10">
    <w:nsid w:val="2CA88611"/>
    <w:multiLevelType w:val="hybridMultilevel"/>
    <w:lvl w:ilvl="0">
      <w:lvlJc w:val="left"/>
      <w:lvlText w:val="(%1)"/>
      <w:numFmt w:val="lowerRoman"/>
      <w:start w:val="5"/>
    </w:lvl>
  </w:abstractNum>
  <w:abstractNum w:abstractNumId="11">
    <w:nsid w:val="836C40E"/>
    <w:multiLevelType w:val="hybridMultilevel"/>
    <w:lvl w:ilvl="0">
      <w:lvlJc w:val="left"/>
      <w:lvlText w:val="1"/>
      <w:numFmt w:val="bullet"/>
      <w:start w:val="1"/>
    </w:lvl>
  </w:abstractNum>
  <w:abstractNum w:abstractNumId="12">
    <w:nsid w:val="2901D82"/>
    <w:multiLevelType w:val="hybridMultilevel"/>
    <w:lvl w:ilvl="0">
      <w:lvlJc w:val="left"/>
      <w:lvlText w:val="1"/>
      <w:numFmt w:val="bullet"/>
      <w:start w:val="1"/>
    </w:lvl>
  </w:abstractNum>
  <w:abstractNum w:abstractNumId="13">
    <w:nsid w:val="3A95F874"/>
    <w:multiLevelType w:val="hybridMultilevel"/>
    <w:lvl w:ilvl="0">
      <w:lvlJc w:val="left"/>
      <w:lvlText w:val="2"/>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1"/>
      <w:numFmt w:val="bullet"/>
      <w:start w:val="1"/>
    </w:lvl>
  </w:abstractNum>
  <w:abstractNum w:abstractNumId="17">
    <w:nsid w:val="737B8DDC"/>
    <w:multiLevelType w:val="hybridMultilevel"/>
    <w:lvl w:ilvl="0">
      <w:lvlJc w:val="left"/>
      <w:lvlText w:val="1"/>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1"/>
      <w:numFmt w:val="decimal"/>
      <w:start w:val="101"/>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decimal"/>
      <w:start w:val="5"/>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1)"/>
      <w:numFmt w:val="lowerLetter"/>
      <w:start w:val="1"/>
    </w:lvl>
  </w:abstractNum>
  <w:abstractNum w:abstractNumId="43">
    <w:nsid w:val="2CD89A32"/>
    <w:multiLevelType w:val="hybridMultilevel"/>
    <w:lvl w:ilvl="0">
      <w:lvlJc w:val="left"/>
      <w:lvlText w:val="%1."/>
      <w:numFmt w:val="decimal"/>
      <w:start w:val="5"/>
    </w:lvl>
  </w:abstractNum>
  <w:abstractNum w:abstractNumId="44">
    <w:nsid w:val="57E4CC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2025-11-06T07:43:51Z</dcterms:created>
  <dcterms:modified xsi:type="dcterms:W3CDTF">2025-11-06T07:43:51Z</dcterms:modified>
</cp:coreProperties>
</file>