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86" w:lineRule="exact"/>
        <w:rPr>
          <w:sz w:val="24"/>
          <w:szCs w:val="24"/>
          <w:color w:val="auto"/>
        </w:rPr>
      </w:pPr>
    </w:p>
    <w:p>
      <w:pPr>
        <w:ind w:left="1260" w:hanging="1144"/>
        <w:spacing w:after="0"/>
        <w:tabs>
          <w:tab w:leader="none" w:pos="12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30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2026</w:t>
      </w:r>
    </w:p>
    <w:p>
      <w:pPr>
        <w:spacing w:after="0" w:line="28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350" w:lineRule="exact"/>
        <w:rPr>
          <w:sz w:val="24"/>
          <w:szCs w:val="24"/>
          <w:color w:val="auto"/>
        </w:rPr>
      </w:pPr>
    </w:p>
    <w:p>
      <w:pPr>
        <w:ind w:left="960" w:hanging="804"/>
        <w:spacing w:after="0"/>
        <w:tabs>
          <w:tab w:leader="none" w:pos="9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_________ to __________</w:t>
      </w:r>
    </w:p>
    <w:p>
      <w:pPr>
        <w:spacing w:after="0" w:line="28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Commission File Number: 001-36894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SOLAREDGE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ectPr>
          <w:pgSz w:w="11900" w:h="16838" w:orient="portrait"/>
          <w:cols w:equalWidth="0" w:num="1">
            <w:col w:w="11240"/>
          </w:cols>
          <w:pgMar w:left="320" w:top="759" w:right="339" w:bottom="0" w:gutter="0" w:footer="0" w:header="0"/>
        </w:sectPr>
      </w:pPr>
    </w:p>
    <w:p>
      <w:pPr>
        <w:spacing w:after="0" w:line="283"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20-5338862</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3"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460"/>
          </w:cols>
          <w:pgMar w:left="320" w:top="759" w:right="339" w:bottom="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HaMada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Herziliya Pituach, 4673335, Israel</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ectPr>
          <w:pgSz w:w="11900" w:h="16838" w:orient="portrait"/>
          <w:cols w:equalWidth="0" w:num="1">
            <w:col w:w="11240"/>
          </w:cols>
          <w:pgMar w:left="320" w:top="759" w:right="339" w:bottom="0" w:gutter="0" w:footer="0" w:header="0"/>
          <w:type w:val="continuous"/>
        </w:sectPr>
      </w:pPr>
    </w:p>
    <w:p>
      <w:pPr>
        <w:spacing w:after="0" w:line="28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972 (9) 957-6620</w:t>
      </w:r>
    </w:p>
    <w:p>
      <w:pPr>
        <w:spacing w:after="0" w:line="3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(Registrant’s telephone number, including area code)</w:t>
      </w:r>
    </w:p>
    <w:p>
      <w:pPr>
        <w:spacing w:after="0" w:line="27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Securities registered pursuant to Section 12(b) of the Act:</w:t>
      </w:r>
    </w:p>
    <w:p>
      <w:pPr>
        <w:spacing w:after="0" w:line="285"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46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61"/>
        </w:trPr>
        <w:tc>
          <w:tcPr>
            <w:tcW w:w="460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4840" w:type="dxa"/>
            <w:vAlign w:val="bottom"/>
            <w:tcBorders>
              <w:bottom w:val="single" w:sz="8" w:color="auto"/>
              <w:right w:val="single" w:sz="8" w:color="auto"/>
            </w:tcBorders>
          </w:tcPr>
          <w:p>
            <w:pPr>
              <w:spacing w:after="0"/>
              <w:rPr>
                <w:sz w:val="5"/>
                <w:szCs w:val="5"/>
                <w:color w:val="auto"/>
              </w:rPr>
            </w:pPr>
          </w:p>
        </w:tc>
      </w:tr>
      <w:tr>
        <w:trPr>
          <w:trHeight w:val="257"/>
        </w:trPr>
        <w:tc>
          <w:tcPr>
            <w:tcW w:w="4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SEDG</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61"/>
        </w:trPr>
        <w:tc>
          <w:tcPr>
            <w:tcW w:w="460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4840" w:type="dxa"/>
            <w:vAlign w:val="bottom"/>
            <w:tcBorders>
              <w:bottom w:val="single" w:sz="8" w:color="auto"/>
              <w:right w:val="single" w:sz="8" w:color="auto"/>
            </w:tcBorders>
          </w:tcPr>
          <w:p>
            <w:pPr>
              <w:spacing w:after="0"/>
              <w:rPr>
                <w:sz w:val="5"/>
                <w:szCs w:val="5"/>
                <w:color w:val="auto"/>
              </w:rPr>
            </w:pPr>
          </w:p>
        </w:tc>
      </w:tr>
    </w:tbl>
    <w:p>
      <w:pPr>
        <w:spacing w:after="0" w:line="252"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Securities registered pursuant to Section 12(g) of the Act: None</w:t>
      </w:r>
    </w:p>
    <w:p>
      <w:pPr>
        <w:spacing w:after="0" w:line="291" w:lineRule="exact"/>
        <w:rPr>
          <w:sz w:val="24"/>
          <w:szCs w:val="24"/>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8" w:lineRule="exact"/>
        <w:rPr>
          <w:sz w:val="24"/>
          <w:szCs w:val="24"/>
          <w:color w:val="auto"/>
        </w:rPr>
      </w:pPr>
    </w:p>
    <w:p>
      <w:pPr>
        <w:jc w:val="center"/>
        <w:ind w:right="-19"/>
        <w:spacing w:after="0" w:line="253" w:lineRule="exact"/>
        <w:tabs>
          <w:tab w:leader="none" w:pos="24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21"/>
          <w:szCs w:val="21"/>
          <w:color w:val="auto"/>
        </w:rPr>
        <w:t>☐</w:t>
      </w:r>
    </w:p>
    <w:p>
      <w:pPr>
        <w:spacing w:after="0" w:line="335" w:lineRule="exact"/>
        <w:rPr>
          <w:sz w:val="24"/>
          <w:szCs w:val="24"/>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78" w:lineRule="exact"/>
        <w:rPr>
          <w:sz w:val="24"/>
          <w:szCs w:val="24"/>
          <w:color w:val="auto"/>
        </w:rPr>
      </w:pPr>
    </w:p>
    <w:p>
      <w:pPr>
        <w:jc w:val="center"/>
        <w:ind w:right="-19"/>
        <w:spacing w:after="0" w:line="253" w:lineRule="exact"/>
        <w:tabs>
          <w:tab w:leader="none" w:pos="24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21"/>
          <w:szCs w:val="21"/>
          <w:color w:val="auto"/>
        </w:rPr>
        <w:t>☐</w:t>
      </w:r>
    </w:p>
    <w:p>
      <w:pPr>
        <w:spacing w:after="0" w:line="335" w:lineRule="exact"/>
        <w:rPr>
          <w:sz w:val="24"/>
          <w:szCs w:val="24"/>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59" w:right="339" w:bottom="0" w:gutter="0" w:footer="0" w:header="0"/>
          <w:type w:val="continuous"/>
        </w:sectPr>
      </w:pPr>
    </w:p>
    <w:p>
      <w:pPr>
        <w:spacing w:after="0" w:line="222"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4340" w:space="720"/>
            <w:col w:w="2420" w:space="720"/>
            <w:col w:w="2060" w:space="660"/>
            <w:col w:w="320"/>
          </w:cols>
          <w:pgMar w:left="320" w:top="759" w:right="339" w:bottom="0" w:gutter="0" w:footer="0" w:header="0"/>
          <w:type w:val="continuous"/>
        </w:sectPr>
      </w:pPr>
    </w:p>
    <w:bookmarkStart w:id="1" w:name="page2"/>
    <w:bookmarkEnd w:id="1"/>
    <w:p>
      <w:pPr>
        <w:ind w:left="8240"/>
        <w:spacing w:after="0" w:line="207" w:lineRule="exact"/>
        <w:tabs>
          <w:tab w:leader="none" w:pos="109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37" w:lineRule="exact"/>
        <w:rPr>
          <w:sz w:val="20"/>
          <w:szCs w:val="20"/>
          <w:color w:val="auto"/>
        </w:rPr>
      </w:pPr>
    </w:p>
    <w:p>
      <w:pPr>
        <w:ind w:right="80" w:firstLine="648"/>
        <w:spacing w:after="0" w:line="285" w:lineRule="exact"/>
        <w:rPr>
          <w:sz w:val="20"/>
          <w:szCs w:val="20"/>
          <w:color w:val="auto"/>
        </w:rPr>
      </w:pPr>
      <w:r>
        <w:rPr>
          <w:rFonts w:ascii="Times New Roman" w:cs="Times New Roman" w:eastAsia="Times New Roman" w:hAnsi="Times New Roman"/>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Indicate by checkmark whether the registrant is a shell company (as defined in Rule 12b-2 of the Exchange Act).</w:t>
      </w:r>
    </w:p>
    <w:p>
      <w:pPr>
        <w:spacing w:after="0" w:line="239" w:lineRule="exact"/>
        <w:rPr>
          <w:sz w:val="20"/>
          <w:szCs w:val="20"/>
          <w:color w:val="auto"/>
        </w:rPr>
      </w:pPr>
    </w:p>
    <w:p>
      <w:pPr>
        <w:jc w:val="center"/>
        <w:ind w:left="640"/>
        <w:spacing w:after="0" w:line="253" w:lineRule="exact"/>
        <w:tabs>
          <w:tab w:leader="none" w:pos="24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21"/>
          <w:szCs w:val="21"/>
          <w:color w:val="auto"/>
        </w:rPr>
        <w:t>☒</w:t>
      </w:r>
    </w:p>
    <w:p>
      <w:pPr>
        <w:spacing w:after="0" w:line="28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As of May 1, 2026, there were 60,818,202 shares of the registrant’s common stock, par value of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1.Financial Statements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Condensed Consolidated Balance Sheets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Condensed Consolidated Statements of Loss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Condensed Consolidated Statements of Comprehensive Loss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Condensed Consolidated Statements of Stockholders’ Equity</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Condensed Consolidated Statements of Cash Flows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Notes to Condensed Consolidated Financial Statements</w:t>
      </w:r>
    </w:p>
    <w:p>
      <w:pPr>
        <w:spacing w:after="0" w:line="23" w:lineRule="exact"/>
        <w:rPr>
          <w:sz w:val="20"/>
          <w:szCs w:val="20"/>
          <w:color w:val="auto"/>
        </w:rPr>
      </w:pPr>
    </w:p>
    <w:p>
      <w:pPr>
        <w:ind w:right="2700"/>
        <w:spacing w:after="0" w:line="279" w:lineRule="auto"/>
        <w:rPr>
          <w:sz w:val="20"/>
          <w:szCs w:val="20"/>
          <w:color w:val="auto"/>
        </w:rPr>
      </w:pPr>
      <w:r>
        <w:rPr>
          <w:rFonts w:ascii="Times New Roman" w:cs="Times New Roman" w:eastAsia="Times New Roman" w:hAnsi="Times New Roman"/>
          <w:sz w:val="18"/>
          <w:szCs w:val="18"/>
          <w:u w:val="single" w:color="auto"/>
          <w:color w:val="0000EE"/>
        </w:rPr>
        <w:t>ITEM 2. Management’s Discussion and Analysis of Financial Condition and Results of Operations ITEM 3. Quantitative and Qualitative Disclosures About Market Risk ITEM 4. Controls and Procedures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 Legal Proceedings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1A. Risk Factors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2. Unregistered Sales of Equity Securities and Use of Proceeds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3. Defaults upon Senior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4. Mine Safety Disclosures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5. Other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ITEM 6. Exhibits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193"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8"/>
          <w:szCs w:val="18"/>
          <w:color w:val="auto"/>
        </w:rPr>
        <w:t>SOLAREDGE TECHNOLOGIES INC. | 2026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F-5</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F-6</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F-8</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21</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21</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21</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24</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24</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24</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25</w:t>
      </w:r>
    </w:p>
    <w:p>
      <w:pPr>
        <w:sectPr>
          <w:pgSz w:w="11900" w:h="16838" w:orient="portrait"/>
          <w:cols w:equalWidth="0" w:num="2">
            <w:col w:w="9820" w:space="720"/>
            <w:col w:w="260"/>
          </w:cols>
          <w:pgMar w:left="320" w:top="509"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 (Unaudited)</w:t>
      </w: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455,075</w:t>
            </w:r>
          </w:p>
        </w:tc>
      </w:tr>
      <w:tr>
        <w:trPr>
          <w:trHeight w:val="229"/>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84,771</w:t>
            </w:r>
          </w:p>
        </w:tc>
      </w:tr>
      <w:tr>
        <w:trPr>
          <w:trHeight w:val="230"/>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38,097</w:t>
            </w:r>
          </w:p>
        </w:tc>
      </w:tr>
      <w:tr>
        <w:trPr>
          <w:trHeight w:val="229"/>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Trade receivables, net of allowances of $30,478 and $17,224, respectively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267,441</w:t>
            </w:r>
          </w:p>
        </w:tc>
      </w:tr>
      <w:tr>
        <w:trPr>
          <w:trHeight w:val="229"/>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596,824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552,632</w:t>
            </w:r>
          </w:p>
        </w:tc>
      </w:tr>
      <w:tr>
        <w:trPr>
          <w:trHeight w:val="237"/>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341,831</w:t>
            </w:r>
          </w:p>
        </w:tc>
      </w:tr>
      <w:tr>
        <w:trPr>
          <w:trHeight w:val="209"/>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1,816,681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1,739,847</w:t>
            </w:r>
          </w:p>
        </w:tc>
        <w:tc>
          <w:tcPr>
            <w:tcW w:w="100" w:type="dxa"/>
            <w:vAlign w:val="bottom"/>
            <w:shd w:val="clear" w:color="auto" w:fill="CCEEFF"/>
          </w:tcPr>
          <w:p>
            <w:pPr>
              <w:spacing w:after="0"/>
              <w:rPr>
                <w:sz w:val="18"/>
                <w:szCs w:val="18"/>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269,351</w:t>
            </w:r>
          </w:p>
        </w:tc>
      </w:tr>
      <w:tr>
        <w:trPr>
          <w:trHeight w:val="229"/>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48,178</w:t>
            </w:r>
          </w:p>
        </w:tc>
      </w:tr>
      <w:tr>
        <w:trPr>
          <w:trHeight w:val="229"/>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7,129</w:t>
            </w:r>
          </w:p>
        </w:tc>
      </w:tr>
      <w:tr>
        <w:trPr>
          <w:trHeight w:val="230"/>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49,852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50,123</w:t>
            </w:r>
          </w:p>
        </w:tc>
      </w:tr>
      <w:tr>
        <w:trPr>
          <w:trHeight w:val="23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72,505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67,566</w:t>
            </w:r>
          </w:p>
        </w:tc>
      </w:tr>
      <w:tr>
        <w:trPr>
          <w:trHeight w:val="175"/>
        </w:trPr>
        <w:tc>
          <w:tcPr>
            <w:tcW w:w="86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long-term assets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443,827</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442,347</w:t>
            </w:r>
          </w:p>
        </w:tc>
        <w:tc>
          <w:tcPr>
            <w:tcW w:w="100" w:type="dxa"/>
            <w:vAlign w:val="bottom"/>
            <w:tcBorders>
              <w:top w:val="single" w:sz="8" w:color="CCEEFF"/>
            </w:tcBorders>
          </w:tcPr>
          <w:p>
            <w:pPr>
              <w:spacing w:after="0"/>
              <w:rPr>
                <w:sz w:val="15"/>
                <w:szCs w:val="15"/>
                <w:color w:val="auto"/>
              </w:rPr>
            </w:pPr>
          </w:p>
        </w:tc>
      </w:tr>
      <w:tr>
        <w:trPr>
          <w:trHeight w:val="41"/>
        </w:trPr>
        <w:tc>
          <w:tcPr>
            <w:tcW w:w="380" w:type="dxa"/>
            <w:vAlign w:val="bottom"/>
            <w:tcBorders>
              <w:top w:val="single" w:sz="8" w:color="auto"/>
            </w:tcBorders>
          </w:tcPr>
          <w:p>
            <w:pPr>
              <w:spacing w:after="0"/>
              <w:rPr>
                <w:sz w:val="3"/>
                <w:szCs w:val="3"/>
                <w:color w:val="auto"/>
              </w:rPr>
            </w:pPr>
          </w:p>
        </w:tc>
        <w:tc>
          <w:tcPr>
            <w:tcW w:w="83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2,260,508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2,182,194</w:t>
            </w:r>
          </w:p>
        </w:tc>
        <w:tc>
          <w:tcPr>
            <w:tcW w:w="100" w:type="dxa"/>
            <w:vAlign w:val="bottom"/>
            <w:shd w:val="clear" w:color="auto" w:fill="CCEEFF"/>
          </w:tcPr>
          <w:p>
            <w:pPr>
              <w:spacing w:after="0"/>
              <w:rPr>
                <w:sz w:val="21"/>
                <w:szCs w:val="21"/>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SOLAREDGE TECHNOLOGIES INC. | 2026 Form 10-Q | 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 (Unaudited) (Cont.)</w:t>
      </w: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404,507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271,983</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81,990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73,992</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Warranty obligations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83,685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89,330</w:t>
            </w:r>
          </w:p>
        </w:tc>
        <w:tc>
          <w:tcPr>
            <w:tcW w:w="0" w:type="dxa"/>
            <w:vAlign w:val="bottom"/>
          </w:tcPr>
          <w:p>
            <w:pPr>
              <w:spacing w:after="0"/>
              <w:rPr>
                <w:sz w:val="1"/>
                <w:szCs w:val="1"/>
                <w:color w:val="auto"/>
              </w:rPr>
            </w:pP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38,540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70,371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288,549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297,819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897,271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803,495</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tcBorders>
          </w:tcPr>
          <w:p>
            <w:pPr>
              <w:spacing w:after="0"/>
              <w:rPr>
                <w:sz w:val="3"/>
                <w:szCs w:val="3"/>
                <w:color w:val="auto"/>
              </w:rPr>
            </w:pPr>
          </w:p>
        </w:tc>
        <w:tc>
          <w:tcPr>
            <w:tcW w:w="83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331,561</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Warranty obligations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268,559</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293,328</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18,323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18,558</w:t>
            </w:r>
          </w:p>
        </w:tc>
        <w:tc>
          <w:tcPr>
            <w:tcW w:w="0" w:type="dxa"/>
            <w:vAlign w:val="bottom"/>
          </w:tcPr>
          <w:p>
            <w:pPr>
              <w:spacing w:after="0"/>
              <w:rPr>
                <w:sz w:val="1"/>
                <w:szCs w:val="1"/>
                <w:color w:val="auto"/>
              </w:rPr>
            </w:pP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39,307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36,648</w:t>
            </w: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10,865</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952,517</w:t>
            </w: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951,235</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380" w:type="dxa"/>
            <w:vAlign w:val="bottom"/>
            <w:tcBorders>
              <w:top w:val="single" w:sz="8" w:color="auto"/>
            </w:tcBorders>
          </w:tcPr>
          <w:p>
            <w:pPr>
              <w:spacing w:after="0"/>
              <w:rPr>
                <w:sz w:val="3"/>
                <w:szCs w:val="3"/>
                <w:color w:val="auto"/>
              </w:rPr>
            </w:pPr>
          </w:p>
        </w:tc>
        <w:tc>
          <w:tcPr>
            <w:tcW w:w="83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 of $0.0001 par value - Authorized: 125,000,000; Issued and outstanding: 60,817,930 and</w:t>
            </w: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60,360,154 shares as of March 31, 2026 and December 31, 2025, respectively</w:t>
            </w:r>
          </w:p>
        </w:tc>
        <w:tc>
          <w:tcPr>
            <w:tcW w:w="12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1,872,760</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(11,663)</w:t>
            </w:r>
          </w:p>
        </w:tc>
        <w:tc>
          <w:tcPr>
            <w:tcW w:w="0" w:type="dxa"/>
            <w:vAlign w:val="bottom"/>
          </w:tcPr>
          <w:p>
            <w:pPr>
              <w:spacing w:after="0"/>
              <w:rPr>
                <w:sz w:val="1"/>
                <w:szCs w:val="1"/>
                <w:color w:val="auto"/>
              </w:rPr>
            </w:pPr>
          </w:p>
        </w:tc>
      </w:tr>
      <w:tr>
        <w:trPr>
          <w:trHeight w:val="236"/>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(1,491,005)</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(1,433,639)</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410,720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427,464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2,260,508</w:t>
            </w:r>
          </w:p>
        </w:tc>
        <w:tc>
          <w:tcPr>
            <w:tcW w:w="220" w:type="dxa"/>
            <w:vAlign w:val="bottom"/>
          </w:tcPr>
          <w:p>
            <w:pPr>
              <w:spacing w:after="0"/>
              <w:rPr>
                <w:sz w:val="15"/>
                <w:szCs w:val="15"/>
                <w:color w:val="auto"/>
              </w:rPr>
            </w:pPr>
          </w:p>
        </w:tc>
        <w:tc>
          <w:tcPr>
            <w:tcW w:w="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2,182,194</w:t>
            </w: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 condensed consolidated financial statements.</w:t>
      </w:r>
    </w:p>
    <w:p>
      <w:pPr>
        <w:spacing w:after="0" w:line="19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SOLAREDGE TECHNOLOGIES INC. | 2026 Form 10-Q | 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5" w:name="page6"/>
    <w:bookmarkEnd w:id="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830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1"/>
        </w:trPr>
        <w:tc>
          <w:tcPr>
            <w:tcW w:w="38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219,480</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201,944</w:t>
            </w:r>
          </w:p>
        </w:tc>
      </w:tr>
      <w:tr>
        <w:trPr>
          <w:trHeight w:val="23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68,281</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61,997</w:t>
            </w:r>
          </w:p>
        </w:tc>
      </w:tr>
      <w:tr>
        <w:trPr>
          <w:trHeight w:val="229"/>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31,657</w:t>
            </w:r>
          </w:p>
        </w:tc>
      </w:tr>
      <w:tr>
        <w:trPr>
          <w:trHeight w:val="229"/>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30,183</w:t>
            </w:r>
          </w:p>
        </w:tc>
      </w:tr>
      <w:tr>
        <w:trPr>
          <w:trHeight w:val="237"/>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(3,575)</w:t>
            </w:r>
          </w:p>
        </w:tc>
      </w:tr>
      <w:tr>
        <w:trPr>
          <w:trHeight w:val="21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123,324</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120,262</w:t>
            </w:r>
          </w:p>
        </w:tc>
        <w:tc>
          <w:tcPr>
            <w:tcW w:w="100" w:type="dxa"/>
            <w:vAlign w:val="bottom"/>
            <w:shd w:val="clear" w:color="auto" w:fill="CCEEFF"/>
          </w:tcPr>
          <w:p>
            <w:pPr>
              <w:spacing w:after="0"/>
              <w:rPr>
                <w:sz w:val="18"/>
                <w:szCs w:val="18"/>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92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000000"/>
          </w:tcPr>
          <w:p>
            <w:pPr>
              <w:spacing w:after="0"/>
              <w:rPr>
                <w:sz w:val="2"/>
                <w:szCs w:val="2"/>
                <w:color w:val="auto"/>
              </w:rPr>
            </w:pPr>
          </w:p>
        </w:tc>
        <w:tc>
          <w:tcPr>
            <w:tcW w:w="84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(55,043)</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(102,726)</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10,068</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(56,080)</w:t>
            </w:r>
          </w:p>
        </w:tc>
        <w:tc>
          <w:tcPr>
            <w:tcW w:w="2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(92,510)</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(5,726)</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38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(57,366)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(98,523)</w:t>
            </w:r>
          </w:p>
        </w:tc>
      </w:tr>
      <w:tr>
        <w:trPr>
          <w:trHeight w:val="27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basic and diluted loss per share of common stock</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net basic and diluted loss per share of common stock</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60,517,248</w:t>
            </w: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58,121,502</w:t>
            </w:r>
          </w:p>
        </w:tc>
        <w:tc>
          <w:tcPr>
            <w:tcW w:w="100" w:type="dxa"/>
            <w:vAlign w:val="bottom"/>
            <w:tcBorders>
              <w:top w:val="single" w:sz="8" w:color="CCEEFF"/>
            </w:tcBorders>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 w:name="page7"/>
    <w:bookmarkEnd w:id="6"/>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ind w:left="43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91"/>
        </w:trPr>
        <w:tc>
          <w:tcPr>
            <w:tcW w:w="8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7"/>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4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2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(57,366</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(98,523)</w:t>
            </w:r>
          </w:p>
        </w:tc>
        <w:tc>
          <w:tcPr>
            <w:tcW w:w="100" w:type="dxa"/>
            <w:vAlign w:val="bottom"/>
            <w:gridSpan w:val="2"/>
            <w:shd w:val="clear" w:color="auto" w:fill="CCEEFF"/>
          </w:tcPr>
          <w:p>
            <w:pPr>
              <w:spacing w:after="0"/>
              <w:rPr>
                <w:sz w:val="19"/>
                <w:szCs w:val="19"/>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9"/>
                <w:szCs w:val="19"/>
                <w:color w:val="auto"/>
              </w:rPr>
            </w:pPr>
          </w:p>
        </w:tc>
      </w:tr>
      <w:tr>
        <w:trPr>
          <w:trHeight w:val="230"/>
        </w:trPr>
        <w:tc>
          <w:tcPr>
            <w:tcW w:w="8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flow hedges</w:t>
            </w:r>
          </w:p>
        </w:tc>
        <w:tc>
          <w:tcPr>
            <w:tcW w:w="28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(1,146)</w:t>
            </w:r>
          </w:p>
        </w:tc>
      </w:tr>
      <w:tr>
        <w:trPr>
          <w:trHeight w:val="229"/>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on intra-entity transactions that are of a long-term investment nature</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11,840</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r>
        <w:trPr>
          <w:trHeight w:val="237"/>
        </w:trPr>
        <w:tc>
          <w:tcPr>
            <w:tcW w:w="8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5,879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80" w:type="dxa"/>
            <w:vAlign w:val="bottom"/>
          </w:tcPr>
          <w:p>
            <w:pPr>
              <w:spacing w:after="0"/>
              <w:rPr>
                <w:sz w:val="20"/>
                <w:szCs w:val="20"/>
                <w:color w:val="auto"/>
              </w:rPr>
            </w:pPr>
          </w:p>
        </w:tc>
      </w:tr>
      <w:tr>
        <w:trPr>
          <w:trHeight w:val="249"/>
        </w:trPr>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7"/>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 w:name="page8"/>
    <w:bookmarkEnd w:id="7"/>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4080" w:type="dxa"/>
            <w:vAlign w:val="bottom"/>
            <w:gridSpan w:val="8"/>
          </w:tcPr>
          <w:p>
            <w:pPr>
              <w:ind w:left="11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19"/>
                <w:szCs w:val="19"/>
                <w:color w:val="auto"/>
              </w:rPr>
            </w:pPr>
          </w:p>
        </w:tc>
        <w:tc>
          <w:tcPr>
            <w:tcW w:w="2300" w:type="dxa"/>
            <w:vAlign w:val="bottom"/>
            <w:gridSpan w:val="3"/>
            <w:vMerge w:val="restart"/>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9"/>
                <w:szCs w:val="19"/>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230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3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00" w:type="dxa"/>
            <w:vAlign w:val="bottom"/>
          </w:tcPr>
          <w:p>
            <w:pPr>
              <w:spacing w:after="0"/>
              <w:rPr>
                <w:sz w:val="22"/>
                <w:szCs w:val="22"/>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2"/>
                <w:szCs w:val="22"/>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60,360,154</w:t>
            </w:r>
          </w:p>
        </w:tc>
        <w:tc>
          <w:tcPr>
            <w:tcW w:w="260" w:type="dxa"/>
            <w:vAlign w:val="bottom"/>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1,872,760</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(1,433,639)</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exercise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457,776</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3,850</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of stock-based awards</w:t>
            </w:r>
          </w:p>
        </w:tc>
        <w:tc>
          <w:tcPr>
            <w:tcW w:w="1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20,172</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20,172</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16,600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(57,366)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(57,366)</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60,817,930</w:t>
            </w:r>
          </w:p>
        </w:tc>
        <w:tc>
          <w:tcPr>
            <w:tcW w:w="260" w:type="dxa"/>
            <w:vAlign w:val="bottom"/>
          </w:tcPr>
          <w:p>
            <w:pPr>
              <w:spacing w:after="0"/>
              <w:rPr>
                <w:sz w:val="19"/>
                <w:szCs w:val="19"/>
                <w:color w:val="auto"/>
              </w:rPr>
            </w:pP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1,896,782</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(1,491,005)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410,720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Balance as of January 1,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upon exercise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awards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net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30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60" w:type="dxa"/>
            <w:vAlign w:val="bottom"/>
          </w:tcPr>
          <w:p>
            <w:pPr>
              <w:spacing w:after="0"/>
              <w:rPr>
                <w:sz w:val="13"/>
                <w:szCs w:val="13"/>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3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2"/>
        </w:trPr>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58,027,126</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1,813,198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(50,194)</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(76,477)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(1,028,191)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658,342</w:t>
            </w:r>
          </w:p>
        </w:tc>
        <w:tc>
          <w:tcPr>
            <w:tcW w:w="0" w:type="dxa"/>
            <w:vAlign w:val="bottom"/>
          </w:tcPr>
          <w:p>
            <w:pPr>
              <w:spacing w:after="0"/>
              <w:rPr>
                <w:sz w:val="1"/>
                <w:szCs w:val="1"/>
                <w:color w:val="auto"/>
              </w:rPr>
            </w:pPr>
          </w:p>
        </w:tc>
      </w:tr>
      <w:tr>
        <w:trPr>
          <w:trHeight w:val="675"/>
        </w:trPr>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263,327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45"/>
        </w:trPr>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32,511</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32,511</w:t>
            </w:r>
          </w:p>
        </w:tc>
        <w:tc>
          <w:tcPr>
            <w:tcW w:w="0" w:type="dxa"/>
            <w:vAlign w:val="bottom"/>
          </w:tcPr>
          <w:p>
            <w:pPr>
              <w:spacing w:after="0"/>
              <w:rPr>
                <w:sz w:val="1"/>
                <w:szCs w:val="1"/>
                <w:color w:val="auto"/>
              </w:rPr>
            </w:pPr>
          </w:p>
        </w:tc>
      </w:tr>
      <w:tr>
        <w:trPr>
          <w:trHeight w:val="445"/>
        </w:trPr>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-1268095</wp:posOffset>
            </wp:positionV>
            <wp:extent cx="7132320"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-556895</wp:posOffset>
            </wp:positionV>
            <wp:extent cx="7132320"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760" w:space="180"/>
            <w:col w:w="9300"/>
          </w:cols>
          <w:pgMar w:left="320" w:top="563"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(98,523)</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58,290,453</w:t>
            </w:r>
          </w:p>
        </w:tc>
        <w:tc>
          <w:tcPr>
            <w:tcW w:w="8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1,845,719</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(50,194)</w:t>
            </w: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(74,604)</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(1,126,714)</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594,213</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an amount less than $1.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8" w:name="page9"/>
    <w:bookmarkEnd w:id="8"/>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1"/>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26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operating activities:</w:t>
            </w:r>
          </w:p>
        </w:tc>
        <w:tc>
          <w:tcPr>
            <w:tcW w:w="6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8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(57,366)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(98,523)</w:t>
            </w:r>
          </w:p>
        </w:tc>
      </w:tr>
      <w:tr>
        <w:trPr>
          <w:trHeight w:val="229"/>
        </w:trPr>
        <w:tc>
          <w:tcPr>
            <w:tcW w:w="8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12,001</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31,426</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Loss from business disposition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(gain) from exchange rate fluctuations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(2,930)</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Other items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r>
      <w:tr>
        <w:trPr>
          <w:trHeight w:val="230"/>
        </w:trPr>
        <w:tc>
          <w:tcPr>
            <w:tcW w:w="8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29,247</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(38,339)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12,285</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(88,163)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100,361</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3,659</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30,275</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Warranty obligations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(36,064)</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(19,745)</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(11,168)</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(51,970)</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(3,571)</w:t>
            </w:r>
          </w:p>
        </w:tc>
      </w:tr>
      <w:tr>
        <w:trPr>
          <w:trHeight w:val="236"/>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(10,142)</w:t>
            </w:r>
          </w:p>
        </w:tc>
      </w:tr>
      <w:tr>
        <w:trPr>
          <w:trHeight w:val="237"/>
        </w:trPr>
        <w:tc>
          <w:tcPr>
            <w:tcW w:w="86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24,428</w:t>
            </w: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33,823</w:t>
            </w:r>
          </w:p>
        </w:tc>
        <w:tc>
          <w:tcPr>
            <w:tcW w:w="100" w:type="dxa"/>
            <w:vAlign w:val="bottom"/>
            <w:tcBorders>
              <w:top w:val="single" w:sz="8" w:color="CCEEFF"/>
            </w:tcBorders>
          </w:tcPr>
          <w:p>
            <w:pPr>
              <w:spacing w:after="0"/>
              <w:rPr>
                <w:sz w:val="20"/>
                <w:szCs w:val="20"/>
                <w:color w:val="auto"/>
              </w:rPr>
            </w:pPr>
          </w:p>
        </w:tc>
      </w:tr>
      <w:tr>
        <w:trPr>
          <w:trHeight w:val="210"/>
        </w:trPr>
        <w:tc>
          <w:tcPr>
            <w:tcW w:w="26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investing activities:</w:t>
            </w:r>
          </w:p>
        </w:tc>
        <w:tc>
          <w:tcPr>
            <w:tcW w:w="60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Investment in available-for-sale marketable securities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(72,465)</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maturities of available-for-sale marketable securities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142,931</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(3,701)</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(10,109)</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Business dispositions, net of cash sold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(2,631)</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Repayment related to governmental grant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(6,643)</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Withdrawal from restricted bank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Payments made before lease commencement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(26,162)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loan receivables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13,653</w:t>
            </w:r>
          </w:p>
        </w:tc>
      </w:tr>
      <w:tr>
        <w:trPr>
          <w:trHeight w:val="236"/>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37"/>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(20,440)</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SOLAREDGE TECHNOLOGIES,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9"/>
        </w:trPr>
        <w:tc>
          <w:tcPr>
            <w:tcW w:w="10020" w:type="dxa"/>
            <w:vAlign w:val="bottom"/>
            <w:gridSpan w:val="6"/>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 (Cont.)</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2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2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26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financing activities:</w:t>
            </w:r>
          </w:p>
        </w:tc>
        <w:tc>
          <w:tcPr>
            <w:tcW w:w="60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Repurchase of convertible debt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(5,093)</w:t>
            </w:r>
          </w:p>
        </w:tc>
      </w:tr>
      <w:tr>
        <w:trPr>
          <w:trHeight w:val="23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Issuance of common stock upon exercise of stock-based awards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Tax withholding in connection with stock-based awards,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w:t>
            </w:r>
          </w:p>
        </w:tc>
      </w:tr>
      <w:tr>
        <w:trPr>
          <w:trHeight w:val="27"/>
        </w:trPr>
        <w:tc>
          <w:tcPr>
            <w:tcW w:w="26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(6,237)</w:t>
            </w:r>
          </w:p>
        </w:tc>
      </w:tr>
      <w:tr>
        <w:trPr>
          <w:trHeight w:val="21"/>
        </w:trPr>
        <w:tc>
          <w:tcPr>
            <w:tcW w:w="2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(1,146)</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2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 including cash classified within current held-for-sale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95,884</w:t>
            </w:r>
          </w:p>
        </w:tc>
      </w:tr>
      <w:tr>
        <w:trPr>
          <w:trHeight w:val="236"/>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classified within current held-for-sale assets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95,884</w:t>
            </w:r>
          </w:p>
        </w:tc>
      </w:tr>
      <w:tr>
        <w:trPr>
          <w:trHeight w:val="216"/>
        </w:trPr>
        <w:tc>
          <w:tcPr>
            <w:tcW w:w="2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29"/>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539,846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409,939</w:t>
            </w:r>
          </w:p>
        </w:tc>
      </w:tr>
      <w:tr>
        <w:trPr>
          <w:trHeight w:val="27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553,366</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505,823</w:t>
            </w:r>
          </w:p>
        </w:tc>
      </w:tr>
      <w:tr>
        <w:trPr>
          <w:trHeight w:val="210"/>
        </w:trPr>
        <w:tc>
          <w:tcPr>
            <w:tcW w:w="2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86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24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34"/>
        </w:trPr>
        <w:tc>
          <w:tcPr>
            <w:tcW w:w="268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5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 recognized with a corresponding lease liability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10,881</w:t>
            </w:r>
          </w:p>
        </w:tc>
      </w:tr>
      <w:tr>
        <w:trPr>
          <w:trHeight w:val="270"/>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cash, cash equivalents and restricted cash per the statement of cash flows to the balance sheet: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401,364</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40,985</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104,459</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553,366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505,823</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9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97" w:lineRule="exact"/>
        <w:rPr>
          <w:sz w:val="20"/>
          <w:szCs w:val="20"/>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SolarEdge Technologies, Inc. (together with its subsidiaries, the “Company” or “SolarEdge”) is a global smart energy technology company. The Company develops, manufactures, and sells products that address a broad range of energy market segments through its diversified product offering, including residential, commercial and large scale photovoltaic “PV”, energy storage and backup solutions, electric vehicle “EV” charging capabilities, home energy management, grid services and virtual power plants. By leveraging engineering capabilities and focusing on innovation, safety and reliability, SolarEdge creates smart energy solutions that power our lives and drive future progress.</w:t>
      </w:r>
    </w:p>
    <w:p>
      <w:pPr>
        <w:spacing w:after="0" w:line="237"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products worldwide through large distributors and electrical equipment wholesalers directly to large solar installers and engineering, procurement, and construction firms. The Company's products are carried and actively sold by most of the top PV distributors as well as some of the largest electrical distribution companies. The Company has expanded its activity to other areas of smart energy technology both organically and through acquisitions.</w:t>
      </w:r>
    </w:p>
    <w:p>
      <w:pPr>
        <w:spacing w:after="0" w:line="2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79"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w:t>
      </w:r>
    </w:p>
    <w:p>
      <w:pPr>
        <w:spacing w:after="0" w:line="239"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accounting policies applied in the annual consolidated financial statements of the Company as of December 31, 2025, contained in the Company’s Annual Report on Form 10-K/A filed with the Securities and Exchange Commission (the “SEC”) on March 23, 2026 have been applied consistently in these unaudited condensed consolidated financial statements. Certain prior year amounts have been reclassified to conform to current year presentation.</w:t>
      </w:r>
    </w:p>
    <w:p>
      <w:pPr>
        <w:spacing w:after="0" w:line="2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w:t>
      </w:r>
    </w:p>
    <w:p>
      <w:pPr>
        <w:spacing w:after="0" w:line="2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are stated net of credit losses allowance. The Company is exposed to credit losses primarily through the sale of products. The allowance against gross trade receivables reflects the current expected credit loss inherent in the receivables portfolio determined based on the Company’s methodology. The Company’s methodology is based on historical collection experience, customer creditworthiness and current economic condition. Additionally, specific allowance amounts are established to record the appropriate provision for customers that have a higher probability of default. Trade receivables are written off after all reasonable means to collect the full amount have been exhausted.</w:t>
      </w:r>
    </w:p>
    <w:p>
      <w:pPr>
        <w:spacing w:after="0" w:line="24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 roll-forward of the allowance for credit losses that is deducted from the amortized cost basis of trade receivables to present the net amount expected to be collected:</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29"/>
        </w:trPr>
        <w:tc>
          <w:tcPr>
            <w:tcW w:w="6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6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6"/>
        </w:trPr>
        <w:tc>
          <w:tcPr>
            <w:tcW w:w="68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43,038</w:t>
            </w:r>
          </w:p>
        </w:tc>
        <w:tc>
          <w:tcPr>
            <w:tcW w:w="80" w:type="dxa"/>
            <w:vAlign w:val="bottom"/>
            <w:shd w:val="clear" w:color="auto" w:fill="CCEEFF"/>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allowance for credit losses not previously recorded</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7,049</w:t>
            </w: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 collected</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(4,035)</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(14,791)</w:t>
            </w:r>
          </w:p>
        </w:tc>
      </w:tr>
      <w:tr>
        <w:trPr>
          <w:trHeight w:val="23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674</w:t>
            </w:r>
          </w:p>
        </w:tc>
      </w:tr>
      <w:tr>
        <w:trPr>
          <w:trHeight w:val="270"/>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30,478</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1" w:name="page12"/>
    <w:bookmarkEnd w:id="11"/>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79" w:lineRule="exact"/>
        <w:rPr>
          <w:rFonts w:ascii="Times New Roman" w:cs="Times New Roman" w:eastAsia="Times New Roman" w:hAnsi="Times New Roman"/>
          <w:sz w:val="18"/>
          <w:szCs w:val="18"/>
          <w:color w:val="auto"/>
        </w:rPr>
      </w:pPr>
    </w:p>
    <w:p>
      <w:pPr>
        <w:jc w:val="both"/>
        <w:ind w:left="328"/>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costs and expenses, government grants, income taxes and related disclosures in the accompanying notes. Actual results could differ from those estimates.</w:t>
      </w:r>
    </w:p>
    <w:p>
      <w:pPr>
        <w:spacing w:after="0" w:line="217" w:lineRule="exact"/>
        <w:rPr>
          <w:rFonts w:ascii="Times New Roman" w:cs="Times New Roman" w:eastAsia="Times New Roman" w:hAnsi="Times New Roman"/>
          <w:sz w:val="18"/>
          <w:szCs w:val="18"/>
          <w:color w:val="auto"/>
        </w:rPr>
      </w:pPr>
    </w:p>
    <w:p>
      <w:pPr>
        <w:jc w:val="both"/>
        <w:ind w:left="328"/>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preparing the Company’s condensed consolidated financial statements, management considered the economic implications of inflation, geopolitical developments, including the conflict in Israel, currency fluctuation, and the Company's ability to benefit from certain tax credits in evaluating assumptions used in key accounting estimates. These factors were considered in assessing assets recoverability, inventory valuation and warranty obligations.</w:t>
      </w:r>
    </w:p>
    <w:p>
      <w:pPr>
        <w:spacing w:after="0" w:line="23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supply risks:</w:t>
      </w:r>
    </w:p>
    <w:p>
      <w:pPr>
        <w:spacing w:after="0" w:line="279" w:lineRule="exact"/>
        <w:rPr>
          <w:rFonts w:ascii="Times New Roman" w:cs="Times New Roman" w:eastAsia="Times New Roman" w:hAnsi="Times New Roman"/>
          <w:sz w:val="18"/>
          <w:szCs w:val="18"/>
          <w:color w:val="auto"/>
        </w:rPr>
      </w:pPr>
    </w:p>
    <w:p>
      <w:pPr>
        <w:jc w:val="both"/>
        <w:ind w:left="32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depends on certain contract manufacturers and several limited or single source component suppliers. Reliance on these vendors makes the Company vulnerable to possible capacity constraints and reduced control over component availability, delivery schedules, manufacturing yields, and costs.</w:t>
      </w:r>
    </w:p>
    <w:p>
      <w:pPr>
        <w:spacing w:after="0" w:line="236"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one contract manufacturer accounted for 50.8% of the Company’s total trade payables.</w:t>
      </w:r>
    </w:p>
    <w:p>
      <w:pPr>
        <w:spacing w:after="0" w:line="292" w:lineRule="exact"/>
        <w:rPr>
          <w:rFonts w:ascii="Times New Roman" w:cs="Times New Roman" w:eastAsia="Times New Roman" w:hAnsi="Times New Roman"/>
          <w:sz w:val="18"/>
          <w:szCs w:val="18"/>
          <w:color w:val="auto"/>
        </w:rPr>
      </w:pPr>
    </w:p>
    <w:p>
      <w:pPr>
        <w:ind w:left="328" w:right="1800"/>
        <w:spacing w:after="0" w:line="5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two contract manufacturers jointly accounted for 50.7% of the Company’s total trade payables. The Company's wholly owned manufacturing facility, Sella 1, is located in the North of Israel.</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assistance:</w:t>
      </w:r>
    </w:p>
    <w:p>
      <w:pPr>
        <w:spacing w:after="0" w:line="279" w:lineRule="exact"/>
        <w:rPr>
          <w:rFonts w:ascii="Times New Roman" w:cs="Times New Roman" w:eastAsia="Times New Roman" w:hAnsi="Times New Roman"/>
          <w:sz w:val="18"/>
          <w:szCs w:val="18"/>
          <w:color w:val="auto"/>
        </w:rPr>
      </w:pPr>
    </w:p>
    <w:p>
      <w:pPr>
        <w:jc w:val="both"/>
        <w:ind w:left="328"/>
        <w:spacing w:after="0" w:line="22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the Israeli Knesset enacted Chapter J, the Law for the Encouragement and Incentivization of Research and Development (the “R&amp;D Law”). The R&amp;D Law introduces a refundable tax credit regime for qualifying research and development (“R&amp;D”) expenditures incurred in Israel, which applies to qualifying R&amp;D expenditures incurred beginning the tax year starting January 1, 2026 and allows eligible companies, subject to certain conditions, to (i) offset Israeli income taxes or Israeli qualified domestic minimum top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taxes (“QDMTT”), or (ii) receive a government grant if the credit is not utilized. For the three months ended March 31, 2026, the Company recognized an asset of $912 under other long-term assets, in respect of the future government grant, with a corresponding reduction in R&amp;D expenses.</w:t>
      </w:r>
    </w:p>
    <w:p>
      <w:pPr>
        <w:spacing w:after="0" w:line="26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standards updates:</w:t>
      </w:r>
    </w:p>
    <w:p>
      <w:pPr>
        <w:spacing w:after="0" w:line="27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Recently issued and adopted pronouncements</w:t>
      </w:r>
    </w:p>
    <w:p>
      <w:pPr>
        <w:spacing w:after="0" w:line="281"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Financial Accounting Standards Board (“FASB”) issued Accounting Standards Update (“ASU”) 2025-05, “Financial Instruments - Credit Losses (Topic 326): Measurement of Credit Losses for Accounts Receivable and Contract Assets” (“ASU 2025-05”). This amendment introduces a practical expedient for the application of the current expected credit loss (“CECL”) model to current accounts receivable and contract assets. The practical expedient allows entities to assume that conditions as of the balance sheet date remain unchanged over the remaining life of these assets, thereby eliminating the need to incorporate macroeconomic forecasts. ASU 2025-05 is effective beginning after December 15, 2025, and interim reporting periods within those annual reporting periods. The Company adopted this ASU as of January 1, 2026. The adoption of this new ASU did not have a material impact on the Company's condensed consolidated financial statements.</w:t>
      </w:r>
    </w:p>
    <w:p>
      <w:pPr>
        <w:spacing w:after="0" w:line="244"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In September 2025, the FASB issued ASU 2025-07, “Derivatives and Hedging (Topic 815) and Revenue from Contracts with Customers (Topic 606): Derivatives Scope Refinements and Scope Clarification for Share-Based Noncash Consideration from a Customer in a Revenue Contract” (“ASU 2025-07”), which (i) expands the scope exception of Topic 815 to exclude certain contracts with a variable that is based on operations or activities specific to one of the parties to the contract and (ii) clarifies the scope of share-based payments from a customer in a revenue contract. ASU 2025-07 is effective for annual reporting periods beginning after December 15, 2026 and interim periods within that year. Early adoption is permitted and must be applied as of the beginning of the fiscal year that includes the interim period. The Company adopted this ASU as of January 1 , 2026. The adoption of this new ASU did not have a material impact on the Company’s condensed consolidated financial statements.</w:t>
      </w:r>
    </w:p>
    <w:p>
      <w:pPr>
        <w:spacing w:after="0" w:line="200" w:lineRule="exact"/>
        <w:rPr>
          <w:sz w:val="20"/>
          <w:szCs w:val="20"/>
          <w:color w:val="auto"/>
        </w:rPr>
      </w:pPr>
    </w:p>
    <w:p>
      <w:pPr>
        <w:spacing w:after="0" w:line="264" w:lineRule="exact"/>
        <w:rPr>
          <w:sz w:val="20"/>
          <w:szCs w:val="20"/>
          <w:color w:val="auto"/>
        </w:rPr>
      </w:pPr>
    </w:p>
    <w:p>
      <w:pPr>
        <w:ind w:left="2488"/>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53975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65" w:right="339" w:bottom="1440" w:gutter="0" w:footer="0" w:header="0"/>
        </w:sectPr>
      </w:pPr>
    </w:p>
    <w:bookmarkStart w:id="12" w:name="page13"/>
    <w:bookmarkEnd w:id="12"/>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effective</w:t>
      </w: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(loss) Statement Expenses” (“ASU 2024-03”). ASU 2024-03 requires disaggregation of certain costs and expenses included in each relevant expense caption on the Company's consolidated income (loss) statements in a separate note to the financial statements at each interim and annual reporting period, including amounts of purchases of inventory, employee compensation, depreciation, and intangible asset amortization. ASU 2024-04 is effective fiscal years beginning after December 15, 2026, and interim reporting periods within annual reporting periods beginning after December 15, 2027, with early adoption permitted. The Company is currently evaluating the impact of adopting ASU 2024-03 on its consolidated financial statements disclosures.</w:t>
      </w: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the FASB issued ASU 2025-06, “Goodwill and Other-Internal-Use Software (Subtopic 350-40): Targeted Improvements to the Accounting for Internal-Use Software” (“ASU 2025-06”), which simplifies the capitalization guidance by removing all references to software development project stages so that the guidance is neutral to different software development methods. ASU 2025-06 is effective for annual reporting periods beginning after December 15, 2027, and interim reporting periods within those annual reporting periods. Early adoption is permitted. ASU 2025-06 permits an entity to apply the new guidance using a prospective, retrospective or modified transition approach. The Company is currently evaluating the impact of adopting ASU 2025-06 on its consolidated financial statements.</w:t>
      </w: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2025, the FASB issued ASU 2025-09 to amend the guidance in Derivatives and Hedging (Topic 815). The update provides targeted improvements intended to enhance the application of hedge accounting, including expanded eligibility of forecasted transactions, additional flexibility in measuring hedge effectiveness, and clarifications related to hedging non-financial items. The guidance is effective for fiscal years beginning after December 15, 2026, including interim periods within those fiscal years. The Company is currently evaluating the impact of adopting ASU 2025-09 on its financial statement disclosures.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of adopting ASU 2025-10 on its consolidated financial statements.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(“ASU 2025-11”), which clarifies the guidance in Topic 270 to improve the consistency of interim financial reporting. ASU 2025-11 provides a comprehensive list of required interim disclosures and introduces a disclosure principle requiring entities to disclose events since the end of the last annual reporting period that have a material impact on the entity. ASU 2025-11 is effective for interim reporting periods beginning after December 15, 2027, with early adoption permitted. The Company is currently evaluating the impact of adopting ASU 2025-11 on its consolidated financial statements.</w:t>
      </w:r>
    </w:p>
    <w:p>
      <w:pPr>
        <w:spacing w:after="0" w:line="1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MARKETABLE SECURITIES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available-for-sale marketable securities as of March 31, 2026: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4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Matures within one year:</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29,269</w:t>
            </w:r>
          </w:p>
        </w:tc>
        <w:tc>
          <w:tcPr>
            <w:tcW w:w="0" w:type="dxa"/>
            <w:vAlign w:val="bottom"/>
          </w:tcPr>
          <w:p>
            <w:pPr>
              <w:spacing w:after="0"/>
              <w:rPr>
                <w:sz w:val="1"/>
                <w:szCs w:val="1"/>
                <w:color w:val="auto"/>
              </w:rPr>
            </w:pPr>
          </w:p>
        </w:tc>
      </w:tr>
      <w:tr>
        <w:trPr>
          <w:trHeight w:val="48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available-for-sale marketable securities as of December 31, 2025: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9"/>
                <w:szCs w:val="19"/>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Matures within one year:</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36,601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38,097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sell any available-for-sale marketable securities during the three months ended March 31, 2026 and 2025.</w:t>
      </w:r>
    </w:p>
    <w:p>
      <w:pPr>
        <w:spacing w:after="0" w:line="29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As of March 31, 2026 and December 31, 2025, the Company did not record an allowance for credit losses for its available-for-sale marketable securities.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INVENTORIES,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380,571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306,288</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246,344</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596,824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552,632</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PREPAID EXPENSES AND OTHER 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7"/>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29"/>
        </w:trPr>
        <w:tc>
          <w:tcPr>
            <w:tcW w:w="8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Vendor non-trade receivables</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129,223</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Government authorities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161,749</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41,127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25,334</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recovery receivables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14,370</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414,518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341,831</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jc w:val="both"/>
        <w:ind w:firstLine="8"/>
        <w:spacing w:after="0" w:line="214" w:lineRule="auto"/>
        <w:tabs>
          <w:tab w:leader="none" w:pos="126"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Vendor non-trade receivables derived from the sale of components to manufacturing vendors who manufacture products, components and other testing equipment for the Company. The Company purchases these components directly from other suppliers. The Company does not reflect the sale of these components to the contract manufacturers in its revenues.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OTHER LONG-TERM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made before lease commencement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Cloud computing arrangements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37,972</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67,566</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maintains a foreign currency cash flow hedging policy designed to mitigate exposure to fluctuations in exchange rates. Under this policy, the Company hedges portions of its anticipated payroll expenses denominated in New Israeli Shekels (“NIS”) for periods of one to nine months. These hedging contracts are designated as cash flow hedges in accordance with Accounting Standards Codification (“ASC”) 815, “Derivatives and Hedging” and are considered effective.</w:t>
      </w: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entered into forward contracts as well as put and call options to sell U.S. dollars (“USD”) in the amounts of NIS 255 million and NIS 108 million, respectively.</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to the above-mentioned cash flow hedge transactions, the Company occasionally enters into derivative instrument arrangements to hedge the Company’s exposure to currencies other than USD. These derivative instruments are not designated as cash flow hedges, as defined by ASC 815, and therefore all gains and losses resulting from fair value remeasurement were recorded immediately in the condensed consolidated statement of loss under Financial income (expense), net.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entered into forward contracts to sell Euro (“EUR”) in the amounts of USD 43 million.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cash flows related to its hedging as operating activities in its condensed consolidated statement of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outstanding derivative instruments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3540" w:type="dxa"/>
            <w:vAlign w:val="bottom"/>
          </w:tcPr>
          <w:p>
            <w:pPr>
              <w:spacing w:after="0"/>
              <w:rPr>
                <w:sz w:val="22"/>
                <w:szCs w:val="22"/>
                <w:color w:val="auto"/>
              </w:rPr>
            </w:pPr>
          </w:p>
        </w:tc>
        <w:tc>
          <w:tcPr>
            <w:tcW w:w="50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 assets of options and forward</w:t>
            </w:r>
          </w:p>
        </w:tc>
        <w:tc>
          <w:tcPr>
            <w:tcW w:w="5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w:t>
            </w:r>
          </w:p>
        </w:tc>
        <w:tc>
          <w:tcPr>
            <w:tcW w:w="5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Designated cash flow hedges</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Non-designated hedges</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 assets</w:t>
            </w: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0"/>
        </w:trPr>
        <w:tc>
          <w:tcPr>
            <w:tcW w:w="35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35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Derivative liabilities of options and forward</w:t>
            </w:r>
          </w:p>
        </w:tc>
        <w:tc>
          <w:tcPr>
            <w:tcW w:w="5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w:t>
            </w:r>
          </w:p>
        </w:tc>
        <w:tc>
          <w:tcPr>
            <w:tcW w:w="5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4"/>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Designated cash flow hedges</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(losses) on derivative instruments are summarized below:</w:t>
      </w:r>
    </w:p>
    <w:p>
      <w:pPr>
        <w:spacing w:after="0" w:line="275"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March 31,</w:t>
      </w:r>
    </w:p>
    <w:p>
      <w:pPr>
        <w:sectPr>
          <w:pgSz w:w="11900" w:h="16838" w:orient="portrait"/>
          <w:cols w:equalWidth="0" w:num="1">
            <w:col w:w="11240"/>
          </w:cols>
          <w:pgMar w:left="320" w:top="365" w:right="339" w:bottom="1440" w:gutter="0" w:footer="0" w:header="0"/>
        </w:sect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contracts</w:t>
      </w: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Non-designated hedging instruments</w:t>
      </w: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Designated hedging instruments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Affected line item</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1"/>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statements of loss - Financial income</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net</w:t>
            </w:r>
          </w:p>
        </w:tc>
        <w:tc>
          <w:tcPr>
            <w:tcW w:w="2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loss - Cash</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flow hedges</w:t>
            </w:r>
          </w:p>
        </w:tc>
        <w:tc>
          <w:tcPr>
            <w:tcW w:w="24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-710565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-281940</wp:posOffset>
            </wp:positionV>
            <wp:extent cx="7132320"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660"/>
            <w:col w:w="7700"/>
          </w:cols>
          <w:pgMar w:left="320" w:top="365" w:right="339" w:bottom="1440" w:gutter="0" w:footer="0" w:header="0"/>
          <w:type w:val="continuous"/>
        </w:sectPr>
      </w:pPr>
    </w:p>
    <w:p>
      <w:pPr>
        <w:spacing w:after="0" w:line="5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See Note 15, Accumulated Other Comprehensive Income (Loss), for information regarding gains (losses) from designated hedging instruments reclassified from accumulated other comprehensive income (loss).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accordance with ASC 820, “Fair Value Measurement”, the Company measures its cash equivalents and marketable securities, at fair value using the market approach valuation technique. Cash and cash equivalents are classified within Level 1 because these assets are valued using quoted market prices. Marketable securities and foreign currency derivative contracts are classified within level 2 due to these assets being valued by alternative pricing sources and models utilizing market observable inputs.</w:t>
      </w: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assets that were measured at fair value as of March 31, 2026, and December 31, 2025 by level within the fair value hierarchy: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tc>
        <w:tc>
          <w:tcPr>
            <w:tcW w:w="0" w:type="dxa"/>
            <w:vAlign w:val="bottom"/>
          </w:tcPr>
          <w:p>
            <w:pPr>
              <w:spacing w:after="0"/>
              <w:rPr>
                <w:sz w:val="1"/>
                <w:szCs w:val="1"/>
                <w:color w:val="auto"/>
              </w:rPr>
            </w:pPr>
          </w:p>
        </w:tc>
      </w:tr>
      <w:tr>
        <w:trPr>
          <w:trHeight w:val="207"/>
        </w:trPr>
        <w:tc>
          <w:tcPr>
            <w:tcW w:w="7480" w:type="dxa"/>
            <w:vAlign w:val="bottom"/>
            <w:vMerge w:val="restart"/>
          </w:tcPr>
          <w:p>
            <w:pPr>
              <w:ind w:left="3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4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397,810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312,539</w:t>
            </w:r>
          </w:p>
        </w:tc>
        <w:tc>
          <w:tcPr>
            <w:tcW w:w="0" w:type="dxa"/>
            <w:vAlign w:val="bottom"/>
          </w:tcPr>
          <w:p>
            <w:pPr>
              <w:spacing w:after="0"/>
              <w:rPr>
                <w:sz w:val="1"/>
                <w:szCs w:val="1"/>
                <w:color w:val="auto"/>
              </w:rPr>
            </w:pPr>
          </w:p>
        </w:tc>
      </w:tr>
      <w:tr>
        <w:trPr>
          <w:trHeight w:val="229"/>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8,315</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134,221</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40,985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84,771</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36,601</w:t>
            </w:r>
          </w:p>
        </w:tc>
        <w:tc>
          <w:tcPr>
            <w:tcW w:w="0" w:type="dxa"/>
            <w:vAlign w:val="bottom"/>
          </w:tcPr>
          <w:p>
            <w:pPr>
              <w:spacing w:after="0"/>
              <w:rPr>
                <w:sz w:val="1"/>
                <w:szCs w:val="1"/>
                <w:color w:val="auto"/>
              </w:rPr>
            </w:pPr>
          </w:p>
        </w:tc>
      </w:tr>
      <w:tr>
        <w:trPr>
          <w:trHeight w:val="230"/>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WARRANTY OBLIGATIONS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product warranty obligations for the three months ended March 31, 2026 and 2025, were as follows:</w:t>
      </w:r>
    </w:p>
    <w:p>
      <w:pPr>
        <w:spacing w:after="0" w:line="28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357,889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432,365</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warranty during the period</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16,466</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(21,647)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(28,927)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(35,218)</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321,814</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412,702</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(83,685)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(125,172)</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287,530</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DEFERRED REVENUES AND CUSTOMERS ADVANCES</w:t>
      </w:r>
    </w:p>
    <w:p>
      <w:pPr>
        <w:spacing w:after="0" w:line="29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Deferred revenues and customer advances consist of deferred cloud-based monitoring services, communication services, warranty extension services and advance payments received from customers for the Company’s products and other services. Deferred revenues and customer advances are classified as short-term and long-term deferred revenues and customer advances based on the period in which revenues are expected to be recognized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balances of deferred revenue and customer advances during the period are as follows:</w:t>
      </w:r>
    </w:p>
    <w:p>
      <w:pPr>
        <w:spacing w:after="0" w:line="28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363,699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371,919</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(43,237)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(80,942)</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revenues and customer advances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32,027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29,163</w:t>
            </w:r>
          </w:p>
        </w:tc>
      </w:tr>
      <w:tr>
        <w:trPr>
          <w:trHeight w:val="22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352,489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320,140</w:t>
            </w:r>
          </w:p>
        </w:tc>
        <w:tc>
          <w:tcPr>
            <w:tcW w:w="100" w:type="dxa"/>
            <w:vAlign w:val="bottom"/>
            <w:tcBorders>
              <w:top w:val="single" w:sz="8" w:color="CCEEFF"/>
            </w:tcBorders>
          </w:tcPr>
          <w:p>
            <w:pPr>
              <w:spacing w:after="0"/>
              <w:rPr>
                <w:sz w:val="19"/>
                <w:szCs w:val="19"/>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(38,540)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(76,491)</w:t>
            </w:r>
          </w:p>
        </w:tc>
      </w:tr>
      <w:tr>
        <w:trPr>
          <w:trHeight w:val="230"/>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313,949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243,649</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revenues expected to be recognized in the future related to performance obligations that are unsatisfied (or partially unsatisfied) as of March 31, 2026: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22,473</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32,766</w:t>
            </w:r>
          </w:p>
        </w:tc>
      </w:tr>
      <w:tr>
        <w:trPr>
          <w:trHeight w:val="230"/>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35,031</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28,346</w:t>
            </w:r>
          </w:p>
        </w:tc>
      </w:tr>
      <w:tr>
        <w:trPr>
          <w:trHeight w:val="229"/>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7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16,260</w:t>
            </w: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217,613</w:t>
            </w:r>
          </w:p>
        </w:tc>
        <w:tc>
          <w:tcPr>
            <w:tcW w:w="80" w:type="dxa"/>
            <w:vAlign w:val="bottom"/>
          </w:tcPr>
          <w:p>
            <w:pPr>
              <w:spacing w:after="0"/>
              <w:rPr>
                <w:sz w:val="20"/>
                <w:szCs w:val="20"/>
                <w:color w:val="auto"/>
              </w:rPr>
            </w:pPr>
          </w:p>
        </w:tc>
      </w:tr>
      <w:tr>
        <w:trPr>
          <w:trHeight w:val="27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revenues and customer advances</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352,489</w:t>
            </w:r>
          </w:p>
        </w:tc>
        <w:tc>
          <w:tcPr>
            <w:tcW w:w="80" w:type="dxa"/>
            <w:vAlign w:val="bottom"/>
            <w:shd w:val="clear" w:color="auto" w:fill="CCEEFF"/>
          </w:tcPr>
          <w:p>
            <w:pPr>
              <w:spacing w:after="0"/>
              <w:rPr>
                <w:sz w:val="23"/>
                <w:szCs w:val="23"/>
                <w:color w:val="auto"/>
              </w:rPr>
            </w:pPr>
          </w:p>
        </w:tc>
      </w:tr>
      <w:tr>
        <w:trPr>
          <w:trHeight w:val="480"/>
        </w:trPr>
        <w:tc>
          <w:tcPr>
            <w:tcW w:w="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772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77"/>
        </w:trPr>
        <w:tc>
          <w:tcPr>
            <w:tcW w:w="9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96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211,136</w:t>
            </w:r>
          </w:p>
        </w:tc>
        <w:tc>
          <w:tcPr>
            <w:tcW w:w="100" w:type="dxa"/>
            <w:vAlign w:val="bottom"/>
            <w:gridSpan w:val="2"/>
            <w:shd w:val="clear" w:color="auto" w:fill="CCEEFF"/>
          </w:tcPr>
          <w:p>
            <w:pPr>
              <w:spacing w:after="0"/>
              <w:rPr>
                <w:sz w:val="19"/>
                <w:szCs w:val="19"/>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authorities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20,493</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14,773</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15,959</w:t>
            </w: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 for sales incentives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17,650</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24,102</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claims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68,199</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13,199</w:t>
            </w: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7,592</w:t>
            </w:r>
          </w:p>
        </w:tc>
        <w:tc>
          <w:tcPr>
            <w:tcW w:w="80" w:type="dxa"/>
            <w:vAlign w:val="bottom"/>
          </w:tcPr>
          <w:p>
            <w:pPr>
              <w:spacing w:after="0"/>
              <w:rPr>
                <w:sz w:val="19"/>
                <w:szCs w:val="19"/>
                <w:color w:val="auto"/>
              </w:rPr>
            </w:pP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288,549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297,819</w:t>
            </w:r>
          </w:p>
        </w:tc>
        <w:tc>
          <w:tcPr>
            <w:tcW w:w="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CONVERTIBLE SENIOR NOTES</w:t>
      </w:r>
    </w:p>
    <w:p>
      <w:pPr>
        <w:spacing w:after="0" w:line="2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September 25, 2020, the Company sold an aggregate principal amount of $632,500 of its 0.00% convertible senior notes due 2025 (the “Notes 2025”). The Notes 2025 were sold pursuant to an indenture, dated September 25, 2020 (the “Indenture”), between the Company and U.S. Bank National Association, as trustee. The Notes 2025 did not bear regular interest and matured on September 15, 2025. The Notes 2025 were general senior unsecured obligations of the Company. The initial conversion rate for the Notes 2025 was 3.5997 shares of common stock per $1,000 principal amount of Notes 2025, which was equivalent to an initial conversion price of approximately $277.80 per share of common stock, subject to adjustment upon the occurrence of certain specified events as set forth in the Indenture. In March 2025 the Company repurchased $5,250 principal amount of its Notes 2025. The Company recorded a net gain of $146, under other income, net, from the repurchase. The Company repaid all of the remaining Notes 2025 on their scheduled maturity of September 15, 2025. At maturity, the Company paid $342,250 in cash towards the principal amount of the Notes 2025 and no shares were issued in connection with the settlement as the conversion value was less than the principal amount of the Notes 2025.</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28, 2024, the Company sold an aggregate principal amount of $300,000 of its 2.25% convertible senior notes, due in 2029 (the “Notes 2029”). The Notes 2029 were sold pursuant to an indenture, dated June 28, 2024 (the “Indenture 2029”), between the Company and U.S. Bank National Association, as trustee. The Notes 2029 will bear interest at a rate of 2.25% per year, payable semiannually in arrears on January 1 and July 1 of each year, beginning on January 1, 2025. The Notes 2029 mature on July 1, 2029, unless repurchased, redeemed or converted in accordance with their terms prior to such date. The Notes 2029 are general senior unsecured obligations of the Company. Holders may convert their Notes 2029 at any time prior to the close of business on the business day immediately preceding April 1, 2029 in multiples of $1,000 principal amount,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in which the trading price per $1,000 principal amount of the Notes 2029 for each trading day of that five consecutive trading day period was less than 98% of the product of the last reported sale price of the common stock and the conversion rate on each such trading day; or (3) upon the occurrence of specified corporate events or if the Company provides a notice of redemption as described in the Indenture 2029. In addition, holders may convert their Notes 2029, in multiples of $1,000 principal amount, at their option at any time beginning on or after April 1, 2029, and prior to the close of business on the second scheduled trading day immediately preceding the stated maturity date of the Notes 2029, without regard to the foregoing circumstances. The initial conversion rate for the Notes 2029 is 29.1375 shares of common stock per $1,000 principal amount of Notes 2029, which is equivalent to an initial conversion price of approximately $34.32 per share of common stock, subject to adjustment upon the occurrence of certain specified events as set forth in the Indenture 2029.</w:t>
      </w:r>
    </w:p>
    <w:p>
      <w:pPr>
        <w:spacing w:after="0" w:line="24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Upon conversion of the Notes 2029, the Company may choose to pay or deliver, as the case may be, cash, shares of common stock or a combination of cash and shares of common stock.</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in the Indenture 2029), holders of the Notes 2029 may require the Company to repurchase all or a portion of their Notes 2029, in multiples of $1,000 principal amounts, at a repurchase price of 100% of the principal amount of the Notes 2029, plus any accrued and unpaid interest, if any, up to, but not including, the repurchase date. If certain fundamental changes referred to as make-whole fundamental changes occur, the conversion rate for the Notes 2029 may be increased.</w:t>
      </w: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Notes 2029 are not redeemable prior to July 6, 2027. On or after July 6, 2027, the Company may redeem the Notes 2029 at its option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2029 to be redeemed, plus accrued and unpaid interest, if any, up to, but excluding, the redemption date.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net proceeds from the offering of the Notes 2029 were approximately $293,200, after deducting fees and estimated expenses. Congruently, the Company has entered into capped call transactions (as detailed below). The Company used approximately $25,230 of the net proceeds from this offering to pay the cost of the capped call transactions. The Company also used approximately $267,900 of the net proceeds, from this offering, to repurchase $285,000 principal amount of its Notes 2025. In June 2024, the Company recorded under other income</w:t>
      </w:r>
      <w:r>
        <w:rPr>
          <w:rFonts w:ascii="Times New Roman" w:cs="Times New Roman" w:eastAsia="Times New Roman" w:hAnsi="Times New Roman"/>
          <w:sz w:val="21"/>
          <w:szCs w:val="21"/>
          <w:color w:val="auto"/>
        </w:rPr>
        <w:t>, net</w:t>
      </w:r>
      <w:r>
        <w:rPr>
          <w:rFonts w:ascii="Times New Roman" w:cs="Times New Roman" w:eastAsia="Times New Roman" w:hAnsi="Times New Roman"/>
          <w:sz w:val="18"/>
          <w:szCs w:val="18"/>
          <w:color w:val="auto"/>
        </w:rPr>
        <w:t xml:space="preserve"> a gain of $15,456 from the repurchase of Notes 2025.</w:t>
      </w:r>
    </w:p>
    <w:p>
      <w:pPr>
        <w:spacing w:after="0" w:line="2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accounts for the Notes 2029 at amortized cost, as a single unit of account on the balance sheet. The carrying value of the liability is represented by the face amount of the Notes 2029, less debt issuance costs, adjusted for any amortization of issuance costs. Issuance costs are being amortized as interest expense over the term of the Notes 2029, using the effective interest rate method.</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capped call transactions are expected generally to reduce the potential dilution to the common stock upon any conversion of the Notes 2029 and/or offset any cash payments the Company is required to make in excess of the principal amount of converted Notes 2029, as the case may be, in the event that the market price per share of common stock, as measured under the terms of the capped call transactions, is greater than the strike price of the capped call transactions. The strike price initially corresponds to the conversion price of the Notes and is subject to customary anti-dilution adjustments. If, however, the market price per share of common stock exceeds $48.84, the initial cap price of the capped call transactions, there would nevertheless be unmitigated dilution and/or no offset of any cash payments, in each case, attributable to the amount by which the market price of the common stock exceeds the cap price. The cap price is subject to certain customary adjustments under the terms of the capped call transactions.</w:t>
      </w: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capped call transactions are considered a freestanding instrument as they were entered into separately and apart from Notes 2029. In addition, the conversion or redemption of the Notes 2029 would not automatically result in the exercise of the capped call.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the capped call transactions are indexed to the Company's common stock, they were recorded as a reduction of additional paid-in capital in the condensed consolidated balance sheets.</w:t>
      </w:r>
    </w:p>
    <w:p>
      <w:pPr>
        <w:spacing w:after="0" w:line="2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On July 8, 2024, the Company sold to Goldman Sachs &amp; Co. LLC, as representative of the several initial purchasers (the “Initial Purchasers”), and the Initial Purchasers purchased from the Company, $37,000 aggregate principal amount of additional Notes 2029. The additional Notes 2029 were sold pursuant to the Initial Purchasers’ exercise of the option granted by the Company to the Initial Purchasers to purchase additional Notes 2029, solely to cover over-allotments, under the purchase agreement described in the Company's Form 8-K filed on June 28, 2024.</w:t>
      </w:r>
    </w:p>
    <w:p>
      <w:pPr>
        <w:spacing w:after="0" w:line="2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net proceeds from the exercise of the option granted by the Company to the Initial Purchasers of the Notes 2029 were approximately $36,237, after deducting fees and estimated expenses. Congruently, the Company has entered into additional capped call transactions. The Company used approximately $3,111 of the net proceeds from this offering to pay the cost of the additional capped call transactions. The Company intends to use the remainder of the net proceeds from the offering for general corporate purposes.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2029 consisted of the following as of March 31, 2026 and December 31,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337,000</w:t>
            </w:r>
          </w:p>
        </w:tc>
      </w:tr>
      <w:tr>
        <w:trPr>
          <w:trHeight w:val="237"/>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(5,439)</w:t>
            </w:r>
          </w:p>
        </w:tc>
      </w:tr>
      <w:tr>
        <w:trPr>
          <w:trHeight w:val="22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331,944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331,561</w:t>
            </w:r>
          </w:p>
        </w:tc>
        <w:tc>
          <w:tcPr>
            <w:tcW w:w="100" w:type="dxa"/>
            <w:vAlign w:val="bottom"/>
            <w:tcBorders>
              <w:top w:val="single" w:sz="8" w:color="CCEEFF"/>
            </w:tcBorders>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related to the Notes 2025 and the Notes 2029 for the three months ended March 31, 2026 and March 31, 2025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2025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cost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2029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cost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1,896</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unamortized issuance costs of the Notes 2029 will be amortized over the remaining term of approximately 3.3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effective interest rate of the Notes 2029 is 2.75%.</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March 31, 2026, the estimated fair value of the Notes 2029, which the Company has classified as Level 2 financial instruments, is $586,852. The estimated fair value was determined based on the quoted bid price of the Notes 2029 in an over-the-counter market on the last trading day of the reporting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if-converted value of the Notes 2029 exceeded the principal amount by $164,278.</w:t>
      </w:r>
    </w:p>
    <w:p>
      <w:pPr>
        <w:spacing w:after="0" w:line="23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OTHER LONG-TERM LIABILITIES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pay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STOCK CAPITAL</w:t>
      </w:r>
    </w:p>
    <w:p>
      <w:pPr>
        <w:spacing w:after="0" w:line="297"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rights:</w:t>
      </w:r>
    </w:p>
    <w:p>
      <w:pPr>
        <w:spacing w:after="0" w:line="292"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confers upon its holders the right to receive notice of, and to participate in, all general meetings of the Company, where each share of common stock shall have one vote for all purposes, to share equally, on a per share basis, in bonuses, profits, or distributions out of fund legally available therefor, and to participate in the distribution of the surplus assets of the Company in the event of liquidation of the Company.</w:t>
      </w:r>
    </w:p>
    <w:p>
      <w:pPr>
        <w:spacing w:after="0" w:line="23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Plans:</w:t>
      </w:r>
    </w:p>
    <w:p>
      <w:pPr>
        <w:spacing w:after="0" w:line="292" w:lineRule="exact"/>
        <w:rPr>
          <w:rFonts w:ascii="Times New Roman" w:cs="Times New Roman" w:eastAsia="Times New Roman" w:hAnsi="Times New Roman"/>
          <w:sz w:val="18"/>
          <w:szCs w:val="18"/>
          <w:color w:val="auto"/>
        </w:rPr>
      </w:pPr>
    </w:p>
    <w:p>
      <w:pPr>
        <w:jc w:val="both"/>
        <w:ind w:left="66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2015 Global Incentive Plan (the “2015 Plan”) became effective upon the consummation of the Company's initial public offering (the “IPO”). The 2015 Plan provided for the grant of options, restricted stock units (“RSU”), performance stock units (“PSU”), and other stock-based awards to directors, employees, officers, and non-employees of the Company. As of March 31, 2026, a total of 26,648,950 shares of common stock were reserved for issuance pursuant to stock awards under the 2015 Plan (the “Share Reserve”), an aggregate of 11,248,478 shares are still available for future grants.</w:t>
      </w:r>
    </w:p>
    <w:p>
      <w:pPr>
        <w:spacing w:after="0" w:line="226"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its 2015 Plan, the Company granted PSU awards to certain employees and officers which vest upon the achievement of certain market conditions subject to their continued employment with the Company.</w:t>
      </w:r>
    </w:p>
    <w:p>
      <w:pPr>
        <w:spacing w:after="0" w:line="216" w:lineRule="exact"/>
        <w:rPr>
          <w:rFonts w:ascii="Times New Roman" w:cs="Times New Roman" w:eastAsia="Times New Roman" w:hAnsi="Times New Roman"/>
          <w:sz w:val="18"/>
          <w:szCs w:val="18"/>
          <w:color w:val="auto"/>
        </w:rPr>
      </w:pPr>
    </w:p>
    <w:p>
      <w:pPr>
        <w:jc w:val="both"/>
        <w:ind w:left="660"/>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condition for the PSUs is based on either (a) the Company’s share price targets during a 30-day successive average trading price of the Company’s common stock over a three year performance period and subject to a minimum of a two year employment period following the grant date, or (b) the Company’s share price targets during a 20-day successive average trading price of the Company’s common stock over a four year performance period and subject to a minimum of a two year employment period following the grant date, or (c) total shareholder return (“TSR”) compared to the TSR of (i) for grants granted in 2024 companies listed in the S&amp;P 500 index, and (ii) for grants granted in 2026, companies listed in the Solar Index, in each case, over a two to three year performance period. The Company uses a Monte-Carlo simulation to determine the grant date fair value for these awards, which takes into consideration the market price of a share of the Company’s common stock on the date of grant less the present value of dividends expected during the requisite service period, as well as the possible outcomes pertaining to the TSR market condition. The Company recognizes such compensation expenses on an accelerated vesting method.</w:t>
      </w:r>
    </w:p>
    <w:p>
      <w:pPr>
        <w:spacing w:after="0" w:line="23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activity in stock options and related information is as follows:</w:t>
      </w:r>
    </w:p>
    <w:p>
      <w:pPr>
        <w:spacing w:after="0" w:line="28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0"/>
        </w:trPr>
        <w:tc>
          <w:tcPr>
            <w:tcW w:w="478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9"/>
                <w:szCs w:val="19"/>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term in</w:t>
            </w:r>
          </w:p>
        </w:tc>
        <w:tc>
          <w:tcPr>
            <w:tcW w:w="100" w:type="dxa"/>
            <w:vAlign w:val="bottom"/>
          </w:tcPr>
          <w:p>
            <w:pPr>
              <w:spacing w:after="0"/>
              <w:rPr>
                <w:sz w:val="19"/>
                <w:szCs w:val="1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59"/>
        </w:trPr>
        <w:tc>
          <w:tcPr>
            <w:tcW w:w="4780" w:type="dxa"/>
            <w:vAlign w:val="bottom"/>
          </w:tcPr>
          <w:p>
            <w:pPr>
              <w:spacing w:after="0"/>
              <w:rPr>
                <w:sz w:val="22"/>
                <w:szCs w:val="22"/>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00" w:type="dxa"/>
            <w:vAlign w:val="bottom"/>
          </w:tcPr>
          <w:p>
            <w:pPr>
              <w:spacing w:after="0"/>
              <w:rPr>
                <w:sz w:val="22"/>
                <w:szCs w:val="22"/>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2"/>
                <w:szCs w:val="2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CEEFF"/>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(141,584)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27.20</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1,769</w:t>
            </w:r>
          </w:p>
        </w:tc>
      </w:tr>
      <w:tr>
        <w:trPr>
          <w:trHeight w:val="23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(7,929)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150.09</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41,674</w:t>
            </w: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105.54</w:t>
            </w:r>
          </w:p>
        </w:tc>
        <w:tc>
          <w:tcPr>
            <w:tcW w:w="114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w:t>
            </w:r>
          </w:p>
        </w:tc>
      </w:tr>
      <w:tr>
        <w:trPr>
          <w:trHeight w:val="20"/>
        </w:trPr>
        <w:tc>
          <w:tcPr>
            <w:tcW w:w="4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March 31, 2026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41,674</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105.54</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w:t>
            </w:r>
          </w:p>
        </w:tc>
      </w:tr>
      <w:tr>
        <w:trPr>
          <w:trHeight w:val="20"/>
        </w:trPr>
        <w:tc>
          <w:tcPr>
            <w:tcW w:w="4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18"/>
          <w:szCs w:val="18"/>
          <w:color w:val="auto"/>
        </w:rPr>
        <w:t>The intrinsic value is the amount by which the closing price of the Company’s common stock on March 31, 2026, or the price on the day of exercise exceeds the exercise price of the stock options, multiplied by the number of in-the-money options.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summary of the activity in the RSUs and PSUs and related information is as follows:</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20"/>
        </w:trPr>
        <w:tc>
          <w:tcPr>
            <w:tcW w:w="472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RSU</w:t>
            </w: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PSU</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4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29"/>
        </w:trPr>
        <w:tc>
          <w:tcPr>
            <w:tcW w:w="4720" w:type="dxa"/>
            <w:vAlign w:val="bottom"/>
          </w:tcPr>
          <w:p>
            <w:pPr>
              <w:spacing w:after="0"/>
              <w:rPr>
                <w:sz w:val="19"/>
                <w:szCs w:val="19"/>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80" w:type="dxa"/>
            <w:vAlign w:val="bottom"/>
          </w:tcPr>
          <w:p>
            <w:pPr>
              <w:spacing w:after="0"/>
              <w:rPr>
                <w:sz w:val="19"/>
                <w:szCs w:val="19"/>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59"/>
        </w:trPr>
        <w:tc>
          <w:tcPr>
            <w:tcW w:w="4720" w:type="dxa"/>
            <w:vAlign w:val="bottom"/>
          </w:tcPr>
          <w:p>
            <w:pPr>
              <w:spacing w:after="0"/>
              <w:rPr>
                <w:sz w:val="22"/>
                <w:szCs w:val="22"/>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3,824,774</w:t>
            </w:r>
          </w:p>
        </w:tc>
        <w:tc>
          <w:tcPr>
            <w:tcW w:w="16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841,487</w:t>
            </w:r>
          </w:p>
        </w:tc>
        <w:tc>
          <w:tcPr>
            <w:tcW w:w="16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34.95</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618,169</w:t>
            </w: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37.76</w:t>
            </w: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(316,192)</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48.57</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(136,123)</w:t>
            </w: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(21,201)</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212.91</w:t>
            </w:r>
          </w:p>
        </w:tc>
      </w:tr>
      <w:tr>
        <w:trPr>
          <w:trHeight w:val="27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3,768,642</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1,438,455</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 (“ESPP”):</w:t>
      </w:r>
    </w:p>
    <w:p>
      <w:pPr>
        <w:spacing w:after="0" w:line="292"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an ESPP effective upon the consummation of the IPO. As of March 31, 2026, a total of 5,125,666 shares were reserved for issuance under this plan.</w:t>
      </w:r>
    </w:p>
    <w:p>
      <w:pPr>
        <w:spacing w:after="0" w:line="203"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ESPP is implemented through an offering every six months. According to the ESPP, eligible employees may use the lesser of either up to 15% of their salaries or $15,000 per participant, to purchase common stock for every six month plan. The price of an ordinary share purchased under the ESPP is equal to 85% of the lower of the fair market value of the ordinary share on the subscription date of each offering period or on the purchase date.</w:t>
      </w:r>
    </w:p>
    <w:p>
      <w:pPr>
        <w:spacing w:after="0" w:line="23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2,793,819 shares of common stock have been purchased under the ESPP.</w:t>
      </w:r>
    </w:p>
    <w:p>
      <w:pPr>
        <w:spacing w:after="0" w:line="29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2,331,847 shares of common stock were available for future issuance under the ESPP.</w:t>
      </w:r>
    </w:p>
    <w:p>
      <w:pPr>
        <w:spacing w:after="0" w:line="279" w:lineRule="exact"/>
        <w:rPr>
          <w:rFonts w:ascii="Times New Roman" w:cs="Times New Roman" w:eastAsia="Times New Roman" w:hAnsi="Times New Roman"/>
          <w:sz w:val="18"/>
          <w:szCs w:val="18"/>
          <w:color w:val="auto"/>
        </w:rPr>
      </w:pPr>
    </w:p>
    <w:p>
      <w:pPr>
        <w:ind w:left="66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718, “Compensation – Stock Compensation,” the ESPP is compensatory and, as such, results in recognition of compensation cost.</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w:t>
      </w:r>
    </w:p>
    <w:p>
      <w:pPr>
        <w:spacing w:after="0" w:line="292"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stock-based compensation expenses related to all stock-based awards in the condensed consolidated statement of loss for the three months ended March 31, 2026 and 2025, as follows: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6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7"/>
        </w:trPr>
        <w:tc>
          <w:tcPr>
            <w:tcW w:w="68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4,372</w:t>
            </w:r>
          </w:p>
        </w:tc>
      </w:tr>
      <w:tr>
        <w:trPr>
          <w:trHeight w:val="23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15,911</w:t>
            </w:r>
          </w:p>
        </w:tc>
      </w:tr>
      <w:tr>
        <w:trPr>
          <w:trHeight w:val="229"/>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4,742</w:t>
            </w:r>
          </w:p>
        </w:tc>
      </w:tr>
      <w:tr>
        <w:trPr>
          <w:trHeight w:val="236"/>
        </w:trPr>
        <w:tc>
          <w:tcPr>
            <w:tcW w:w="6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31,426</w:t>
            </w:r>
          </w:p>
        </w:tc>
      </w:tr>
      <w:tr>
        <w:trPr>
          <w:trHeight w:val="20"/>
        </w:trPr>
        <w:tc>
          <w:tcPr>
            <w:tcW w:w="6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capitalized:</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646</w:t>
            </w:r>
          </w:p>
        </w:tc>
      </w:tr>
      <w:tr>
        <w:trPr>
          <w:trHeight w:val="23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w:t>
            </w:r>
          </w:p>
        </w:tc>
      </w:tr>
      <w:tr>
        <w:trPr>
          <w:trHeight w:val="270"/>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For the three months ended March 31, 2026 and 2025, no amounts were recorded in regard to tax benefits associated with share-based compensation.</w:t>
      </w:r>
    </w:p>
    <w:p>
      <w:pPr>
        <w:spacing w:after="0" w:line="203" w:lineRule="exact"/>
        <w:rPr>
          <w:sz w:val="20"/>
          <w:szCs w:val="20"/>
          <w:color w:val="auto"/>
        </w:rPr>
      </w:pPr>
    </w:p>
    <w:p>
      <w:pPr>
        <w:jc w:val="both"/>
        <w:ind w:left="660"/>
        <w:spacing w:after="0" w:line="274" w:lineRule="auto"/>
        <w:rPr>
          <w:sz w:val="20"/>
          <w:szCs w:val="20"/>
          <w:color w:val="auto"/>
        </w:rPr>
      </w:pPr>
      <w:r>
        <w:rPr>
          <w:rFonts w:ascii="Times New Roman" w:cs="Times New Roman" w:eastAsia="Times New Roman" w:hAnsi="Times New Roman"/>
          <w:sz w:val="18"/>
          <w:szCs w:val="18"/>
          <w:color w:val="auto"/>
        </w:rPr>
        <w:t>As of March 31, 2026, there were total unrecognized compensation expenses in the amount of $139,951 related to non-vested equity-based compensation arrangements granted. These expenses are expected to be recognized during the period from April 1, 2026 through February 28, 2030.</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356"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29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92" w:lineRule="exact"/>
        <w:rPr>
          <w:rFonts w:ascii="Times New Roman" w:cs="Times New Roman" w:eastAsia="Times New Roman" w:hAnsi="Times New Roman"/>
          <w:sz w:val="18"/>
          <w:szCs w:val="18"/>
          <w:color w:val="auto"/>
        </w:rPr>
      </w:pPr>
    </w:p>
    <w:p>
      <w:pPr>
        <w:ind w:left="66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contingent liabilities exist regarding guarantees in the amounts of $29,883, $5,063 and $1,651 for each of securing projects with customers and vendors, office rent lease agreements, and other transactions, respectively.</w:t>
      </w:r>
    </w:p>
    <w:p>
      <w:pPr>
        <w:spacing w:after="0" w:line="2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purchase obligations:</w:t>
      </w:r>
    </w:p>
    <w:p>
      <w:pPr>
        <w:spacing w:after="0" w:line="292"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contractual obligations to purchase goods and raw materials. These contractual purchase obligations relate to inventories and other purchase orders, which cannot be canceled without penalty. In addition, the Company acquires raw materials or other goods and services, including product components, by issuing authorizations to its suppliers to purchase materials based on its projected demand and manufacturing needs.</w:t>
      </w:r>
    </w:p>
    <w:p>
      <w:pPr>
        <w:spacing w:after="0" w:line="239"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Company had non-cancellable purchase obligations totaling approximately $297,161, out of which the Company recorded a provision for loss in the amount of $24,324.</w:t>
      </w:r>
    </w:p>
    <w:p>
      <w:pPr>
        <w:spacing w:after="0" w:line="203" w:lineRule="exact"/>
        <w:rPr>
          <w:rFonts w:ascii="Times New Roman" w:cs="Times New Roman" w:eastAsia="Times New Roman" w:hAnsi="Times New Roman"/>
          <w:sz w:val="18"/>
          <w:szCs w:val="18"/>
          <w:color w:val="auto"/>
        </w:rPr>
      </w:pPr>
    </w:p>
    <w:p>
      <w:pPr>
        <w:jc w:val="both"/>
        <w:ind w:left="6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Company had contractual obligations for capital expenditures totaling approximately $17,455. These commitments reflect purchases of automated assembly lines and other machinery related to the Company’s general manufacturing process and are primarily for its new manufacturing sites in the U.S.</w:t>
      </w:r>
    </w:p>
    <w:p>
      <w:pPr>
        <w:spacing w:after="0" w:line="2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w:t>
      </w:r>
    </w:p>
    <w:p>
      <w:pPr>
        <w:spacing w:after="0" w:line="292"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may be involved in various claims and legal proceedings. The Company reviews the status of each matter and assesses its potential financial exposure. If the potential loss from any claim or legal proceeding is considered probable and the amount can be reasonably estimated, the Company accrues a liability for the estimated loss. These accruals are reviewed at least quarterly and adjusted to reflect the impact of negotiations, settlements, rulings, advice of legal counsel and other information and events pertaining to a particular matter.</w:t>
      </w:r>
    </w:p>
    <w:p>
      <w:pPr>
        <w:spacing w:after="0" w:line="23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Company recorded an accrual of $68,199 for legal claims which was recorded under accrued expenses and other current liabilities and recognized a related insurance receivable of $55,000.</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2023, Daphne Shen, a purported stockholder of the Company, filed a proposed class action complaint for violation of federal securities laws, individually and putatively on behalf of all others similarly situated, in the U.S. District Court of the Southern District of New York against the Company, the Company’s former CEO and the Company’s former CFO. The complaint alleges violations of Section 10(b) and Rule 10b-5 of the Exchange Act, as well as violations of Section 20(a) of the Exchange Act against the individual defendants. The complaint seeks class certification, damages, interest, attorneys’ fees, and other relief. On December 13, 2023, Javier Cascallar filed a similar proposed class action. On January 2, 2024, six purported lead plaintiffs filed motions in the Shen litigation seeking to consolidate the Cascallar and Shen litigations and appoint lead plaintiffs and lead counsel pursuant to the procedures of the Private Securities Litigation Reform Act of 1995.</w:t>
      </w:r>
    </w:p>
    <w:p>
      <w:pPr>
        <w:spacing w:after="0" w:line="243" w:lineRule="exact"/>
        <w:rPr>
          <w:rFonts w:ascii="Times New Roman" w:cs="Times New Roman" w:eastAsia="Times New Roman" w:hAnsi="Times New Roman"/>
          <w:sz w:val="18"/>
          <w:szCs w:val="18"/>
          <w:color w:val="auto"/>
        </w:rPr>
      </w:pPr>
    </w:p>
    <w:p>
      <w:pPr>
        <w:jc w:val="both"/>
        <w:ind w:left="6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2024, the Court consolidated the two actions (the “Consolidated Securities Litigation”), and appointed co-lead plaintiffs (the “Plaintiffs”) and lead counsel. On April 22, 2024, the Plaintiffs filed an amended complaint adding two additional officers. The amended complaint made substantially similar allegations and claims. Defendants moved to dismiss the amended complaint on July 15, 2024 (the "Motion"), and the motion was fully briefed as of September 17, 2024. On December 4, 2024, the Court issued an order granting in part the Motion, dismissing all allegations except those relating to two purported misstatements, characterizing inventory levels as low. The Court allowed the Plaintiffs to again amend their complaint, and they filed a second amended complaint (the “Second Amended Complaint”) on January 3, 2025. On February 10, 2025, Defendants moved to dismiss the Second Amended Complaint insofar as it attempts to resurrect any of the allegations dismissed in the Court’s December 4, 2024 order. On April 7, 2025, the Court issued an order granting in part the second motion to dismiss, dismissing all allegations except those characterizing inventory levels as “low” and those relating to demand in Europe. Lead Plaintiffs filed a motion for class certification on October 17, 2025, and Defendants filed their opposition on January 16, 2026. Plaintiffs’ reply was due on February 20, 2026. The parties held a mediation on February 5, 2026 but no resolution was reached at that time. On March 20, 2026, the mediator made a double-blind settlement recommendation of $55,000, which was accepted by both parties on March 26, 2026. On April 21, 2026, Lead Plaintiffs’ counsel submitted a motion for preliminary approval of the settlement. On May 1, 2026, the Court preliminarily approved the settlement and scheduled a settlement hearing for August 24, 2026. Subject to final court approval, SolarEdge expects that its insurance carriers will pay the $55,000 settlement amount (see Note 20).</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6" w:name="page27"/>
    <w:bookmarkEnd w:id="26"/>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On March 15, 2024, Abdul Hirani filed a purported derivative complaint (the “Hirani Complaint”) in the U.S. District Court for the Southern District of New York against certain current and former SolarEdge executive officers and board members, including Zvi Lando, Ronen Faier, Nadav Zafrir, Betsy Atkins, Marcel Gani, Dana Gross, Dirk Hoke, Avery More, and Tal Payne. The Hirani Complaint makes largely the same allegations as those in the Consolidated Securities Litigation. The Hirani Complaint brings claims for (i) breach of fiduciary duty, (ii) aiding and abetting breach of fiduciary duty, (iii) unjust enrichment, (iv) waste of corporate assets, and (v) securities fraud under Section 10(b) of the Exchange Act. The complaint seeks compensatory and punitive damages, interest, attorneys’ fees, and other relief.</w:t>
      </w:r>
    </w:p>
    <w:p>
      <w:pPr>
        <w:spacing w:after="0" w:line="2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June 10, 2024, Jonathan Blaufarb filed a second purported derivative complaint (the “Blaufarb Complaint”) in the U.S. District Court for the Southern District of New York against the same defendants as those named in the Hirani Complaint as well as Lior Danziger and J.B. Lowe. The Blaufarb Complaint makes largely the same allegations as those in the complaint in the Consolidated Securities Litigation and seeks declaratory relief, corporate governance reforms, damages, restitution, attorneys’ fees, and other relief. It also pleads the same counts as those in the Hirani Complaint, as well as additional counts for abuse of control and gross mismanagement. Defendants accepted service of the Hirani and Blaufarb complaints via stipulation that was so-ordered on July 12, 2024, and the two cases were consolidated with the Hirani matter designated as the lead case (together, the “Consolidated Derivative Actions”). On September 9, 2024 the parties agreed to stay the Hirani and Blaufarb actions pending a decision on the motion to dismiss in the Consolidated Securities Litigation. Following the decision granting in part and denying in part the motion to dismiss the Second Amended Complaint in the Consolidated Securities Litigation, the parties entered into a new stipulation on June 20, 2025, staying this consolidated derivative action through the close of fact discovery in the Consolidated Securities Litigation.</w:t>
      </w: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7, 2024, Edwin Isaac filed a purported derivative complaint (the “Isaac Complaint”) in the U.S. District Court for the District of Delaware against the same defendants as those named in the Consolidated Derivative Actions. The Isaac Complaint makes largely the same allegations as those in the Consolidated Securities Litigation. It also pleads the similar counts to those in the Consolidated Securities Litigation, including (i) breach of fiduciary duty, (ii) contribution, (iii) violation of Section 14(a) of the Exchange Act and SEC Rule 14a-9, (iv) unjust enrichment, (v) waste of corporate assets, and (vi) aiding and abetting breach of fiduciary duty. The complaint seeks declaratory relief, damages, interest, unspecified equitable relief, attorneys’ fees, and other relief. The parties filed a stipulation on June 30, 2025, agreeing to stay the Isaac matter through the close of fact discovery in the Consolidated Securities Litigation.</w:t>
      </w:r>
    </w:p>
    <w:p>
      <w:pPr>
        <w:spacing w:after="0" w:line="2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On May 22, 2025, Mike Maddox, a purported shareholder, filed a derivative complaint (the “Maddox Complaint”) in the U.S. district Court for the Southern District of New York against the same Defendants as those named in the earlier-filed derivative actions. The Maddox Complaint makes largely the same allegations as those in the Consolidated Securities Litigation and the other derivative actions. It also pleads similar counts to those in the other derivative actions, including (i) breach of fiduciary duty, (ii) gross mismanagement, (iii) waste of corporate assets, (iv) unjust enrichment, and (v) violation of Section 14(a) of the Exchange Act. The parties filed a stipulation on July 21, 2025, agreeing to stay the Maddox Complaint through the close of fact discovery in the Consolidated Securities Litigation.</w:t>
      </w:r>
    </w:p>
    <w:p>
      <w:pPr>
        <w:spacing w:after="0" w:line="16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6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18"/>
          <w:szCs w:val="18"/>
          <w:color w:val="auto"/>
        </w:rPr>
        <w:t>On September 9, 2025, Jerald F. Chauncey, Jr. filed a complaint (the “Chauncey Complaint”) in the Delaware Court of Chancery, against the same defendants as those named in the other derivative actions. The Chauncey Complaint makes largely the same allegations as those in the Consolidated Securities Litigation and other derivative actions. It also pleads similar counts to those in other derivative actions, including (i) breach of fiduciary duty, (ii) unjust enrichment, and (iii) waste of corporate assets. The parties filed a stipulation on October 7, 2025, agreeing to stay the Chauncey matter through the close of fact discovery in the Consolidated Securities Litigation.</w:t>
      </w:r>
    </w:p>
    <w:p>
      <w:pPr>
        <w:spacing w:after="0" w:line="24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January 13, 2025, Stellantis Europe S.p.A. (“Stellantis”) submitted an application for injunctive relief, to the Court of Turin, Italy, claiming that SolarEdge e-Mobility was allegedly in breach of contract. The application for injunctive relief is aimed at obtaining the following interim measures: (i) order the Company to resume supply of spare parts and technical assistance activities in favor of Stellantis; and (ii) to order the Company to pay a penalty of 100,000 Euro for each day of delay in fulfilling the order above. At a hearing on February 25, 2025 the parties discussed the case. On May 8, 2025, the court denied Stellantis’ request for injunction and on July 2, 2025 Stellantis appealed. A hearing on the appeal was held on March 13, 2026, and the Company is currently awaiting the court’s decision on the appeal. The Company disputes the allegations of wrongdoing. On February 11, 2026, the Company completed the sale of SolarEdge e-Mobility.</w:t>
      </w:r>
    </w:p>
    <w:p>
      <w:pPr>
        <w:spacing w:after="0" w:line="23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September 15, 2025, Ampt, LLC (“Ampt”) filed a lawsuit in the District of Delaware seeking to enforce an agreement between Ampt and the Company. The Company had invoked a force majeure clause in relation to its performance of the agreement, valued at $54 million over a period of five years, in October 2023. The Company has filed an answer on December 1, 2025, and the court has ordered a disclosure schedule to begin in January 2026. The case is scheduled for trial for November 1, 2027. On January 5, 2026, the parties met for mediation, which has been inconclusive. Fact discovery commenced during the first quarter of 2026. The Company disputes the allegations and intends to vigorously defend against them.</w:t>
      </w:r>
    </w:p>
    <w:p>
      <w:pPr>
        <w:spacing w:after="0" w:line="244"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 contingencies:</w:t>
      </w:r>
    </w:p>
    <w:p>
      <w:pPr>
        <w:spacing w:after="0" w:line="292"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20, 2026, the Supreme Court of the United States (the “U.S. Supreme Court”) issued a decision invalidating certain tariffs imposed under the International Emergency Economic Powers Act ("IEEPA"). Following this ruling, the U.S. Court of International Trade issued an order directing U.S. Customs and Border Protection (“CBP”) to establish a process for the submission and review of refund claims related to affected IEEPA tariffs. On April 20, 2026, CBP launched the Consolidated Administration and Processing of Entries (“CAPE”), an online portal through which companies may submit IEEPA refund requests. In addition, following the U.S. Supreme Court’s decision, the current U.S. Presidential Administration announced the imposition of new global tariffs of up to 15% under Section 122 of the Trade Act of 1974.</w:t>
      </w:r>
    </w:p>
    <w:p>
      <w:pPr>
        <w:spacing w:after="0" w:line="243"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eligible to submit and receive tariff refund requests. As the CBP's approval, timing and value of such refunds remain contingent and uncertain, the Company has not recorded any adjustments in its condensed consolidated financial statements for the three months ended March 31, 2026 and will not recognize such amounts until they are realized or realizable.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gain (loss), net of taxes:</w:t>
      </w:r>
    </w:p>
    <w:p>
      <w:pPr>
        <w:spacing w:after="0" w:line="28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Unrealized gains (losses) on available-for-sale marketable securities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Unrealized gains (losses) on cash flow hedges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on revaluation</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(748)</w:t>
            </w:r>
          </w:p>
        </w:tc>
      </w:tr>
      <w:tr>
        <w:trPr>
          <w:trHeight w:val="23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on reclassification</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Gains reclassified from accumulated other comprehensive income (loss)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(1,146)</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194"/>
        </w:trPr>
        <w:tc>
          <w:tcPr>
            <w:tcW w:w="8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 translation adjustments on intra-entity transactions that are of a long-term investment in</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(78,714)</w:t>
            </w: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r>
        <w:trPr>
          <w:trHeight w:val="236"/>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20"/>
                <w:szCs w:val="20"/>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(79,642)</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Unrealized gains (losses) on foreign currency translation</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w:t>
            </w: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3,466</w:t>
            </w:r>
          </w:p>
        </w:tc>
      </w:tr>
      <w:tr>
        <w:trPr>
          <w:trHeight w:val="237"/>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20"/>
                <w:szCs w:val="20"/>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4,826</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(74,604)</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reclassifications from “Accumulated other comprehensive income (loss)” into the statement of loss: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Details about Accumulated Other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Affected Line Item in the</w:t>
            </w:r>
          </w:p>
        </w:tc>
        <w:tc>
          <w:tcPr>
            <w:tcW w:w="0" w:type="dxa"/>
            <w:vAlign w:val="bottom"/>
          </w:tcPr>
          <w:p>
            <w:pPr>
              <w:spacing w:after="0"/>
              <w:rPr>
                <w:sz w:val="1"/>
                <w:szCs w:val="1"/>
                <w:color w:val="auto"/>
              </w:rPr>
            </w:pPr>
          </w:p>
        </w:tc>
      </w:tr>
      <w:tr>
        <w:trPr>
          <w:trHeight w:val="25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Statement of Loss</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78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7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78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7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0" w:type="dxa"/>
            <w:vAlign w:val="bottom"/>
          </w:tcPr>
          <w:p>
            <w:pPr>
              <w:spacing w:after="0"/>
              <w:rPr>
                <w:sz w:val="1"/>
                <w:szCs w:val="1"/>
                <w:color w:val="auto"/>
              </w:rPr>
            </w:pPr>
          </w:p>
        </w:tc>
      </w:tr>
      <w:tr>
        <w:trPr>
          <w:trHeight w:val="27"/>
        </w:trPr>
        <w:tc>
          <w:tcPr>
            <w:tcW w:w="4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w:t>
            </w:r>
          </w:p>
        </w:tc>
        <w:tc>
          <w:tcPr>
            <w:tcW w:w="78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748</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before income taxes</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7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0" w:type="dxa"/>
            <w:vAlign w:val="bottom"/>
          </w:tcPr>
          <w:p>
            <w:pPr>
              <w:spacing w:after="0"/>
              <w:rPr>
                <w:sz w:val="1"/>
                <w:szCs w:val="1"/>
                <w:color w:val="auto"/>
              </w:rPr>
            </w:pPr>
          </w:p>
        </w:tc>
      </w:tr>
      <w:tr>
        <w:trPr>
          <w:trHeight w:val="27"/>
        </w:trPr>
        <w:tc>
          <w:tcPr>
            <w:tcW w:w="4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78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net of income taxes</w:t>
            </w:r>
          </w:p>
        </w:tc>
        <w:tc>
          <w:tcPr>
            <w:tcW w:w="0" w:type="dxa"/>
            <w:vAlign w:val="bottom"/>
          </w:tcPr>
          <w:p>
            <w:pPr>
              <w:spacing w:after="0"/>
              <w:rPr>
                <w:sz w:val="1"/>
                <w:szCs w:val="1"/>
                <w:color w:val="auto"/>
              </w:rPr>
            </w:pPr>
          </w:p>
        </w:tc>
      </w:tr>
      <w:tr>
        <w:trPr>
          <w:trHeight w:val="21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substantial completion of liquidation of</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foreign subsidiaries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 on intra-entity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(12,065)</w:t>
            </w:r>
          </w:p>
        </w:tc>
        <w:tc>
          <w:tcPr>
            <w:tcW w:w="780" w:type="dxa"/>
            <w:vAlign w:val="bottom"/>
          </w:tcPr>
          <w:p>
            <w:pPr>
              <w:spacing w:after="0"/>
              <w:rPr>
                <w:sz w:val="18"/>
                <w:szCs w:val="18"/>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that are of a long-term investment in nature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4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 net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(7,398)</w:t>
            </w:r>
          </w:p>
        </w:tc>
        <w:tc>
          <w:tcPr>
            <w:tcW w:w="7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0" w:type="dxa"/>
            <w:vAlign w:val="bottom"/>
          </w:tcPr>
          <w:p>
            <w:pPr>
              <w:spacing w:after="0"/>
              <w:rPr>
                <w:sz w:val="1"/>
                <w:szCs w:val="1"/>
                <w:color w:val="auto"/>
              </w:rPr>
            </w:pPr>
          </w:p>
        </w:tc>
      </w:tr>
      <w:tr>
        <w:trPr>
          <w:trHeight w:val="27"/>
        </w:trPr>
        <w:tc>
          <w:tcPr>
            <w:tcW w:w="4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(19,463)</w:t>
            </w:r>
          </w:p>
        </w:tc>
        <w:tc>
          <w:tcPr>
            <w:tcW w:w="78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OTHER OPERATING EXPENSE (INCOME),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expenses (income) recorded in the three months ended March 31, 2026, and 2025: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business disposition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(3,575)</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operating expense (income),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For the three months ended March 31, 2026, the Company reported income taxes at an effective tax rate of negative 2.3%, including discrete items, compared to the three months ended March 31, 2025 where the Company reported income taxes at an effective tax rate of negative 6.2%.</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negative effective tax rate in the three months ended March 31, 2026 resulted primarily from the valuation allowance on current losses and capital losses, coupled with profits in certain jurisdictions. The negative effective tax rate in the three months ended March 31, 2025 was mainly caused by the valuation allowance on current losses, coupled with withholding taxes incurred on certain intra-group interest payments and additional tax payable as a result of the settlement with the Israeli Tax Authority for tax years 2016–2018.</w:t>
      </w:r>
    </w:p>
    <w:p>
      <w:pPr>
        <w:spacing w:after="0" w:line="2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are evaluated for future realization and reduced by a valuation allowance to the extent that the Company believes they will not be realized. The Company considers all available evidence, including historical information, long range forecast of future taxable income and evaluation of tax planning strategies. Amounts recorded for valuation allowance can result from a complex series of judgments about future events and can rely on estimates and assumptions. Based primarily on the negative evidence outweighing the positive evidence, including the Company's three year cumulative, consolidated GAAP loss, historical tax losses and the difficulty in forecasting excess tax benefits related to equity-based compensation, the Company believes there is uncertainty as to when it will be possible to utilize certain net operating losses (each an “NOL”), credit carryforwards, capital losses and other deferred tax assets. Therefore, the Company recorded a valuation allowance against the deferred tax assets for which it is more-likely-than-not they will not be realized.</w:t>
      </w:r>
    </w:p>
    <w:p>
      <w:pPr>
        <w:spacing w:after="0" w:line="23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Should the Company's operating results improve and projections show continued utilization of the tax attributes, the Company would consider that as significant positive evidence and future reassessment may result in the determination that all or a portion of the valuation allowance is no longer required. If this were to occur, any reversal of the valuation allowance would result in a corresponding non-cash income tax benefit, thereby increasing total deferred tax assets.</w:t>
      </w:r>
    </w:p>
    <w:p>
      <w:pPr>
        <w:spacing w:after="0" w:line="2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One Big Beautiful Bill Act, or H.R.1 was enacted into law, making permanent key elements of the Tax Cuts and Jobs Act, including 100 percent bonus depreciation, domestic research cost expensing, increases the AMIC credit rate to 35 percent from 25 percent for qualifying assets and makes modifications to the international tax framework. The H.R.1 includes multiple effective dates, with certain provisions effective in 2025 and others phased in through 2027. Given the Company’s current loss position for income tax purposes, the provisions of H.R.1 did not have an impact on the current period. The Company continues to evaluate the provisions of H.R.1 that become effective in future years.</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October 1, 2025, the Governor of California signed Senate Bill 302 (“SB 302”) into law. SB 302 provides a gross income exclusion for taxpayers that either elect to receive direct payments from the Internal Revenue Service or receive payment from transfer of certain federal tax credits beginning tax years on or after January 1, 2026, and before January 1, 2031.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LOSS PER SHARE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loss per share (“EPS”):</w:t>
      </w:r>
    </w:p>
    <w:p>
      <w:pPr>
        <w:spacing w:after="0" w:line="28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09"/>
        </w:trPr>
        <w:tc>
          <w:tcPr>
            <w:tcW w:w="86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Basic and diluted EPS: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1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70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7"/>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(98,523)</w:t>
            </w:r>
          </w:p>
        </w:tc>
      </w:tr>
      <w:tr>
        <w:trPr>
          <w:trHeight w:val="229"/>
        </w:trPr>
        <w:tc>
          <w:tcPr>
            <w:tcW w:w="86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70"/>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used in computing net loss per share of common stock, basic and diluted</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60,517,248</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58,121,502</w:t>
            </w:r>
          </w:p>
        </w:tc>
      </w:tr>
      <w:tr>
        <w:trPr>
          <w:trHeight w:val="169"/>
        </w:trPr>
        <w:tc>
          <w:tcPr>
            <w:tcW w:w="868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Loss per share:</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34"/>
        </w:trPr>
        <w:tc>
          <w:tcPr>
            <w:tcW w:w="110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1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due to their antidilutive nature: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80" w:type="dxa"/>
            <w:vAlign w:val="bottom"/>
          </w:tcPr>
          <w:p>
            <w:pPr>
              <w:spacing w:after="0"/>
              <w:rPr>
                <w:sz w:val="21"/>
                <w:szCs w:val="21"/>
                <w:color w:val="auto"/>
              </w:rPr>
            </w:pPr>
          </w:p>
        </w:tc>
        <w:tc>
          <w:tcPr>
            <w:tcW w:w="16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4,547,263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2,191,912</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due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1,249,560</w:t>
            </w:r>
          </w:p>
        </w:tc>
      </w:tr>
      <w:tr>
        <w:trPr>
          <w:trHeight w:val="236"/>
        </w:trPr>
        <w:tc>
          <w:tcPr>
            <w:tcW w:w="868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Notes due 2029</w:t>
            </w:r>
            <w:r>
              <w:rPr>
                <w:rFonts w:ascii="Times New Roman" w:cs="Times New Roman" w:eastAsia="Times New Roman" w:hAnsi="Times New Roman"/>
                <w:sz w:val="26"/>
                <w:szCs w:val="26"/>
                <w:color w:val="auto"/>
                <w:vertAlign w:val="superscript"/>
              </w:rPr>
              <w:t>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9,819,347</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9,819,347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excluded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14,366,610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13,260,819</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8"/>
        <w:spacing w:after="0" w:line="233" w:lineRule="auto"/>
        <w:tabs>
          <w:tab w:leader="none" w:pos="125"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conjunction with the issuance of the Notes 2029, in June 2024, the Company used approximately $25,230 of its net proceeds from this offering to pay the cost of the capped call transactions. In July 2024, following a subsequent issuance of the Notes 2029, $3,111 of net proceeds were used to pay the cost of capped call transactions. In accordance with ASC 260 "Earning Per Share", anti dilutive contracts, such as purchased call options, are excluded from the computation of diluted net income (loss) per share. Accordingly, any potential impact resulting from capped call transaction is excluded from the Company's computation of diluted net income (loss) per share.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as one operating segment that constitutes consolidated results.</w:t>
      </w: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who is the chief operating decision maker (the “CODM”), makes resource allocation decisions and assesses performance based on financial information presented on a consolidated net loss, accompanied by disaggregated information about significant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does not regularly review asset information and, therefore, the Company does not report asset information.</w:t>
      </w:r>
    </w:p>
    <w:p>
      <w:pPr>
        <w:spacing w:after="0" w:line="293"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The segment includes the design, development, manufacturing, and sales of an intelligent inverter solution designed to maximize power generation at the individual PV module level and batteries. The segment solution consists mainly of the Company’s power optimizers, inverters, batteries and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monitoring platform.</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 information on reportable loss for the period presented: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7"/>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219,480</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 costs of goods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186,197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130,929</w:t>
            </w:r>
          </w:p>
        </w:tc>
      </w:tr>
      <w:tr>
        <w:trPr>
          <w:trHeight w:val="230"/>
        </w:trPr>
        <w:tc>
          <w:tcPr>
            <w:tcW w:w="8680" w:type="dxa"/>
            <w:vAlign w:val="bottom"/>
          </w:tcPr>
          <w:p>
            <w:pPr>
              <w:ind w:left="120"/>
              <w:spacing w:after="0" w:line="230" w:lineRule="exact"/>
              <w:rPr>
                <w:sz w:val="20"/>
                <w:szCs w:val="20"/>
                <w:color w:val="auto"/>
              </w:rPr>
            </w:pPr>
            <w:r>
              <w:rPr>
                <w:rFonts w:ascii="Times New Roman" w:cs="Times New Roman" w:eastAsia="Times New Roman" w:hAnsi="Times New Roman"/>
                <w:sz w:val="16"/>
                <w:szCs w:val="16"/>
                <w:color w:val="auto"/>
              </w:rPr>
              <w:t>Salaries</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111,305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122,445</w:t>
            </w: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costs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1,919</w:t>
            </w:r>
          </w:p>
        </w:tc>
      </w:tr>
      <w:tr>
        <w:trPr>
          <w:trHeight w:val="23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Shipment and logistics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11,724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11,134</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Warranty</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(10,388)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13,103</w:t>
            </w: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Directly related overhead costs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14,825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11,688</w:t>
            </w:r>
          </w:p>
        </w:tc>
      </w:tr>
      <w:tr>
        <w:trPr>
          <w:trHeight w:val="230"/>
        </w:trPr>
        <w:tc>
          <w:tcPr>
            <w:tcW w:w="8680" w:type="dxa"/>
            <w:vAlign w:val="bottom"/>
          </w:tcPr>
          <w:p>
            <w:pPr>
              <w:ind w:left="120"/>
              <w:spacing w:after="0" w:line="23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37,298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31,286</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(10,068)</w:t>
            </w:r>
          </w:p>
        </w:tc>
      </w:tr>
      <w:tr>
        <w:trPr>
          <w:trHeight w:val="23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5,726</w:t>
            </w: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(98,523)</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Including stock-based compensation expenses.</w:t>
      </w:r>
    </w:p>
    <w:p>
      <w:pPr>
        <w:spacing w:after="0" w:line="11"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indirect costs of goods, consultants and sub-contractors, marketing, bad debt, impairments and dispositions.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geographical location: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1"/>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132,104</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113,511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52,502</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markets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38,896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34,874</w:t>
            </w:r>
          </w:p>
        </w:tc>
      </w:tr>
      <w:tr>
        <w:trPr>
          <w:trHeight w:val="22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310,501</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219,480</w:t>
            </w:r>
          </w:p>
        </w:tc>
        <w:tc>
          <w:tcPr>
            <w:tcW w:w="100" w:type="dxa"/>
            <w:vAlign w:val="bottom"/>
            <w:tcBorders>
              <w:top w:val="single" w:sz="8" w:color="CCEEFF"/>
            </w:tcBorders>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type:</w:t>
      </w:r>
    </w:p>
    <w:p>
      <w:pPr>
        <w:spacing w:after="0" w:line="28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optimizers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92,998</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Batteries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41,927</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Inverters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63,270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71,044</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storage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7,098</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18,079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6,222</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219,480</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color w:val="auto"/>
        </w:rPr>
        <w:t>SOLAREDGE TECHNOLOGIES, INC.</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20:</w:t>
      </w:r>
      <w:r>
        <w:rPr>
          <w:sz w:val="20"/>
          <w:szCs w:val="20"/>
          <w:color w:val="auto"/>
        </w:rPr>
        <w:tab/>
      </w:r>
      <w:r>
        <w:rPr>
          <w:rFonts w:ascii="Times New Roman" w:cs="Times New Roman" w:eastAsia="Times New Roman" w:hAnsi="Times New Roman"/>
          <w:sz w:val="18"/>
          <w:szCs w:val="18"/>
          <w:b w:val="1"/>
          <w:bCs w:val="1"/>
          <w:color w:val="auto"/>
        </w:rPr>
        <w:t>SUBSEQUENT EVENTS</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21, 2026, the Company reached a settlement in principle to resolve the Consolidated Securities Litigation. On May 1, 2026, the Court preliminarily approved the settlement and scheduled a settlement hearing for August 24, 2026. Under the terms of the Consolidated Securities Litigation Settlement, Company agreed to pay an aggregate amount of $55,000 to settle the claims, substantially all of which is expected to be funded by the Company’s insurance carriers, net of applicable deductibles and retention amounts. The Company expects that, as a result of available insurance coverage, the Consolidated Securities Litigation Settlement will have little to no effect on the Company’s financial position. The Company and the individual defendants deny all allegations of wrongdoing, and the settlement does not constitute any admission of liability.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SOLAREDGE TECHNOLOGIES INC. | 2026 Form 10-Q | F - </w:t>
      </w: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8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Statements contained in this Form 10-Q or statements incorporated by reference from documents we have filed with the Securities and Exchange Commission may contain forward-looking statements that are based on our management’s expectations, estimates, projections, beliefs and assumptions and on information currently available to our management. The forward-looking statements should be read in conjunction with our unaudited condensed consolidated financial statements and related notes included in Part 1, Item 1 of this report. This discussion contains certain forward-looking statements within the meaning of Section 27A of the Securities Act of 1933, as amended, and Section 21E of the Securities Exchange Act of 1934, as amended. Forward-looking statements include information concerning our possible or assumed future results of operations, business strategies, technology developments, new products and services, financing and investment plans, competitive position, backlog, industry and regulatory environment, effects of acquisitions, growth opportunities, potential future impairments, and the effects of competition. Forward-looking statements include statements that are not historical facts and can be identified by terms such as “anticipate,” “believe,” “could,” “seek,” “estimate,” “expect,” “intend,” “may,” “plan,” “potential,” “predict,” “project,” “should,” “will,” “would” or similar expressions and the negatives of those terms.</w:t>
      </w:r>
    </w:p>
    <w:p>
      <w:pPr>
        <w:spacing w:after="0" w:line="248" w:lineRule="exact"/>
        <w:rPr>
          <w:sz w:val="20"/>
          <w:szCs w:val="20"/>
          <w:color w:val="auto"/>
        </w:rPr>
      </w:pPr>
    </w:p>
    <w:p>
      <w:pPr>
        <w:jc w:val="both"/>
        <w:ind w:firstLine="730"/>
        <w:spacing w:after="0" w:line="263" w:lineRule="auto"/>
        <w:rPr>
          <w:sz w:val="20"/>
          <w:szCs w:val="20"/>
          <w:color w:val="auto"/>
        </w:rPr>
      </w:pPr>
      <w:r>
        <w:rPr>
          <w:rFonts w:ascii="Times New Roman" w:cs="Times New Roman" w:eastAsia="Times New Roman" w:hAnsi="Times New Roman"/>
          <w:sz w:val="18"/>
          <w:szCs w:val="18"/>
          <w:color w:val="auto"/>
        </w:rPr>
        <w:t>Forward-looking statements inherently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Forward-looking and other statements regarding our sustainability efforts and aspirations are not an indication that these statements are necessarily material to investors or requiring disclosure in our filing with the Securities and Exchange Commission (“SEC”). In addition, historical, current and forward-looking sustainability-related statements may be based on standards for measuring progress that are still developing, internal controls and processes that continue to evolve and assumptions that are subject to change in the future, including future rule-making. Also, forward-looking statements represent our management’s beliefs and assumptions only as of the date of this filing. Important factors that could cause actual results to differ materially from our expectations include:</w:t>
      </w:r>
    </w:p>
    <w:p>
      <w:pPr>
        <w:spacing w:after="0" w:line="25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demand for renewable energy, including solar energy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profitable in the future;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rapidly evolving and competitive nature of the solar industry; changes in tax laws, tax treaties, regulations, guidance or the interpretation of them, including the Inflation Reduction Act and the H.R.1;</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solar energy solutions, including if demand for solar energy solutions does not resume growth or grows at a slower rate than anticipated;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 our domestic and international markets, such as inflation concerns, interest rates and recessionary concerns;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and global trade environments, including the imposition and/or increase of import tariffs or other restrictive trade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price of electricity derived from the utility grid or alternative energy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supply of capital in the global financial markets in general and in the PV market specifically;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introduction of power optimizers and inverters, electric vehicle ("EV") chargers, batteries and photovoltaic (“PV”) system monitoring products by our competitors;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distributors and large installers to assist in selling our products, and the failure of these customers to perform as expected.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alternative technologies or improvements in distributed solar energy generation;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 cyclicality of the solar industry and periodic downturns;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performance problems in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geographic footprint or product and service offerings;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a small number of outside contract manufacturers and limited or single source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disruptions, and quality control problems in manufacturing;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delays, price changes, or cessation of operations or production affecting our suppliers of key components;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delivery schedules, manufacturing yields, and costs of our contract manufacturers and availability of components;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political, geopolitical conditions, and the conditions of the global energy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distributors and large installers in selling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solar industry among our customers and distributors;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new Enterprise Resource Planning ("ERP")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of our e-Mobility business, energy storage business, and PV Tracker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our global operations with a reduced work force;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expected benefits from restructuring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access to, disclosure, or theft of personal information or unauthorized access to our network or other similar cyber incidents;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attempts by third parties, our employees, or our vendors might gain unauthorized access to our network or seek to compromise our products and services;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issues related to the development and use of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executives, and our ability to retain key personnel and attract additional qualified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business operations due to the evolving conflict in Israel and other conditions in Israel that affect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that are available to us under Israeli law require us to meet various conditions and may be terminated or reduced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to enforce a judgment of a U.S. court against our officers and directors, to assert U.S. securities laws claims in Israel;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ocean transportation to timely deliver our products in a cost-effective manner;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business engagements with South Korean military bodies;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global 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evolving legal and regulatory requirements including emerging corporate social responsibility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responses to and effects of pandemics, epidemics or other health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elimination or expiration of government subsidies and economic incentives for on-grid solar electricity applications;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net metering policies may reduce demand for electricity from PV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and changing data privacy and security laws, rules, regulations and other obligations;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electric utility industry regulations and changes to regulations, may present technical, regulatory, and economic barriers to the purchase and use of PV systems;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practices and regulatory compliance of our raw material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to protect and defend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remuneration or royalties for assigned service invention rights by our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or other long-lived and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stock price;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includes a forum selection clause, which could limit our stockholders’ ability to obtain a favorable judicial forum;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financial stability, creditworthiness, and debt leverage ratio;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ability to service our debt; and</w:t>
      </w:r>
    </w:p>
    <w:p>
      <w:pPr>
        <w:spacing w:after="0" w:line="26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other factors set forth below in Part II, Item 1A under “Risk Factors” and in Part I, Item 1A under ”Risk Factors” in our Annual Report on Form 10-K/A for the year ended December 31, 2025 and in other documents we file from time to time with the SEC that disclose risks and uncertainties that may affect our business.</w:t>
      </w:r>
    </w:p>
    <w:p>
      <w:pPr>
        <w:spacing w:after="0" w:line="23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of our forward-looking statements.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are a global smart energy technology company. We develop, manufacture and sell products that address a broad range of energy market segments through our diversified product offering, including residential, commercial and large scale photovoltaic or PV, energy storage and backup solutions, EV charging capabilities, home energy management, grid services and virtual power plants. By leveraging engineering capabilities and with focusing on innovation, safety and reliability, we create smart energy solutions that power our lives and drive future progress.</w:t>
      </w:r>
    </w:p>
    <w:p>
      <w:pPr>
        <w:spacing w:after="0" w:line="22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launched or ramped up sales of several new products in the first quarter of 2026. Most notably, after we successfully launched our next-generation residential product portfolio, called SolarEdge Nexis, we continued the roll out with units installed in key markets. We also expanded our commercial energy storage business with CSS-OD, a102.4 kWh rated solution scalable up to megawatt hour size sites and with the 197 kWh battery, the CSS-OD 197, featuring a 50 kW or 100 kW battery inverter output, scalable up to 4MW hour size sites. Both solutions are suitable for outdoor or indoor installations.</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Q1 2026, we continued the transition of our inverter products to a Single SKU concept. This is a software-defined platform that significantly reduces the complexity of our business for residential and commercial applications globally. It allows us to manufacture and ship one SKU of an inverter to the residential market, and minimal SKUs for the commercial market, which can then be programmed to the desired kilowatt rating in the field. This framework simplifies forecasting, manufacturing, inventory management, logistics, service and support, for both us and our customers. It also adds flexibility for home and business owners who can boost the inverter rating if a larger system is needed in the future.</w:t>
      </w:r>
    </w:p>
    <w:p>
      <w:pPr>
        <w:spacing w:after="0" w:line="24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In light of the Inflation Reduction Act (the “IRA”) in the United States, which incentivizes the local manufacturing of renewable energy products by providing benefits to installers for the purchase and installation of products with domestic content, as well as by incentivizing local manufacturing of our products, we manufacture the vast majority of our products in the United States. This includes inverters in Texas, power optimizers and inverters in Florida, and batteries in Utah. As part of our effort to streamline and centralize, we have discontinued manufacturing in China, Mexico, and Hungary. We continue to manufacture a minor portion of our products in Israel at our Sella 1 facility. We also continue to maintain manufacturing capabilities in Vietnam.</w:t>
      </w:r>
    </w:p>
    <w:p>
      <w:pPr>
        <w:spacing w:after="0" w:line="200" w:lineRule="exact"/>
        <w:rPr>
          <w:sz w:val="20"/>
          <w:szCs w:val="20"/>
          <w:color w:val="auto"/>
        </w:rPr>
      </w:pPr>
    </w:p>
    <w:p>
      <w:pPr>
        <w:spacing w:after="0" w:line="26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the first quarter of 2026, we continued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Accordingly, we operate as one operating segment that constitutes consolidated results.</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revenues for the three months ended March 31, 2026 and March 31, 2025 were $310.5 million and $219.5 million, respectively. Gross profit as a percentage of revenue was 22.0%, for the three months ended March 31, 2026, compared to 8.0%, for the three months ended March 31, 2025. Net loss for the three months ended March 31, 2026, and March 31, 2025 was $57.4 million and $98.5 million, respectively.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Global Circumstances Influencing our Business and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Products</w:t>
      </w:r>
    </w:p>
    <w:p>
      <w:pPr>
        <w:spacing w:after="0" w:line="28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 prolonged softness in demand in the global market for PV products has continued to adversely impact the solar industry. Additionally, uncertainty related to changes in tariffs, trade policies, legislation, and guidance including from H.R.1, may contribute to growing market volatility and adversely impact customer demand for our products, pricing and our financial performance. Despite a prolonged softness in demand, we have seen an increase in sales due to more normalized channel inventory. Additionally, the attachment rate of batteries within solar installations is rising globally, which we believe has led an increase in demand for our batteries.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mpact of the H.R.1 on U.S. Tax Incentives</w:t>
      </w:r>
    </w:p>
    <w:p>
      <w:pPr>
        <w:spacing w:after="0" w:line="2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August 2022, the U.S. government enacted the IRA, which contains several provisions intended to accelerate U.S. manufacturing and adoption of clean energy such as solar, wind, hydrogen and electric vehicles and therefore had positive impacts on our business and operations along with the overall U.S. solar market. Some of the applicable provisions in the IRA that are positively impacting the market for renewable energy include the extension of 48E, the tech-neutral investment tax credit ITC, and 45Y, the tech-neutral PTC. The IRA includes incentives for residential and commercial solar customers and developers through the inclusion of ITCs for qualifying energy projects of up to 30% with a potential to gain further bonus credits such as through the utilization of Domestic Content. Section 45X of the IRA offers advanced manufacturing production credits (“AMPTCs”), that incentivize the production of eligible components within the United States. In light of such incentives, we established manufacturing capabilities in the United States starting in 2023 and further expanded such capabilities in 2024 and 2025. On October 24, 2024, the U.S. Internal Revenue Service (the “IRS”) and the U.S. Department of the Treasury (the “Treasury”) issued a Notice of Proposed Rule followed by a Final Rule that became effective on December 27, 2024, concerning the application of Section 45X which contain details concerning eligibility, qualifying and accounting for AMPTCs for components produced and sold after December 31, 2022. Of particular relevance to the Company are the tax credits that we generate as a result of rules concerning the qualification and measurement of AMPTCs to Residential Inverters, Commercial Inverters and DC-Optimized Inverter Systems that we manufacture in the United States. In 2024 and 2025, we sold a significant part of the AMPTCs that we generated from our U.S. production of eligible components.</w:t>
      </w:r>
    </w:p>
    <w:p>
      <w:pPr>
        <w:spacing w:after="0" w:line="251"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On July 4, 2025, H.R.1 was enacted into law introducing amendments to the clean energy tax credits contained in the IRA. The IRA provides energy tax credits that are significant to us and our U.S. based customers, and material changes thereto could adversely affect our revenue, our eligibility for certain tax credits, tax credits available to our customers, competitiveness and demand for our products and our financial condition.</w:t>
      </w:r>
    </w:p>
    <w:p>
      <w:pPr>
        <w:spacing w:after="0" w:line="23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H.R.1 accelerates the phase-out timeline for certain credits, eliminates the 25D individual homeowner credit, and imposes new eligibility criteria. Among other changes, H.R.1 shortens the term of the investment tax credit ("ITC") and production tax credit ("PTC") under Sections 48E and 45Y of the Code, used by customers of SolarEdge who are engaged in third-party ownership (“TPO”) models, such as residential solar leases and power purchase agreements, and commercial solar customers and developers, shortening the end date from 2034 to 2027. However, H.R.1 also includes a 12-month period in which such customers can begin construction giving them four years to complete their projects through the end of 2030. Projects begun after twelve months from enactment (July 4, 2026) of H.R.1 must be placed in service by December 31, 2027, to receive the credit. H.R.1 eliminated the individual residential tax credit under Section 25D of the Code at the end of 2025. These changes may negatively impact the eligibility of our customers and individuals to obtain tax credits, which may negatively affect the overall demand for our products.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9" w:name="page40"/>
    <w:bookmarkEnd w:id="39"/>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H.R.1 also amends the domestic content bonus credit rules for Section 48E projects. Projects commencing construction after June 16, 2025, must meet a 45% domestic content threshold, up from 40%. Since January 1, 2026, such threshold was increased to 50% and shall thereafter be further increased by 5% on an annual basis, until 2029. In addition, H.R.1 introduced new Prohibited Foreign Entities ("PFE") requirements for Sections 45X, 45Y, and 48E of the Code. Since January 1, 2026, these restrictions require threshold percentages of non-PFE components that increase over time. Currently, we manufacture components aimed at helping our customers meet their non-PFE percentage requirements. However, if the Treasury were to release new rules or guidance that impact our ability to provide components with non-PFE percentages towards their total requirement, our customers’ eligibility to qualify for certain tax credits could be impaired, which may adversely affect our revenue, gross margins, business operations and competitive position. In addition, as of January 1, 2026, in order to receive the 45X credit, manufacturers must also reach a required percentage of non-PFE content in their manufactured components. Today, we meet the required threshold. However, if the Treasury guidance relating to the calculation of non-PFE content should change in a way that would impact our ability to reach that required percentage, it could have adverse impacts on our manufacturing costs, results of operations, cash flows, gross margin, and profits.</w:t>
      </w:r>
    </w:p>
    <w:p>
      <w:pPr>
        <w:spacing w:after="0" w:line="23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On August 15, 2025, the Treasury and the IRS released Notice 2025-42, its first set of guidance for H.R.1 related to beginning of construction requirements applicable to our customers. While it removed the ability for projects over 1.5 MW to utilize the 5% safe harbor method (still allowing projects equal to or less than 1.5 MW to continue using it), but kept in place the physical work test method for all projects.</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12, 2026, the U.S Department of Treasury and IRS released IRS Notice 2026-15 providing additional guidance on H.R. 1 related to the PFE rules enacted in H.R.1. Specifically, this notice confirms the ability to rely on temporary safe harbor tables and existing safe harbor tables for the determination of material assistance from a PFE. This guidance provides answers to several compliance questions related to the Company’s 45X Credits material assistance calculations and its customers' 48E material assistance calculation among other things. While this removed some uncertainty around the Material Assistance Cost Ratio calculation, impending Notice of Proposed Rule and Final Rule on this same topic expected later this year could create challenges for the Company to meet the PFE requirements or to assist our customers in meeting them. If we are unable to meet the requirements this may adversely affect our revenue, or our customers eligibility to obtain certain tax credits, the overall demand for our products, our results of operations, cash flows, gross margins and profits.</w:t>
      </w:r>
    </w:p>
    <w:p>
      <w:pPr>
        <w:spacing w:after="0" w:line="23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To the extent that tax benefits or credits may be impacted through new regulation, issued guidance, interpretation, or by new laws passed by Congress, our business could be disadvantaged or advantaged. Reductions in AMPTCs, without an offsetting reduction in our manufacturing costs, would adversely affect our results of operations and cash flows, and have an adverse impact on our gross margin, which may include transitioning into a gross loss. We continue to monitor the benefits that may be available to us, such as the availability of tax credits for domestic manufacturers.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Trade Tariff Uncertainties</w:t>
      </w:r>
    </w:p>
    <w:p>
      <w:pPr>
        <w:spacing w:after="0" w:line="2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current trade situation is creating uncertainty about what impact new or existing tariffs, trade restrictions or retaliatory actions may have on us, the solar industry, our partners, and our customers.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20, 2026, the Supreme Court of the United States (the "U.S. Supreme Court") issued a decision invalidating certain tariffs imposed under the International Emergency Economic Powers Act ("IEEPA"). Following this ruling, the U.S. Court of International Trade issued an order directing U.S. Customs and Border Protection (“CBP”) to establish a process for the submission and review of refund claims related to affected IEEPA tariffs. On April 20, 2026, CBP launched an online portal through which companies may submit IEEPA tariff refund requests. Such claims are subject CBP review and validation, and the approval, timing, and amount of any refunds remain subject to CBP determination. As a result of this ruling, we may be eligible to receive tariff refunds. However, the realization of any such refunds remains uncertain, and there can be no assurance that any amounts will ultimately be received. In addition, following the U.S. Supreme Court’s decision, the Administration announced the imposition of new global tariffs of up to 15% under Section 122 of the Trade Act of 1974.</w:t>
      </w:r>
    </w:p>
    <w:p>
      <w:pPr>
        <w:spacing w:after="0" w:line="23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We have relocated our contract manufacturing to the United States, where we manufacture the vast bulk of our products. We continue to manufacture a minor portion of our products in Israel at our Sella 1 facility. Certain critical subcomponents for our products are still sourced from outside the United States. If not resolved, the escalation in trade tensions or the implementation of broader tariffs, trade restrictions or other retaliatory measures on our products or components or subcomponents originating from countries outside of the United States, could adversely impact our ability to source necessary components or subcomponents, manufacture products at competitive cost, or sell our products at prices customers are willing to pay. In addition, retaliatory measures from other countries on products originating from the United States for export could adversely impact our ability to sell our products at competitive prices in such countries. Certain of the subcomponents used in our products are being imported to the United States from China, which may be subject to significantly increased tariffs. In light of the aforementioned, we continue to adjust our supply chains and are exploring alternative suppliers outside of China, however, there is no assurance that we will be successful in identifying suitable alternatives, or that such alternatives, if identified, will not result in increased costs or reduced operational efficiency.</w:t>
      </w:r>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price of solar power systems increases, as well as the cost of manufacturing our products in the United States, the use of solar power systems could become less economically feasible and could further reduce our gross margins or reduce the demand of solar power systems manufactured and sold, which in turn may decrease demand for our products. Additionally, existing or future tariffs may negatively affect key partners, suppliers and manufacturers. Such outcomes could adversely affect the amount or timing of our revenue, results of operations or cash flows, and continuing uncertainty could cause sales volatility, price fluctuations or supply shortages or cause our customers to advance or delay their purchase of our products. Any such developments could materially and adversely affect our business operations, results of operations and cash flows.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Due to the War in Israel</w:t>
      </w:r>
    </w:p>
    <w:p>
      <w:pPr>
        <w:spacing w:after="0" w:line="2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Due to the war in Gaza that began on October 7, 2023, followed by additional military conflicts with Iran and Hezbollah in Lebanon during 2024, 2025 and the first quarter of 2026, some of our employees in Israel were called to active reserve duty and additional employees may be called in the future, if needed. In the three months ended March 31, 2026, approximately 6.8% of our employees in Israel were called to active reserve duty for varying periods. Despite the ceasefire framework agreed between Israel, Hamas, the United States and other countries in the region and the moderation of the hostilities involving Israel, Iran, Yemen and Lebanon, it is unknown whether any ceasefires or periods of relative calm will endure, or if other conflicts in Gaza, Lebanon, Yemen, Iran, or in the broader region will reemerge or escalate in the future.</w:t>
      </w:r>
    </w:p>
    <w:p>
      <w:pPr>
        <w:spacing w:after="0" w:line="22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While our offices and facilities are open worldwide, including in Israel, and, to date, we have not had material disruptions to our ability to manufacture and deliver products and services to customers. A reemergence of conflicts in Israel could materially adversely affect our business, financial condition, and results of operations. Due to the ongoing and evolving nature of the conflict in Israel, and the extent of these events, the adverse effect on our business operations is still unknown.</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key employees and officers are residents of Israel. If any of our facilities in Israel were to be damaged, destroyed or otherwise rendered unable to operate, whether due to war, acts of hostility, earthquakes, fire, floods, storms, other natural disasters, employee malfeasance, terrorist acts, power outages or otherwise, or if performance of our research and development is disrupted for any other reason, such an event could delay commercialization of our products, and if we choose to manufacture all or any part of them internally, jeopardize our ability to manufacture our products as promptly as our prospective customers will likely expect, or possibly at all. If we experience delays in achieving our development objectives within a timeframe that meets our prospective customers’ expectations, our business, prospects, financial results and reputation could be harmed.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Performance Measures</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managing our business and assessing financial performance, we supplement the information provided by our financial statements with other operating metrics. These operating metrics are utilized by our management to evaluate our business, measure our performance, identify trends affecting our business and formulate projections. We provide the following metrics: (i) inverters recognized as revenue; (ii) power optimizers recognized as revenue; and (iii) Megawatt hours (MWh) of batteries recognized as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80" w:type="dxa"/>
            <w:vAlign w:val="bottom"/>
          </w:tcPr>
          <w:p>
            <w:pPr>
              <w:spacing w:after="0"/>
              <w:rPr>
                <w:sz w:val="19"/>
                <w:szCs w:val="19"/>
                <w:color w:val="auto"/>
              </w:rPr>
            </w:pPr>
          </w:p>
        </w:tc>
        <w:tc>
          <w:tcPr>
            <w:tcW w:w="25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5"/>
        </w:trPr>
        <w:tc>
          <w:tcPr>
            <w:tcW w:w="8680" w:type="dxa"/>
            <w:vAlign w:val="bottom"/>
          </w:tcPr>
          <w:p>
            <w:pPr>
              <w:spacing w:after="0"/>
              <w:rPr>
                <w:sz w:val="22"/>
                <w:szCs w:val="22"/>
                <w:color w:val="auto"/>
              </w:rPr>
            </w:pPr>
          </w:p>
        </w:tc>
        <w:tc>
          <w:tcPr>
            <w:tcW w:w="1680" w:type="dxa"/>
            <w:vAlign w:val="bottom"/>
            <w:tcBorders>
              <w:bottom w:val="single" w:sz="8" w:color="auto"/>
            </w:tcBorders>
            <w:gridSpan w:val="3"/>
          </w:tcPr>
          <w:p>
            <w:pPr>
              <w:ind w:left="800"/>
              <w:spacing w:after="0" w:line="247" w:lineRule="exact"/>
              <w:rPr>
                <w:sz w:val="20"/>
                <w:szCs w:val="20"/>
                <w:color w:val="auto"/>
              </w:rPr>
            </w:pPr>
            <w:r>
              <w:rPr>
                <w:rFonts w:ascii="Times New Roman" w:cs="Times New Roman" w:eastAsia="Times New Roman" w:hAnsi="Times New Roman"/>
                <w:sz w:val="17"/>
                <w:szCs w:val="17"/>
                <w:b w:val="1"/>
                <w:bCs w:val="1"/>
                <w:color w:val="auto"/>
              </w:rPr>
              <w:t>March 31,</w:t>
            </w:r>
            <w:r>
              <w:rPr>
                <w:rFonts w:ascii="Times New Roman" w:cs="Times New Roman" w:eastAsia="Times New Roman" w:hAnsi="Times New Roman"/>
                <w:sz w:val="28"/>
                <w:szCs w:val="28"/>
                <w:b w:val="1"/>
                <w:bCs w:val="1"/>
                <w:color w:val="auto"/>
                <w:vertAlign w:val="superscript"/>
              </w:rPr>
              <w:t>1</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Inverters recognized as revenue (in thousands)</w:t>
            </w: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50.5</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Power optimizers recognized as revenue (in thousands)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2,438.4</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2,113.2</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Megawatt hours recognized as revenue - batteries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31"/>
        </w:trPr>
        <w:tc>
          <w:tcPr>
            <w:tcW w:w="8680" w:type="dxa"/>
            <w:vAlign w:val="bottom"/>
          </w:tcPr>
          <w:p>
            <w:pPr>
              <w:spacing w:after="0" w:line="231" w:lineRule="exact"/>
              <w:rPr>
                <w:sz w:val="20"/>
                <w:szCs w:val="20"/>
                <w:color w:val="auto"/>
              </w:rPr>
            </w:pPr>
            <w:r>
              <w:rPr>
                <w:rFonts w:ascii="Times New Roman" w:cs="Times New Roman" w:eastAsia="Times New Roman" w:hAnsi="Times New Roman"/>
                <w:sz w:val="22"/>
                <w:szCs w:val="22"/>
                <w:color w:val="auto"/>
              </w:rPr>
              <w:t>_______________________</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3400" w:right="1960" w:hanging="3392"/>
        <w:spacing w:after="0" w:line="334" w:lineRule="auto"/>
        <w:tabs>
          <w:tab w:leader="none" w:pos="1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Metrics may not match those disclosed in the 10-Q for March 31, 2025 due to change in performance measures since that time. SOLAREDGE TECHNOLOGIES INC. | 2026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condensed consolidated financial statements and related notes included elsewhere in this report.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selected consolidated statements of loss data for each of the periods indicated.</w:t>
      </w:r>
    </w:p>
    <w:p>
      <w:pPr>
        <w:spacing w:after="0" w:line="28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30"/>
        </w:trPr>
        <w:tc>
          <w:tcPr>
            <w:tcW w:w="38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9"/>
                <w:szCs w:val="19"/>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219,480</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201,944</w:t>
            </w:r>
          </w:p>
        </w:tc>
      </w:tr>
      <w:tr>
        <w:trPr>
          <w:trHeight w:val="23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50,155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61,997</w:t>
            </w: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27,449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31,657</w:t>
            </w: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36,422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30,183</w:t>
            </w:r>
          </w:p>
        </w:tc>
      </w:tr>
      <w:tr>
        <w:trPr>
          <w:trHeight w:val="237"/>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(3,575)</w:t>
            </w:r>
          </w:p>
        </w:tc>
      </w:tr>
      <w:tr>
        <w:trPr>
          <w:trHeight w:val="209"/>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123,324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120,262</w:t>
            </w:r>
          </w:p>
        </w:tc>
        <w:tc>
          <w:tcPr>
            <w:tcW w:w="100" w:type="dxa"/>
            <w:vAlign w:val="bottom"/>
            <w:shd w:val="clear" w:color="auto" w:fill="CCEEFF"/>
          </w:tcPr>
          <w:p>
            <w:pPr>
              <w:spacing w:after="0"/>
              <w:rPr>
                <w:sz w:val="18"/>
                <w:szCs w:val="18"/>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(55,043)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(102,726)</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10,068</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(56,080)</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(92,510)</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(1,286)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(5,726)</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38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(57,366)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(98,523)</w:t>
            </w:r>
          </w:p>
        </w:tc>
      </w:tr>
      <w:tr>
        <w:trPr>
          <w:trHeight w:val="21"/>
        </w:trPr>
        <w:tc>
          <w:tcPr>
            <w:tcW w:w="3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2025</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to 2026</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310,501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219,480</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91,021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Revenues increased by $91.0 million, or 41.5%, in the three months ended March 31, 2026 compared to the three months ended March 31, 2025, primarily due to an increase of $35.9 million related to an increase in the number of power optimizers sold; an increase of $53.0 million related to an increase in the number of batteries sold; and an increase of $19.3 million related to more ancillary solar products sold; these were partially offset by (i) a decrease of $7.8 million in revenue from inverters sold; and (ii) a decrease of $7.0 million in revenues due to the discontinuation of our Energy Storage Business.</w:t>
      </w:r>
    </w:p>
    <w:p>
      <w:pPr>
        <w:spacing w:after="0" w:line="2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outside of the U.S. comprised 49.1% of our revenues in the three months ended March 31, 2026, compared to 39.8% in the three months ended March 31, 2025.</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power optimizers recognized as revenues increased by approximately 0.3 million units, or 15.4%, from approximately 2.1 million units in the three months ended March 31, 2025 to approximately 2.4 million units in the three months ended March 31, 2026. The number of inverters recognized as revenues decreased by approximately 21.4 thousand units, or 29.8%, from approximately 72.0 thousand units in the three months ended March 31, 2025 to approximately 50.5 thousand units in the three months ended March 31, 2026. The megawatt hours of batteries recognized as revenues increased by approximately 154 megawatt hours, or 86.8% from approximately 177 in the three months ended March 31, 2025 to approximately 331 megawatt hours in the three months ended March 31, 2026 as a result of increase in demand.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9"/>
        </w:trPr>
        <w:tc>
          <w:tcPr>
            <w:tcW w:w="5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 to 2026</w:t>
            </w:r>
          </w:p>
        </w:tc>
        <w:tc>
          <w:tcPr>
            <w:tcW w:w="5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242,220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201,944</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40,276</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68,281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17,536</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50,745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289.4%</w:t>
            </w:r>
          </w:p>
        </w:tc>
      </w:tr>
    </w:tbl>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Cost of revenues increased by $40.3 million, or 19.9%, in the three months ended March 31, 2026, compared to the three months ended March 31, 2025, primarily due to: an increase in the direct cost of revenues sold of $60.4 million associated primarily with an increase in the volume of products sold, offset by an increase in AMPTC recognized; excluding such AMPTC incentives would have caused us to transition into a gross loss, for both periods presented.</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93"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warranty expenses of $9.9 million associated primarily with a lower cost of materials and changes in estimates and policies; and</w:t>
      </w:r>
    </w:p>
    <w:p>
      <w:pPr>
        <w:spacing w:after="0" w:line="29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ramp-up and underutilization costs of $9.5 million.</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as a percentage of revenue in the three months ended March 31, 2026 was 22.0%, compared to 8.0%, in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primarily due to:</w:t>
      </w:r>
    </w:p>
    <w:p>
      <w:pPr>
        <w:spacing w:after="0" w:line="274" w:lineRule="exact"/>
        <w:rPr>
          <w:sz w:val="20"/>
          <w:szCs w:val="20"/>
          <w:color w:val="auto"/>
        </w:rPr>
      </w:pPr>
    </w:p>
    <w:p>
      <w:pPr>
        <w:ind w:left="980" w:hanging="324"/>
        <w:spacing w:after="0" w:line="297"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absolute fixed and other production related costs, which were divided this period by higher revenues, resulting in higher gross margin of approximately 7.8%,</w:t>
      </w:r>
    </w:p>
    <w:p>
      <w:pPr>
        <w:spacing w:after="0" w:line="203" w:lineRule="exact"/>
        <w:rPr>
          <w:rFonts w:ascii="Times New Roman" w:cs="Times New Roman" w:eastAsia="Times New Roman" w:hAnsi="Times New Roman"/>
          <w:sz w:val="18"/>
          <w:szCs w:val="18"/>
          <w:color w:val="auto"/>
        </w:rPr>
      </w:pPr>
    </w:p>
    <w:p>
      <w:pPr>
        <w:ind w:left="980" w:hanging="324"/>
        <w:spacing w:after="0" w:line="297"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improvement in the direct cost of revenue of approximately 6.5% associated primarily to product mix, increase of US made products and the AMPTC recognized, offset by an increase in costs due to the manufacturing in the U.S.; and</w:t>
      </w:r>
    </w:p>
    <w:p>
      <w:pPr>
        <w:spacing w:after="0" w:line="203" w:lineRule="exact"/>
        <w:rPr>
          <w:rFonts w:ascii="Times New Roman" w:cs="Times New Roman" w:eastAsia="Times New Roman" w:hAnsi="Times New Roman"/>
          <w:sz w:val="18"/>
          <w:szCs w:val="18"/>
          <w:color w:val="auto"/>
        </w:rPr>
      </w:pPr>
    </w:p>
    <w:p>
      <w:pPr>
        <w:ind w:left="980" w:right="20" w:hanging="324"/>
        <w:spacing w:after="0" w:line="297"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warranty expenses of approximately 2.7% associated primarily with a lower cost of materials and changes in estimates and policies.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were partially offset by approximately 2.9% due to higher discontinuation and restructuring gains in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Excluding the AMPTC incentives would have caused our gross profit as a percentage of revenue to transition from a gross profit to a gross loss.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to 2026</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50,155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61,997</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(11,842)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567"/>
        <w:spacing w:after="0" w:line="297" w:lineRule="auto"/>
        <w:rPr>
          <w:sz w:val="20"/>
          <w:szCs w:val="20"/>
          <w:color w:val="auto"/>
        </w:rPr>
      </w:pPr>
      <w:r>
        <w:rPr>
          <w:rFonts w:ascii="Times New Roman" w:cs="Times New Roman" w:eastAsia="Times New Roman" w:hAnsi="Times New Roman"/>
          <w:sz w:val="18"/>
          <w:szCs w:val="18"/>
          <w:color w:val="auto"/>
        </w:rPr>
        <w:t>Research and development, net costs decreased by $11.8 million or 19.1%, in the three months ended March 31, 2026 compared to the three months ended March 31, 2025, primarily due to:</w:t>
      </w:r>
    </w:p>
    <w:p>
      <w:pPr>
        <w:spacing w:after="0" w:line="217" w:lineRule="exact"/>
        <w:rPr>
          <w:sz w:val="20"/>
          <w:szCs w:val="20"/>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$12.3 million resulting from our workforce reduction plan designed to reduce operating expenses and align our cost structure to current market dynamics, which was partially offset by the weakening of the USD compared to the NIS; and</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of $1.0 million;</w:t>
      </w:r>
    </w:p>
    <w:p>
      <w:pPr>
        <w:spacing w:after="0" w:line="2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79"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directly overhead costs of $1.2 million.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to 2026</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27,449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31,657   %</w:t>
            </w:r>
          </w:p>
        </w:tc>
        <w:tc>
          <w:tcPr>
            <w:tcW w:w="13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(4,208)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Sales and marketing expenses decreased by $4.2 million, or 13.3%, in the three months ended March 31, 2026 compared to the three months ended March 31, 2025, primarily due to:</w:t>
      </w:r>
    </w:p>
    <w:p>
      <w:pPr>
        <w:spacing w:after="0" w:line="203" w:lineRule="exact"/>
        <w:rPr>
          <w:sz w:val="20"/>
          <w:szCs w:val="20"/>
          <w:color w:val="auto"/>
        </w:rPr>
      </w:pPr>
    </w:p>
    <w:p>
      <w:pPr>
        <w:ind w:left="980" w:hanging="324"/>
        <w:spacing w:after="0" w:line="297"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$2.3 million resulting from our workforce reduction plan designed to reduce operating expenses and align our cost structure to current market dynamics;</w:t>
      </w:r>
    </w:p>
    <w:p>
      <w:pPr>
        <w:spacing w:after="0" w:line="2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travel and hospitality costs of $0.8 million; and</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of $0.5 million.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9"/>
        </w:trPr>
        <w:tc>
          <w:tcPr>
            <w:tcW w:w="5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to 2026</w:t>
            </w:r>
          </w:p>
        </w:tc>
        <w:tc>
          <w:tcPr>
            <w:tcW w:w="5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36,422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30,183</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6,239</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r>
    </w:tbl>
    <w:p>
      <w:pPr>
        <w:spacing w:after="0" w:line="25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expenses have increased by $6.2 million, or 20.7%, in the three months ended March 31, 2026 compared to the three months ended March 31, 2025, primarily due to a net provision for doubtful debt in the amount of $13.4 million in the three months ended March 31, 2026 compared to a net reversal of $8.1 million in the three months ended March 31, 2025 mainly related to collection of doubtful debt.</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79" w:lineRule="exact"/>
        <w:rPr>
          <w:sz w:val="20"/>
          <w:szCs w:val="20"/>
          <w:color w:val="auto"/>
        </w:rPr>
      </w:pPr>
    </w:p>
    <w:p>
      <w:pPr>
        <w:ind w:left="980" w:right="20" w:hanging="324"/>
        <w:spacing w:after="0" w:line="297"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$8.1 million primarily due to a penalty for postponing the commencement of our campus lease agreement in the three months ended March 31, 2025;</w:t>
      </w:r>
    </w:p>
    <w:p>
      <w:pPr>
        <w:spacing w:after="0" w:line="203" w:lineRule="exact"/>
        <w:rPr>
          <w:rFonts w:ascii="Times New Roman" w:cs="Times New Roman" w:eastAsia="Times New Roman" w:hAnsi="Times New Roman"/>
          <w:sz w:val="18"/>
          <w:szCs w:val="18"/>
          <w:color w:val="auto"/>
        </w:rPr>
      </w:pPr>
    </w:p>
    <w:p>
      <w:pPr>
        <w:jc w:val="both"/>
        <w:ind w:left="980" w:right="20" w:hanging="324"/>
        <w:spacing w:after="0" w:line="28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$4.7 million primarily resulting from our workforce reduction plan designed to reduce operating expenses and align our cost structure to current market dynamics. This was partially offset by the weakening of the USD compared to the NIS; and</w:t>
      </w:r>
    </w:p>
    <w:p>
      <w:pPr>
        <w:spacing w:after="0" w:line="2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expenses related to consultants and sub-contractors in the amount of $2.0 million.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to 2026</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(3,575)</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12,873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Other operating expense, net, was $9.3 million in the three months ended March 31, 2026 compared to other operating income, net, of $3.6 million in the three months ended March 31, 2025 primarily due to:</w:t>
      </w:r>
    </w:p>
    <w:p>
      <w:pPr>
        <w:spacing w:after="0" w:line="203"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$7.6 million in expenses related to loss from sale of the LCV e-Mobility activity; and</w:t>
      </w:r>
    </w:p>
    <w:p>
      <w:pPr>
        <w:spacing w:after="0" w:line="292" w:lineRule="exact"/>
        <w:rPr>
          <w:rFonts w:ascii="Times New Roman" w:cs="Times New Roman" w:eastAsia="Times New Roman" w:hAnsi="Times New Roman"/>
          <w:sz w:val="18"/>
          <w:szCs w:val="18"/>
          <w:color w:val="auto"/>
        </w:rPr>
      </w:pPr>
    </w:p>
    <w:p>
      <w:pPr>
        <w:ind w:left="3360" w:right="300" w:hanging="2704"/>
        <w:spacing w:after="0" w:line="516" w:lineRule="auto"/>
        <w:tabs>
          <w:tab w:leader="none" w:pos="9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of $3.1 million as a result of lower than expected discontinuation charges in the three months ended March 31, 2025. SOLAREDGE TECHNOLOGIES INC. | 2026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Financial income (expense),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to 2026</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10,068</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(11,105)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Financial expense, net, was $1.0 million in the three months ended March 31, 2026, compared to financial income, net, in the amount of $10.1 million in the three months ended March 31, 2025, primarily due to:</w:t>
      </w:r>
    </w:p>
    <w:p>
      <w:pPr>
        <w:spacing w:after="0" w:line="217"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$4.8 million in interest income; and</w:t>
      </w:r>
    </w:p>
    <w:p>
      <w:pPr>
        <w:spacing w:after="0" w:line="292" w:lineRule="exact"/>
        <w:rPr>
          <w:rFonts w:ascii="Times New Roman" w:cs="Times New Roman" w:eastAsia="Times New Roman" w:hAnsi="Times New Roman"/>
          <w:sz w:val="18"/>
          <w:szCs w:val="18"/>
          <w:color w:val="auto"/>
        </w:rPr>
      </w:pPr>
    </w:p>
    <w:p>
      <w:pPr>
        <w:ind w:left="3360" w:right="3360" w:hanging="2704"/>
        <w:spacing w:after="0" w:line="544" w:lineRule="auto"/>
        <w:tabs>
          <w:tab w:leader="none" w:pos="97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$4.9 million in foreign currency income to due foreign currency fluctuations. SOLAREDGE TECHNOLOGIES INC. | 2026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net</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940" w:type="dxa"/>
            <w:vAlign w:val="bottom"/>
          </w:tcPr>
          <w:p>
            <w:pPr>
              <w:spacing w:after="0"/>
              <w:rPr>
                <w:sz w:val="24"/>
                <w:szCs w:val="24"/>
                <w:color w:val="auto"/>
              </w:rPr>
            </w:pPr>
          </w:p>
        </w:tc>
        <w:tc>
          <w:tcPr>
            <w:tcW w:w="2660" w:type="dxa"/>
            <w:vAlign w:val="bottom"/>
            <w:gridSpan w:val="6"/>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24"/>
                <w:szCs w:val="2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to 2026</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8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(148)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Other income, net decreased by $0.1 million, or 100.0%, in the three months ended March 31, 2026, compared to the three months ended March 31, 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to 2026</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w:t>
            </w:r>
          </w:p>
        </w:tc>
        <w:tc>
          <w:tcPr>
            <w:tcW w:w="7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(5,726)</w:t>
            </w: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4,440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Income taxes were $1.3 million in the three months ended March 31, 2026, compared to an amount of $5.7 million in the three months ended March 31, 2025 primarily due to the reduced California state income tax expense as a result of Senate Bill 302, as discussed in Note 18 to the condensed consolidated financial statements, a reduction in the withholding taxes paid on certain intra-group interest payments and a tax expense recorded in in the three months ended March 31, 2025, in connection with the settlement with the Israeli Tax Authority for tax years 2016–2018.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loss from equity method investments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77"/>
        </w:trPr>
        <w:tc>
          <w:tcPr>
            <w:tcW w:w="5940" w:type="dxa"/>
            <w:vAlign w:val="bottom"/>
          </w:tcPr>
          <w:p>
            <w:pPr>
              <w:spacing w:after="0"/>
              <w:rPr>
                <w:sz w:val="24"/>
                <w:szCs w:val="24"/>
                <w:color w:val="auto"/>
              </w:rPr>
            </w:pPr>
          </w:p>
        </w:tc>
        <w:tc>
          <w:tcPr>
            <w:tcW w:w="2660" w:type="dxa"/>
            <w:vAlign w:val="bottom"/>
            <w:gridSpan w:val="6"/>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9"/>
        </w:trPr>
        <w:tc>
          <w:tcPr>
            <w:tcW w:w="594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to 2026</w:t>
            </w:r>
          </w:p>
        </w:tc>
        <w:tc>
          <w:tcPr>
            <w:tcW w:w="6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59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5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8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(287)</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287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from equity method investments decreased in the three months ended March 31, 2026 compared to the three months ended March 31, 2025, due to impairment of our equity investment in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loss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77"/>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9"/>
        </w:trPr>
        <w:tc>
          <w:tcPr>
            <w:tcW w:w="5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to 2026</w:t>
            </w:r>
          </w:p>
        </w:tc>
        <w:tc>
          <w:tcPr>
            <w:tcW w:w="5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(57,366)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(98,523)</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41,157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bl>
    <w:p>
      <w:pPr>
        <w:spacing w:after="0" w:line="25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net loss decreased by $41.2 million or 41.8% in the three months ended March 31, 2026 compared to the three months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cash flows from operating activities, investing activities, and financing activities for the stated periods: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33,823</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(20,440)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67,597</w:t>
            </w:r>
          </w:p>
        </w:tc>
      </w:tr>
      <w:tr>
        <w:trPr>
          <w:trHeight w:val="27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(6,237)</w:t>
            </w:r>
          </w:p>
        </w:tc>
      </w:tr>
      <w:tr>
        <w:trPr>
          <w:trHeight w:val="223"/>
        </w:trPr>
        <w:tc>
          <w:tcPr>
            <w:tcW w:w="8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95,183</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As of March 31, 2026, our cash and cash equivalents were $512.4 million. This amount does not include $29.3 million invested in available-for-sale marketable securities, $41.0 million in restricted cash, and $0.5 million invested in deposits and restricted deposits. Our principal uses of cash are for funding our operations, capital expenditures, other working capital requirements and other investments. As of March 31, 2026, we have open commitments for capital expenditures in an amount of approximately $17.5 million. These commitments mainly reflect purchases of automated assembly lines and other machinery related to our manufacturing and operations. We also have purchase obligations in the amount of $297.2 million, related to raw materials and commitments for the future manufacturing of our products.</w:t>
      </w:r>
    </w:p>
    <w:p>
      <w:pPr>
        <w:spacing w:after="0" w:line="22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As of March 31, 2026, we had a non-cancelable lease commitment for the initial term of a lease of approximately $274.2 million for new offices in Israel, which has not yet commenced. The lease is expected to commence during the next twelve months. The initial term of the lease agreement is 15 years commencing on the transfer of possession, with an option to extend the lease for additional periods of up to 10 years, subject to the conditions of the lease agreement. In November 2025, we amended our lease agreement with the developer for our new campus to reduce the leased area. In connection with the amendment, we agreed to make a lease modification payment of $28.8 million, which is accounted for as prepaid lease consideration under Accounting Standards Codification 842, "Leases". The full amount had been paid as of March 31, 2026.</w:t>
      </w:r>
    </w:p>
    <w:p>
      <w:pPr>
        <w:spacing w:after="0" w:line="22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Beginning in the fourth quarter of 2024, we started to sell AMPTCs to third parties pursuant to tax credit agreements. We plan to pursue additional tax credit sales in the future. Our inability to complete sales or delays in doing so may affect the timing of our cash inflows. Failing to sell AMPTCs could result in delays between 18-24 months in the realization of the credits’ value, and would have a negative effect on our liquidity.</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believe that cash provided by operating activities, as well as our cash and cash equivalents, and available-for-sale marketable securities will be sufficient to meet our anticipated cash needs for at least the next 12 months as well as in the longer term, including the self-funding of our capital expenditure, operational commitments and the redemption of our debt.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Operating cash flows consist primarily of net loss, adjusted for certain non-cash items and changes in assets and liabilities. Cash provided by operating activities was $24.4 million in the three months ended March 31, 2026 compared to $33.8 million in the three months ended March 31, 2025, attributed to an increase in working capital needs partially offset by lower net loss adjusted for certain non-cash items.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cash flows consist primarily of capital expenditures, investment in sales and maturities of available for sale marketable securities, investment and withdrawal of bank deposits and restricted bank deposits, cash used for acquisitions, proceeds from sale of business and equity investments, and disbursements and receipts from collections of loans made by us. Cash used in investing activities was $20.4 million in the three months ended March 31, 2026 as compared to cash provided by investing activities of $67.6 million in the three months ended March 31, 2025, primarily driven by a decrease of $134.1 million in proceeds provided by sales and maturities of available-for-sale marketable securities, an increase of $26.2 million in payments made before lease commencement, a decrease of $13.6 million in proceeds from loans receivables, these were partially offset by a decrease of $72.5 million in purchases of available-for-sale marketable securities, a decrease of $6.6 million in payment related to governmental grant and a decrease of $6.4 million in capital expenditures.</w:t>
      </w:r>
    </w:p>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8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Financing cash flows consist primarily of issuance, repayment and partial repurchase of convertible senior notes, and our employee equity incentive plans. Cash provided by financing activities was $2.0 million in the three months ended March 31, 2026 as compared to cash used in financing activities of $6.2 million in the three months ended March 31, 2025, primarily due to a decrease of $5.1 million in cash used for the repurchase of our Notes 2025, an increase of $3.8 million related to issuance of common stock upon exercise of stock-based awards, partially offset by an increase of $1.1 million in tax withholding in connection with stock-based awards, net.</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28, 2024, we sold an aggregate principal amount of $300 million of 2.25% convertible senior notes due in 2029 (the "Notes 2029") in a transaction exempt from registration pursuant to Rule 144A and Regulation S under the Securities Act (the "Notes 2029 Offering"). The net proceeds from the Notes 2029 Offering were approximately $293.2 million after deducting fees and estimated expenses. Separately, we have entered into capped call transactions. We used approximately $25.2 million of the net proceeds from the Notes 2029 Offering to pay for the cost of the capped call transactions and approximately $267.9 million of the net proceeds from the Notes 2029 Offering to repurchase $285.0 million of our outstanding 0.000% convertible notes due 2025 (the "Notes 2025"). We intend to use the remainder of the net proceeds from the Notes 2029 Offering for general corporate purposes.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1" w:name="page52"/>
    <w:bookmarkEnd w:id="51"/>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July 8, 2024, we sold an aggregate principal amount of $37 million of the Notes 2029. The Notes 2029 were sold pursuant to the exercise of options granted by the Company to several initial purchasers of the Notes 2029 represented by Goldman Sachs &amp; Co. LLC to purchase additional Notes 2029. For additional information, please see Note 11, “Convertible Senior Notes.”</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March 2025 we repurchased $5.2 million principal amount of our Notes 2025. We recorded a net gain of $146 thousands under other income from this repurchase. We settled all of our outstanding Notes 2025 on September 15, 2025. As part of the settlement, we paid $342.3 million in cash towards principal amount of the Notes 2025 and no shares were issued in connection with the settlement as the conversion value was less than the principal amounts of the Notes 2025.</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Management believes that there have been no significant changes during the three months ended March 31, 2026 to the items that we disclosed as our critical accounting policies and estimates in MD&amp;A in our Annual Report on Form 10-K/A for the fiscal year ended December 31, 2025, except as mentioned in Note 1, “General” (if 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97"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customer concentrations, interest rates and commodity prices. We do not hold or issue financial instruments for trading purposes.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Approximately 45.2% and 32.7% of our revenues for the three months ended March 31, 2026, and March 31, 2025, respectively, were earned in non-U.S. dollar denominated currencies other than the U.S. dollar, principally the Euro. Our expenses are generally denominated in the currencies in which our operations are located, primarily the U.S. dollar, NIS, and Euro. Our NIS denominated expenses consist primarily of personnel and overhead costs. Our consolidated results of operations and cash flows are, therefore, subject to fluctuations due to changes in foreign currency exchange rates and may be adversely affected in the future due to changes in foreign exchange rates. A hypothetical 10% change in foreign currency exchange rates between the Euro and the U.S. dollar would increase or decrease our net loss by $7.0 million for the three months ended March 31, 2026. A hypothetical 10% change in foreign currency exchange rates between NIS and the U.S. dollar would increase or decrease our net loss by $6.0 million for the three months ended March 31, 2026.</w:t>
      </w:r>
    </w:p>
    <w:p>
      <w:pPr>
        <w:spacing w:after="0" w:line="25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as of the date of the transaction or at the average exchange rate to the U.S. dollar during the reporting period.</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To date, we have used derivative financial instruments, specifically foreign currency forward contracts and put and call options, to manage exposure to foreign currency risks by hedging portions of the anticipated payroll payments denominated in NIS. These derivative instruments are designated as cash flow hedges.</w:t>
      </w:r>
    </w:p>
    <w:p>
      <w:pPr>
        <w:spacing w:after="0" w:line="2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enter into derivative financial instruments to hedge our exposure to currencies other than the U.S. dollar, mainly forward contracts to sell Euro for U.S. dollars. These derivative instruments are not designated as cash flow hedges.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Concentrations of Major Customers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trade accounts receivables potentially expose us to a concentration of credit risk with our major customers. As of March 31, 2026, two major customers accounted for approximately 22.5% of our consolidated trade receivables, net balance. As of March 31, 2025, three major customers jointly accounted for approximately 35.9% of our consolidated trade receivables, net balance. For the three months ended March 31, 2026, one major customer accounted for approximately 16.4% of our total revenues. For the three months ended March 31, 2025, two major customers accounted for approximately 41.4% of our total revenues.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are subject to risk from fluctuating market prices of certain commodity raw materials which are used in our products, including Copper, Lithium, Nickel and Cobalt.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March 31, 2026.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3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as of March 31, 2026, that our disclosure controls and procedures were effective and operating to provide reasonable assurance that information we are required to disclose in reports that we file or submit under the Exchange Act is recorded, processed, summarized, and reported within the time periods specified in SEC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substantially completed the implementation of our new ERP system during the fiscal quarter ended June 30, 2025. We are performing our post-implementation activities. The implementation of that ERP system is expected to, among other things, improve user access security and automate a number of accounting, back office and reporting processes and activities, thereby decreasing the amount of manual processes previously required. The implementation resulted in, and the post-implementation activities may result in, changes to certain of our processes and procedures. These changes have been and will continue to be subject to our evaluation of the operating effectiveness of internal controls over financial reporting. Except for the implementation of the new ERP system as described in this paragraph, there have been no changes in our internal control over financial reporting (as defined in Rule 13a-15(f) of the Exchange Act) that occurred during the quarter ended March 31, 2026, that materially affected, or are reasonably likely to materially affect, our internal control over financial reporting.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8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the normal course of business, we may from time to time be named as a party to various legal claims, actions and complaints (including as a result of initiating such legal claims, action or complaints on behalf of the Company), including the matters described in Note 14 – “Commitments and Contingent Liabilities” to our condensed consolidated financial statements in this Quarterly Report on Form 10-Q and in Item 3 – “Legal Proceedings” of our Annual Report on Form 10-K/A for the period ended December 31, 2025. It is impossible to predict with certainty whether any resulting liability from any such legal claims, actions or complaints would have a material adverse effect on our financial position, results of operations or cash flows.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risks set forth below and the risk factors as described in Part I, Item 1A, “Risk Factors”, in our Annual Report on Form 10-K/A for the year ended December 31, 2025. Other than the risk factors set forth below, there have been no material changes to the risk factors previously disclosed in the 2025 Form 10-K/A.</w:t>
      </w:r>
    </w:p>
    <w:p>
      <w:pPr>
        <w:spacing w:after="0" w:line="214" w:lineRule="exact"/>
        <w:rPr>
          <w:sz w:val="20"/>
          <w:szCs w:val="20"/>
          <w:color w:val="auto"/>
        </w:rPr>
      </w:pPr>
    </w:p>
    <w:p>
      <w:pPr>
        <w:ind w:right="460"/>
        <w:spacing w:after="0" w:line="302" w:lineRule="auto"/>
        <w:rPr>
          <w:sz w:val="20"/>
          <w:szCs w:val="20"/>
          <w:color w:val="auto"/>
        </w:rPr>
      </w:pPr>
      <w:r>
        <w:rPr>
          <w:rFonts w:ascii="Times New Roman" w:cs="Times New Roman" w:eastAsia="Times New Roman" w:hAnsi="Times New Roman"/>
          <w:sz w:val="18"/>
          <w:szCs w:val="18"/>
          <w:b w:val="1"/>
          <w:bCs w:val="1"/>
          <w:color w:val="auto"/>
        </w:rPr>
        <w:t>Changes in the global trade environment, including the United States trade environment, such as the increase or imposition of import tariffs, could adversely affect the amount or timing of our revenue, results of operations or cash flows.</w:t>
      </w:r>
    </w:p>
    <w:p>
      <w:pPr>
        <w:spacing w:after="0" w:line="2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2025. the United States has imposed significant new tariffs on nearly all products and components imported into the United States and could propose additional tariffs or increases to those already in place.</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On February 20, 2026, the Supreme Court of the United States (the "U.S. Supreme Court") issued a decision invalidating certain tariffs imposed under the International Emergency Economic Powers Act ("IEEPA"). The U.S. Supreme Court did not address refunds or remedies but instead remanded the matter to the Court of International Trade to address remedies. In response, the President issued an executive order rescinding the IEEPA tariffs and directing agencies to take measures to cease collection of the tariffs. However, a presidential proclamation was issued imposing a tariff surcharge of at least 10% under the balance of payments provision in Section 122 of the Trade Act of 1974 on all imports with certain exceptions. The tariffs under this statute went into effect on February 24, 2026, and will remain in effect for 150 days. The ultimate impact of these newly enacted and potential future tariffs or other restrictions on international trade will depend on various factors, including the ultimate level of tariffs, the duration such tariffs remain in place, and how other countries respond to U.S. tariffs. Due to broad uncertainty regarding the timing, content and extent of any regulatory changes in the United States or abroad, we cannot predict the impact, if any, that these changes could have to our business, financial condition and results of operations. Moreover, the elimination of IEEPA tariffs does not eliminate our tariff exposure, as tariffs imposed under Section 122 of the Trade Act of 1974, existing tariffs under other statutory authorities, and potential new or expanded tariffs may continue to increase our cost of revenue and contribute to supply chain challenges, cost volatility, and broader economic uncertainty.</w:t>
      </w:r>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relocated our contract manufacturing to the United States, where we manufacture the vast bulk of our products. We continue to manufacture a minor portion of our products in Israel, at our Sella 1 facility. Certain components and subcomponents necessary for our products are currently required to be imported from outside the U.S. It is unknown whether and to what extent these tariffs will remain in place or if other new laws or regulations will be adopted. In addition, retaliatory tariffs may be imposed on products exported from the United States to other countries in which we sell our products. Due to broad uncertainty regarding the breadth, timing and extent of any regulatory changes related to trade, in the United States or abroad, we cannot predict the impact, if any, that these changes could have to our business, financial condition, ability to compete, and the results of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4" w:name="page55"/>
    <w:bookmarkEnd w:id="54"/>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particular, it is unknown what effect any such new tariffs or retaliatory actions will have on the solar industry and our customers. The resulting environment of escalating trade tension, retaliatory trade tension, or other trade actions, restrictive measures, additional trade restrictions, or barriers, if implemented on a broader range of products or components from outside the United States, or with respect to products shipped from the United States, could harm our ability to obtain necessary product components or to sell our products at prices customers are willing to pay, which could have a material adverse effect on our business, prospects, results of operations and cash flows.</w:t>
      </w:r>
    </w:p>
    <w:p>
      <w:pPr>
        <w:spacing w:after="0" w:line="2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if the price of solar power systems in the United States increases, as well as the cost of manufacturing our products in the United States, the use of solar power systems could become less economically feasible and could reduce our gross margins or reduce the demand of solar power systems manufactured and sold, which in turn may decrease demand for our products. Additionally, existing or future tariffs could negatively affect key partners, suppliers and manufacturers. Such outcomes could adversely affect the amount or timing of our revenue, results of operations or cash flows, and continuing uncertainty could cause sales volatility, price fluctuations or supply shortages or cause our customers to advance or delay their purchase of our products. It is difficult to predict what further trade-related actions the U.S. and other governments may take, which may include additional or increased tariffs and trade restrictions, and we may be unable to quickly and effectively react to such actions. As additional new tariffs, legislation and/or regulations are implemented, or if existing trade agreements are renegotiated or if affected countries take retaliatory trade actions, such changes could have a material adverse effect on our business, financial condition, results of operations or cash flows.</w:t>
      </w:r>
    </w:p>
    <w:p>
      <w:pPr>
        <w:spacing w:after="0" w:line="226"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8"/>
          <w:szCs w:val="18"/>
          <w:b w:val="1"/>
          <w:bCs w:val="1"/>
          <w:color w:val="auto"/>
        </w:rPr>
        <w:t>Disruption to our business operations as a result of the evolving conflict in Israel and other conditions in Israel that affect our operations may limit our ability to develop, produce and sell our products.</w:t>
      </w:r>
    </w:p>
    <w:p>
      <w:pPr>
        <w:spacing w:after="0" w:line="2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headquarters and principal research and development center are located in Israel. As a result, political, economic, and military conditions in Israel directly affect our business, operations, and workforce.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Israel has been involved in a number of armed conflicts and has been the target of terrorist activity, including threats from Gaza, Iran, the Houthi militants in Yemen, Hezbollah militants in Lebanon, Iranian militias in Syria, and others. Violence between Hamas and Israel intensified on October 7, 2023, when the terrorist group launched an unprecedented attack on Israel. On October 8, 2023, the Israeli Government announced that the Security Cabinet of the State of Israel approved a war situation in Israel. Since that time, and in connection with subsequent regional hostilities, the ongoing state of war has disrupted and continues to disrupt our business operations.</w:t>
      </w:r>
    </w:p>
    <w:p>
      <w:pPr>
        <w:spacing w:after="0" w:line="243" w:lineRule="exact"/>
        <w:rPr>
          <w:sz w:val="20"/>
          <w:szCs w:val="20"/>
          <w:color w:val="auto"/>
        </w:rPr>
      </w:pPr>
    </w:p>
    <w:p>
      <w:pPr>
        <w:jc w:val="both"/>
        <w:ind w:firstLine="648"/>
        <w:spacing w:after="0" w:line="227" w:lineRule="exact"/>
        <w:rPr>
          <w:sz w:val="20"/>
          <w:szCs w:val="20"/>
          <w:color w:val="auto"/>
        </w:rPr>
      </w:pPr>
      <w:r>
        <w:rPr>
          <w:rFonts w:ascii="Times New Roman" w:cs="Times New Roman" w:eastAsia="Times New Roman" w:hAnsi="Times New Roman"/>
          <w:sz w:val="18"/>
          <w:szCs w:val="18"/>
          <w:color w:val="auto"/>
        </w:rPr>
        <w:t>In addition, from November 2023 until October 2025, the Houthis, a rebel Shi’a group in Yemen, attacked international shipping lanes in the Red Sea, forcing commercial vessels to redirect freight traffic away from the Bab 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Mandab Strait and the Suez Canal and take longer and costlier routes. If these attacks resume, continue, or intensify, shipping costs and energy prices may increase, which could have an adverse impact on our business as well as on the global economy.</w:t>
      </w:r>
    </w:p>
    <w:p>
      <w:pPr>
        <w:spacing w:after="0" w:line="227" w:lineRule="exact"/>
        <w:rPr>
          <w:sz w:val="20"/>
          <w:szCs w:val="20"/>
          <w:color w:val="auto"/>
        </w:rPr>
      </w:pPr>
    </w:p>
    <w:p>
      <w:pPr>
        <w:jc w:val="both"/>
        <w:ind w:firstLine="648"/>
        <w:spacing w:after="0" w:line="238" w:lineRule="exact"/>
        <w:rPr>
          <w:sz w:val="20"/>
          <w:szCs w:val="20"/>
          <w:color w:val="auto"/>
        </w:rPr>
      </w:pPr>
      <w:r>
        <w:rPr>
          <w:rFonts w:ascii="Times New Roman" w:cs="Times New Roman" w:eastAsia="Times New Roman" w:hAnsi="Times New Roman"/>
          <w:sz w:val="18"/>
          <w:szCs w:val="18"/>
          <w:color w:val="auto"/>
        </w:rPr>
        <w:t>In the second quarter of 2025, Israel and the Islamic Republic of Iran engaged in a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war, which subsequently stabilized due to a brokered ceasefire. More recently, during March and April 2026, Israel was again engaged in direct military conflict with Iran and in significant hostilities with Hezbollah in Lebanon. Although hostilities have since moderated, it is unknown whether any ceasefires or periods of relative calm will endure, or whether conflicts involving Gaza, Lebanon, Iran, Yemen, or other parts of the region may reemerge or escalate in the future.</w:t>
      </w:r>
    </w:p>
    <w:p>
      <w:pPr>
        <w:spacing w:after="0" w:line="25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Because our headquarters and a substantial portion of our workforce are based in Israel, these conflicts have impacted, and may continue to impact, the availability of our workforce. Some of our employees, executive officers, and directors residing in Israel are obligated to perform reserve duty in the Israeli military and are subject to being called to active duty under emergency circumstances. In the year ended December 31, 2025, approximately 279 employees, or 13% of our workforce in Israel, and in the first quarter of 2026, approximately 162 employees, or 6.8%, were called to active reserve duty for varying periods, which adversely affected workforce availability. Additional employees may be called to reserve duty in the future.</w:t>
      </w:r>
    </w:p>
    <w:p>
      <w:pPr>
        <w:spacing w:after="0" w:line="24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Any future armed conflict, political instability, or violence in Israel or the surrounding region may impair our ability to manage our business effectively, operate our manufacturing plant in northern Israel, conduct research and development activities, or otherwise carry out our operations. In the event of a significant escalation of existing hostilities or the outbreak of additional conflicts, we may be forced to cease or significantly curtail operations, which could delay the distribution and sale of our products.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5" w:name="page56"/>
    <w:bookmarkEnd w:id="55"/>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The majority of our key employees and officers are residents of Israel. If any of our offices or facilities in Israel were damaged, destroyed, or rendered inoperable as a result of war, hostile actions, terrorist attacks, earthquakes, fire, floods, storms, power outages, employee malfeasance, or other natural or man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made events, our ability to conduct research and development, manufacture products, and operate our business could be materially adversely affected. Any resulting delay in the achievement of our development or commercialization objectives could harm our business, prospects, financial results, and reputation.</w:t>
      </w:r>
    </w:p>
    <w:p>
      <w:pPr>
        <w:spacing w:after="0" w:line="25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addition, several countries, principally in the Middle East, restrict business dealings with Israeli companies, and other countries or groups may impose similar restrictions if hostilities or regional political instability persist or intensify. If instability in neighboring states results in the establishment of fundamentalist Islamic regimes or governments more hostile to Israel, it could be subject to additional political, economic, or military constraints, which could materially adversely affect our operations and our ability to sell products in the region.</w:t>
      </w:r>
    </w:p>
    <w:p>
      <w:pPr>
        <w:spacing w:after="0" w:line="24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Any interruption or curtailment of trade between Israel and its current trading partners, or a significant downturn in Israel’s economic or financial condition, could have a material adverse effect on our business, financial condition, and results of operations. Since the start of the war with Hamas, we have become aware of pressure being placed on some of our customers not to engage in business with us due to our affiliation with Israel. In addition, adverse developments in foreign policy toward Israel could negatively impact our ability to do business with suppliers and customers, which could, in turn, harm our reputation, results of operations, or financial condition.</w:t>
      </w:r>
    </w:p>
    <w:p>
      <w:pPr>
        <w:spacing w:after="0" w:line="22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While our offices and facilities worldwide, including in Israel, remain open and, to date, we have not experienced material disruptions to our ability to manufacture and deliver products and services to customers, any reemergence or escalation of conflicts in Israel or the surrounding region could materially adversely affect our business, financial condition, and results of operations</w:t>
      </w:r>
    </w:p>
    <w:p>
      <w:pPr>
        <w:spacing w:after="0" w:line="21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Additionally, in 2023, the Israeli government announced plans to significantly reduce the Israeli Supreme Court's judicial oversight, including reducing its ability to strike down legislation that it deems unreasonable, and plans to increase political influence over the selection of judges. Although the Israeli Supreme Court partially struck down these plans, the current government has vowed to make other changes to law that limit the powers of the Supreme Court. If such government plans are eventually enacted, they may cause operational challenges for us since we are headquartered in Israel and many of our employees are located in Israel.</w:t>
      </w:r>
    </w:p>
    <w:p>
      <w:pPr>
        <w:spacing w:after="0" w:line="22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We rely on distributors and large installers to assist in selling our products, and the failure of these customers to perform as expected could reduce our future revenues.</w:t>
      </w:r>
    </w:p>
    <w:p>
      <w:pPr>
        <w:spacing w:after="0" w:line="21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customers’ decisions to purchase our products are influenced by several factors outside of our control. The agreements we have with some of our largest customers do not have long-term purchase commitments and are generally cancellable by either party after a relatively short notice period. The loss of, or events affecting, one or more of these customers could have a material adverse effect on our business, financial condition, and results of operations.</w:t>
      </w:r>
    </w:p>
    <w:p>
      <w:pPr>
        <w:spacing w:after="0" w:line="2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addition, we do not have exclusive arrangements with our third-party distributors and large installers, many of which also market and sell products from our competitors. These distributors and large installers may terminate their relationships with us at any time and with little or no notice. Further, these distributors and large installers may fail to devote resources necessary to sell our products at the prices, in the volumes, and within the timeframes that we expect, or may focus their marketing and sales efforts on products of our competitors. Termination of agreements with current distributors or large installers, failure by these distributors or large installers to perform as expected, or failure by us to cultivate new distributor or large installer relationships, could hinder our ability to expand our operations and could negatively impact our revenue and results of operations.</w:t>
      </w:r>
    </w:p>
    <w:p>
      <w:pPr>
        <w:spacing w:after="0" w:line="22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In recent years, with a downturn of the renewable energy demand, some players in the market have announced exiting the solar market and others have shown signs of financial distress. For example, in November 2025, Posigen, Inc., a customer of ours, announced that it filed for Chapter 11 bankruptcy in the Southern District of Texas, and, in April 2026, Freedom Forever LLC, another customer of ours, announced that it filed for Chapter 11 bankruptcy in Delaware. Some of our customers and some installers who purchase our products from distributors have shown signs of financial distress and some have requested and received extended payment terms or loans from us. Certain receivables related to previously identified customer defaults, have been written off in 2025, and others, such as receivables from Freedom Forever, have not been recognized, and therefore, are not expected to materially affect our current financial results. However, an additional doubtful debt was recognized by the Company in the first quarter of 2026, and there can be no assurance that additional customer failures or payment defaults will not occur. If additional customers, installers and distributors become insolvent or financially distressed, or if some of their customers fail to pay our distributors for products sold by such distributors, we may need to write off additional amounts, which may cause a material adverse effect to our business, financial condition, results of operations and cash flows.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8"/>
          <w:szCs w:val="18"/>
          <w:color w:val="auto"/>
        </w:rPr>
        <w:t>SOLAREDGE TECHNOLOGIES INC. | 2026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87"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720" w:type="dxa"/>
            <w:vAlign w:val="bottom"/>
            <w:gridSpan w:val="8"/>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19"/>
                <w:szCs w:val="19"/>
                <w:color w:val="auto"/>
              </w:rPr>
            </w:pPr>
          </w:p>
        </w:tc>
        <w:tc>
          <w:tcPr>
            <w:tcW w:w="506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0" w:type="dxa"/>
            <w:vAlign w:val="bottom"/>
          </w:tcPr>
          <w:p>
            <w:pPr>
              <w:spacing w:after="0"/>
              <w:rPr>
                <w:sz w:val="1"/>
                <w:szCs w:val="1"/>
                <w:color w:val="auto"/>
              </w:rPr>
            </w:pPr>
          </w:p>
        </w:tc>
      </w:tr>
      <w:tr>
        <w:trPr>
          <w:trHeight w:val="245"/>
        </w:trPr>
        <w:tc>
          <w:tcPr>
            <w:tcW w:w="7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w:t>
            </w:r>
          </w:p>
        </w:tc>
        <w:tc>
          <w:tcPr>
            <w:tcW w:w="1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8"/>
            <w:vMerge w:val="continue"/>
          </w:tcPr>
          <w:p>
            <w:pPr>
              <w:spacing w:after="0"/>
              <w:rPr>
                <w:sz w:val="21"/>
                <w:szCs w:val="21"/>
                <w:color w:val="auto"/>
              </w:rPr>
            </w:pPr>
          </w:p>
        </w:tc>
        <w:tc>
          <w:tcPr>
            <w:tcW w:w="160" w:type="dxa"/>
            <w:vAlign w:val="bottom"/>
          </w:tcPr>
          <w:p>
            <w:pPr>
              <w:spacing w:after="0"/>
              <w:rPr>
                <w:sz w:val="21"/>
                <w:szCs w:val="21"/>
                <w:color w:val="auto"/>
              </w:rPr>
            </w:pPr>
          </w:p>
        </w:tc>
        <w:tc>
          <w:tcPr>
            <w:tcW w:w="5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180" w:type="dxa"/>
            <w:vAlign w:val="bottom"/>
          </w:tcPr>
          <w:p>
            <w:pPr>
              <w:spacing w:after="0"/>
              <w:rPr>
                <w:sz w:val="24"/>
                <w:szCs w:val="24"/>
                <w:color w:val="auto"/>
              </w:rPr>
            </w:pPr>
          </w:p>
        </w:tc>
        <w:tc>
          <w:tcPr>
            <w:tcW w:w="50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Rules 13a-14(a)</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c>
          <w:tcPr>
            <w:tcW w:w="0" w:type="dxa"/>
            <w:vAlign w:val="bottom"/>
          </w:tcPr>
          <w:p>
            <w:pPr>
              <w:spacing w:after="0"/>
              <w:rPr>
                <w:sz w:val="1"/>
                <w:szCs w:val="1"/>
                <w:color w:val="auto"/>
              </w:rPr>
            </w:pPr>
          </w:p>
        </w:tc>
      </w:tr>
      <w:tr>
        <w:trPr>
          <w:trHeight w:val="209"/>
        </w:trPr>
        <w:tc>
          <w:tcPr>
            <w:tcW w:w="32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and15d-14(a) of the Securities Exchange Act of 1934, as amended</w:t>
            </w:r>
          </w:p>
        </w:tc>
        <w:tc>
          <w:tcPr>
            <w:tcW w:w="160" w:type="dxa"/>
            <w:vAlign w:val="bottom"/>
            <w:tcBorders>
              <w:top w:val="single" w:sz="8" w:color="0000EE"/>
            </w:tcBorders>
            <w:gridSpan w:val="3"/>
          </w:tcPr>
          <w:p>
            <w:pPr>
              <w:spacing w:after="0"/>
              <w:rPr>
                <w:sz w:val="18"/>
                <w:szCs w:val="18"/>
                <w:color w:val="auto"/>
              </w:rPr>
            </w:pPr>
          </w:p>
        </w:tc>
        <w:tc>
          <w:tcPr>
            <w:tcW w:w="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180" w:type="dxa"/>
            <w:vAlign w:val="bottom"/>
          </w:tcPr>
          <w:p>
            <w:pPr>
              <w:spacing w:after="0"/>
              <w:rPr>
                <w:sz w:val="17"/>
                <w:szCs w:val="17"/>
                <w:color w:val="auto"/>
              </w:rPr>
            </w:pPr>
          </w:p>
        </w:tc>
        <w:tc>
          <w:tcPr>
            <w:tcW w:w="5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Rules 13a-14(a)</w:t>
            </w:r>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Filed with this report.</w:t>
            </w:r>
          </w:p>
        </w:tc>
        <w:tc>
          <w:tcPr>
            <w:tcW w:w="0" w:type="dxa"/>
            <w:vAlign w:val="bottom"/>
          </w:tcPr>
          <w:p>
            <w:pPr>
              <w:spacing w:after="0"/>
              <w:rPr>
                <w:sz w:val="1"/>
                <w:szCs w:val="1"/>
                <w:color w:val="auto"/>
              </w:rPr>
            </w:pPr>
          </w:p>
        </w:tc>
      </w:tr>
      <w:tr>
        <w:trPr>
          <w:trHeight w:val="209"/>
        </w:trPr>
        <w:tc>
          <w:tcPr>
            <w:tcW w:w="32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and15d-14(a) of the Securities Exchange Act of 1934, as amended</w:t>
            </w:r>
          </w:p>
        </w:tc>
        <w:tc>
          <w:tcPr>
            <w:tcW w:w="100" w:type="dxa"/>
            <w:vAlign w:val="bottom"/>
            <w:tcBorders>
              <w:top w:val="single" w:sz="8" w:color="0000EE"/>
            </w:tcBorders>
          </w:tcPr>
          <w:p>
            <w:pPr>
              <w:spacing w:after="0"/>
              <w:rPr>
                <w:sz w:val="18"/>
                <w:szCs w:val="18"/>
                <w:color w:val="auto"/>
              </w:rPr>
            </w:pPr>
          </w:p>
        </w:tc>
        <w:tc>
          <w:tcPr>
            <w:tcW w:w="18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180" w:type="dxa"/>
            <w:vAlign w:val="bottom"/>
          </w:tcPr>
          <w:p>
            <w:pPr>
              <w:spacing w:after="0"/>
              <w:rPr>
                <w:sz w:val="17"/>
                <w:szCs w:val="17"/>
                <w:color w:val="auto"/>
              </w:rPr>
            </w:pPr>
          </w:p>
        </w:tc>
        <w:tc>
          <w:tcPr>
            <w:tcW w:w="5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w:t>
            </w:r>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Furnished with this report.</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Section 1350, as adopted pursuant to Section 906 of the Sarbanes-</w:t>
            </w:r>
          </w:p>
        </w:tc>
        <w:tc>
          <w:tcPr>
            <w:tcW w:w="300" w:type="dxa"/>
            <w:vAlign w:val="bottom"/>
            <w:gridSpan w:val="6"/>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Oxley Act of 2002</w:t>
            </w:r>
          </w:p>
        </w:tc>
        <w:tc>
          <w:tcPr>
            <w:tcW w:w="372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p>
        </w:tc>
        <w:tc>
          <w:tcPr>
            <w:tcW w:w="180" w:type="dxa"/>
            <w:vAlign w:val="bottom"/>
          </w:tcPr>
          <w:p>
            <w:pPr>
              <w:spacing w:after="0"/>
              <w:rPr>
                <w:sz w:val="17"/>
                <w:szCs w:val="17"/>
                <w:color w:val="auto"/>
              </w:rPr>
            </w:pPr>
          </w:p>
        </w:tc>
        <w:tc>
          <w:tcPr>
            <w:tcW w:w="5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w:t>
            </w:r>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Furnished with this report.</w:t>
            </w:r>
          </w:p>
        </w:tc>
        <w:tc>
          <w:tcPr>
            <w:tcW w:w="0" w:type="dxa"/>
            <w:vAlign w:val="bottom"/>
          </w:tcPr>
          <w:p>
            <w:pPr>
              <w:spacing w:after="0"/>
              <w:rPr>
                <w:sz w:val="1"/>
                <w:szCs w:val="1"/>
                <w:color w:val="auto"/>
              </w:rPr>
            </w:pPr>
          </w:p>
        </w:tc>
      </w:tr>
      <w:tr>
        <w:trPr>
          <w:trHeight w:val="210"/>
        </w:trPr>
        <w:tc>
          <w:tcPr>
            <w:tcW w:w="32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w:t>
            </w:r>
          </w:p>
        </w:tc>
        <w:tc>
          <w:tcPr>
            <w:tcW w:w="120" w:type="dxa"/>
            <w:vAlign w:val="bottom"/>
            <w:tcBorders>
              <w:top w:val="single" w:sz="8" w:color="0000EE"/>
            </w:tcBorders>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of 2002</w:t>
            </w:r>
          </w:p>
        </w:tc>
        <w:tc>
          <w:tcPr>
            <w:tcW w:w="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960" w:right="5360" w:hanging="952"/>
        <w:spacing w:after="0" w:line="279" w:lineRule="auto"/>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March 31, 2026, formatted in Inline XBRL: (i) Condensed Consolidated Balance Sheets, (ii) Condensed Consolidated Statements of Income, (iii) Condensed Consolidated Statements of Comprehensive Income, (iv)</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(v)</w:t>
            </w:r>
          </w:p>
        </w:tc>
      </w:tr>
      <w:tr>
        <w:trPr>
          <w:trHeight w:val="230"/>
        </w:trPr>
        <w:tc>
          <w:tcPr>
            <w:tcW w:w="6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Cash Flows,  (vi) Notes to</w:t>
            </w:r>
          </w:p>
        </w:tc>
      </w:tr>
      <w:tr>
        <w:trPr>
          <w:trHeight w:val="229"/>
        </w:trPr>
        <w:tc>
          <w:tcPr>
            <w:tcW w:w="6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Financial Statements, and (vii) part II, Item</w:t>
            </w:r>
          </w:p>
        </w:tc>
      </w:tr>
      <w:tr>
        <w:trPr>
          <w:trHeight w:val="214"/>
        </w:trPr>
        <w:tc>
          <w:tcPr>
            <w:tcW w:w="6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5(c)</w:t>
            </w:r>
          </w:p>
        </w:tc>
      </w:tr>
      <w:tr>
        <w:trPr>
          <w:trHeight w:val="232"/>
        </w:trPr>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104</w:t>
            </w: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The cover page from the Company’s Quarterly Report on Form 10-Q   </w:t>
            </w:r>
            <w:r>
              <w:rPr>
                <w:rFonts w:ascii="Times New Roman" w:cs="Times New Roman" w:eastAsia="Times New Roman" w:hAnsi="Times New Roman"/>
                <w:sz w:val="18"/>
                <w:szCs w:val="18"/>
                <w:i w:val="1"/>
                <w:iCs w:val="1"/>
                <w:color w:val="auto"/>
              </w:rPr>
              <w:t>Included in Exhibit 101</w:t>
            </w:r>
          </w:p>
        </w:tc>
      </w:tr>
      <w:tr>
        <w:trPr>
          <w:trHeight w:val="234"/>
        </w:trPr>
        <w:tc>
          <w:tcPr>
            <w:tcW w:w="6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the quarter ended</w:t>
            </w:r>
          </w:p>
        </w:tc>
      </w:tr>
    </w:tbl>
    <w:p>
      <w:pPr>
        <w:ind w:left="960"/>
        <w:spacing w:after="0"/>
        <w:rPr>
          <w:sz w:val="20"/>
          <w:szCs w:val="20"/>
          <w:color w:val="auto"/>
        </w:rPr>
      </w:pPr>
      <w:r>
        <w:rPr>
          <w:rFonts w:ascii="Times New Roman" w:cs="Times New Roman" w:eastAsia="Times New Roman" w:hAnsi="Times New Roman"/>
          <w:sz w:val="18"/>
          <w:szCs w:val="18"/>
          <w:color w:val="auto"/>
        </w:rPr>
        <w:t>March 31, 2026</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formatted in Inline XBRL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Shuki Nir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Shuki Nir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Asaf Alperovitz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Asaf Alperovitz</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SOLAREDGE TECHNOLOGIES INC. | 2026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Shuki Nir, certify that:</w:t>
      </w:r>
    </w:p>
    <w:p>
      <w:pPr>
        <w:spacing w:after="0" w:line="239"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SolarEdge Technologies, Inc.;</w:t>
      </w:r>
    </w:p>
    <w:p>
      <w:pPr>
        <w:spacing w:after="0" w:line="238"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8"/>
        <w:spacing w:after="0" w:line="297" w:lineRule="auto"/>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firstLine="8"/>
        <w:spacing w:after="0" w:line="281" w:lineRule="auto"/>
        <w:tabs>
          <w:tab w:leader="none" w:pos="2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sz w:val="20"/>
          <w:szCs w:val="20"/>
          <w:color w:val="auto"/>
        </w:rPr>
      </w:pPr>
    </w:p>
    <w:p>
      <w:pPr>
        <w:jc w:val="both"/>
        <w:ind w:firstLine="8"/>
        <w:spacing w:after="0" w:line="281" w:lineRule="auto"/>
        <w:tabs>
          <w:tab w:leader="none" w:pos="2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8"/>
          <w:szCs w:val="18"/>
          <w:color w:val="auto"/>
        </w:rPr>
      </w:pPr>
    </w:p>
    <w:p>
      <w:pPr>
        <w:jc w:val="both"/>
        <w:ind w:firstLine="8"/>
        <w:spacing w:after="0" w:line="281" w:lineRule="auto"/>
        <w:tabs>
          <w:tab w:leader="none" w:pos="2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8"/>
          <w:szCs w:val="18"/>
          <w:color w:val="auto"/>
        </w:rPr>
      </w:pPr>
    </w:p>
    <w:p>
      <w:pPr>
        <w:ind w:firstLine="8"/>
        <w:spacing w:after="0" w:line="297" w:lineRule="auto"/>
        <w:tabs>
          <w:tab w:leader="none" w:pos="2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firstLine="8"/>
        <w:spacing w:after="0" w:line="281" w:lineRule="auto"/>
        <w:tabs>
          <w:tab w:leader="none" w:pos="2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firstLine="8"/>
        <w:spacing w:after="0" w:line="297" w:lineRule="auto"/>
        <w:tabs>
          <w:tab w:leader="none" w:pos="1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firstLine="8"/>
        <w:spacing w:after="0" w:line="282" w:lineRule="auto"/>
        <w:tabs>
          <w:tab w:leader="none" w:pos="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8"/>
        <w:spacing w:after="0" w:line="297" w:lineRule="auto"/>
        <w:tabs>
          <w:tab w:leader="none" w:pos="2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Shuki Nir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Shuki Nir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Asaf Alperovitz,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SolarEdge Technologies,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40" w:firstLine="8"/>
        <w:spacing w:after="0" w:line="266"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320" w:firstLine="8"/>
        <w:spacing w:after="0" w:line="266"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8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Asaf Alperovitz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Asaf Alperovitz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Shuki Nir, certify, pursuant to 18 U.S.C. Section 1350, as adopted pursuant to Section 906 of the Sarbanes-Oxley Act of 2002, that the Quarterly Report on Form 10-Q of SolarEdge Technologies, Inc. for the quarterly period ended March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SolarEdge Technologies,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Shuki Nir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Shuki Nir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32.2</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Asaf Alperovitz, certify, pursuant to 18 U.S.C. Section 1350, as adopted pursuant to Section 906 of the Sarbanes-Oxley Act of 2002, that the Quarterly Report on Form 10-Q of SolarEdge Technologies, Inc. for the quarterly period ended March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SolarEdge Technologies,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Asaf Alperovitz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Asaf Alperovitz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4"/>
    </w:lvl>
  </w:abstractNum>
  <w:abstractNum w:abstractNumId="4">
    <w:nsid w:val="431BD7B7"/>
    <w:multiLevelType w:val="hybridMultilevel"/>
    <w:lvl w:ilvl="0">
      <w:lvlJc w:val="left"/>
      <w:lvlText w:val="1"/>
      <w:numFmt w:val="bullet"/>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3"/>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4"/>
    </w:lvl>
  </w:abstractNum>
  <w:abstractNum w:abstractNumId="9">
    <w:nsid w:val="436C6125"/>
    <w:multiLevelType w:val="hybridMultilevel"/>
    <w:lvl w:ilvl="0">
      <w:lvlJc w:val="left"/>
      <w:lvlText w:val="1"/>
      <w:numFmt w:val="bullet"/>
      <w:start w:val="1"/>
    </w:lvl>
  </w:abstractNum>
  <w:abstractNum w:abstractNumId="10">
    <w:nsid w:val="628C895D"/>
    <w:multiLevelType w:val="hybridMultilevel"/>
    <w:lvl w:ilvl="0">
      <w:lvlJc w:val="left"/>
      <w:lvlText w:val="2"/>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0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5"/>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5"/>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2026-05-07T05:39:27Z</dcterms:created>
  <dcterms:modified xsi:type="dcterms:W3CDTF">2026-05-07T05:39:27Z</dcterms:modified>
</cp:coreProperties>
</file>