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SOLAREDGE TECHNOLOGIES,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3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001-36894</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23"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20-5338862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745" w:right="339" w:bottom="1440" w:gutter="0" w:footer="0" w:header="0"/>
          <w:type w:val="continuous"/>
        </w:sectPr>
      </w:pPr>
    </w:p>
    <w:p>
      <w:pPr>
        <w:spacing w:after="0" w:line="3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1 Hamada Street, Herziliya Pituach, Israel</w:t>
      </w:r>
    </w:p>
    <w:p>
      <w:pPr>
        <w:spacing w:after="0" w:line="4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4673335</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 957-6620</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7"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61"/>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257"/>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SEDG</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61"/>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bl>
    <w:p>
      <w:pPr>
        <w:spacing w:after="0" w:line="21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9" w:lineRule="exact"/>
        <w:rPr>
          <w:sz w:val="24"/>
          <w:szCs w:val="24"/>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207" w:lineRule="exact"/>
        <w:tabs>
          <w:tab w:leader="none" w:pos="24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spacing w:after="0" w:line="207" w:lineRule="exact"/>
        <w:tabs>
          <w:tab w:leader="none" w:pos="750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On May 6, 2026, SolarEdge Technologies, Inc. (the “Company”) issued a press release announcing its financial results for the first quarter of 2026, ended March 31, 2026. A copy of the press release is attached hereto as Exhibit 99.1 and is incorporated herein by reference.</w:t>
      </w:r>
    </w:p>
    <w:p>
      <w:pPr>
        <w:spacing w:after="0" w:line="1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In accordance with General Instruction B.2 of Form 8-K, this information, including the exhibits hereto, shall not be deemed “filed” for the purposes of Section 18 of the Securities Exchange Act of 1934 (the “Exchange Act”) or otherwise subject to the liabilities of that section, nor shall such information, including the exhibits hereto be deemed incorporated by reference in any filing under the Securities Act of 1933, as amended, or the Exchange Act, except as shall be expressly set forth by specific reference in such filing.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90"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104"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Press release May 6, 2026</w:t>
      </w:r>
    </w:p>
    <w:p>
      <w:pPr>
        <w:spacing w:after="0" w:line="104"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7"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right="320" w:firstLine="64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SOLAREDGE TECHNOLOGIES, INC.</w:t>
            </w:r>
          </w:p>
        </w:tc>
      </w:tr>
      <w:tr>
        <w:trPr>
          <w:trHeight w:val="405"/>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78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By: /s/ Asaf Alperovitz</w:t>
            </w:r>
          </w:p>
        </w:tc>
      </w:tr>
      <w:tr>
        <w:trPr>
          <w:trHeight w:val="20"/>
        </w:trPr>
        <w:tc>
          <w:tcPr>
            <w:tcW w:w="3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45"/>
        </w:trPr>
        <w:tc>
          <w:tcPr>
            <w:tcW w:w="3360" w:type="dxa"/>
            <w:vAlign w:val="bottom"/>
          </w:tcPr>
          <w:p>
            <w:pPr>
              <w:spacing w:after="0"/>
              <w:rPr>
                <w:sz w:val="21"/>
                <w:szCs w:val="21"/>
                <w:color w:val="auto"/>
              </w:rPr>
            </w:pPr>
          </w:p>
        </w:tc>
        <w:tc>
          <w:tcPr>
            <w:tcW w:w="78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Name: Asaf Alperovitz</w:t>
            </w:r>
          </w:p>
        </w:tc>
      </w:tr>
      <w:tr>
        <w:trPr>
          <w:trHeight w:val="234"/>
        </w:trPr>
        <w:tc>
          <w:tcPr>
            <w:tcW w:w="3360" w:type="dxa"/>
            <w:vAlign w:val="bottom"/>
          </w:tcPr>
          <w:p>
            <w:pPr>
              <w:spacing w:after="0"/>
              <w:rPr>
                <w:sz w:val="20"/>
                <w:szCs w:val="20"/>
                <w:color w:val="auto"/>
              </w:rPr>
            </w:pPr>
          </w:p>
        </w:tc>
        <w:tc>
          <w:tcPr>
            <w:tcW w:w="78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310"/>
        </w:trPr>
        <w:tc>
          <w:tcPr>
            <w:tcW w:w="3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r>
        <w:trPr>
          <w:trHeight w:val="163"/>
        </w:trPr>
        <w:tc>
          <w:tcPr>
            <w:tcW w:w="33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4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48510"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4851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SolarEdge Announces First Quarter 2026 Financial Results</w:t>
      </w:r>
    </w:p>
    <w:p>
      <w:pPr>
        <w:spacing w:after="0" w:line="242" w:lineRule="exact"/>
        <w:rPr>
          <w:sz w:val="20"/>
          <w:szCs w:val="20"/>
          <w:color w:val="auto"/>
        </w:rPr>
      </w:pPr>
    </w:p>
    <w:p>
      <w:pPr>
        <w:ind w:right="480"/>
        <w:spacing w:after="0" w:line="302" w:lineRule="auto"/>
        <w:rPr>
          <w:sz w:val="20"/>
          <w:szCs w:val="20"/>
          <w:color w:val="auto"/>
        </w:rPr>
      </w:pPr>
      <w:r>
        <w:rPr>
          <w:rFonts w:ascii="Times New Roman" w:cs="Times New Roman" w:eastAsia="Times New Roman" w:hAnsi="Times New Roman"/>
          <w:sz w:val="18"/>
          <w:szCs w:val="18"/>
          <w:b w:val="1"/>
          <w:bCs w:val="1"/>
          <w:color w:val="auto"/>
        </w:rPr>
        <w:t>MILPITAS, Calif. — May 6, 2026</w:t>
      </w:r>
      <w:r>
        <w:rPr>
          <w:rFonts w:ascii="Times New Roman" w:cs="Times New Roman" w:eastAsia="Times New Roman" w:hAnsi="Times New Roman"/>
          <w:sz w:val="18"/>
          <w:szCs w:val="18"/>
          <w:color w:val="auto"/>
        </w:rPr>
        <w:t>. SolarEdge Technologies, Inc. (Nasdaq: SEDG), a global leader in smart energy technology, today announced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first quarter ended March 31, 2026.</w:t>
      </w:r>
    </w:p>
    <w:p>
      <w:pPr>
        <w:spacing w:after="0" w:line="158"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color w:val="auto"/>
        </w:rPr>
        <w:t>“Our first quarter results reflect strong execution, continued innovation, and business acceleration, with 46% year-over-year revenue growth and a sixth consecutive quarter of margin expansion,” said Shuki Nir, CEO of SolarEdge. “At the midpoint of our Q2 outlook, we expect to be close to breakeven operating profitability. With a return to profitability in sight, we have shifted decisively to offense and are focused on rolling out the SolarEdge Nexis platform and advancing our AI data-center power roadmap.”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reported revenues of $310.5 million, down 7.4% from $335.4 million in the prior quarter.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revenues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were $309.9 million, down 7.1% from $333.8 million the prior quarter.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revenue does not include significant one-time or pull forward of revenue from safe harbor nor from the 25D rush towards the end of the year.</w:t>
      </w:r>
    </w:p>
    <w:p>
      <w:pPr>
        <w:spacing w:after="0" w:line="239" w:lineRule="exact"/>
        <w:rPr>
          <w:sz w:val="20"/>
          <w:szCs w:val="20"/>
          <w:color w:val="auto"/>
        </w:rPr>
      </w:pPr>
    </w:p>
    <w:p>
      <w:pPr>
        <w:ind w:right="600"/>
        <w:spacing w:after="0" w:line="297" w:lineRule="auto"/>
        <w:rPr>
          <w:sz w:val="20"/>
          <w:szCs w:val="20"/>
          <w:color w:val="auto"/>
        </w:rPr>
      </w:pPr>
      <w:r>
        <w:rPr>
          <w:rFonts w:ascii="Times New Roman" w:cs="Times New Roman" w:eastAsia="Times New Roman" w:hAnsi="Times New Roman"/>
          <w:sz w:val="18"/>
          <w:szCs w:val="18"/>
          <w:color w:val="auto"/>
        </w:rPr>
        <w:t>During the quarter approximately 50.5 thousand inverters, 2.4 million optimizers and 331 MWh of batteries for PV applications were recognized as revenue.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gross margin was 22.0%, compared to 22.2% in the prior quarter.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gross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23.5%, compared to 23.3% in the prior quarter.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operating expenses were $123.3 million, compared to $122.8 million in the prior quarter.</w:t>
      </w:r>
    </w:p>
    <w:p>
      <w:pPr>
        <w:spacing w:after="0" w:line="229" w:lineRule="exact"/>
        <w:rPr>
          <w:sz w:val="20"/>
          <w:szCs w:val="20"/>
          <w:color w:val="auto"/>
        </w:rPr>
      </w:pPr>
    </w:p>
    <w:p>
      <w:pPr>
        <w:ind w:right="220"/>
        <w:spacing w:after="0" w:line="210" w:lineRule="auto"/>
        <w:rPr>
          <w:sz w:val="20"/>
          <w:szCs w:val="20"/>
          <w:color w:val="auto"/>
        </w:rPr>
      </w:pPr>
      <w:r>
        <w:rPr>
          <w:rFonts w:ascii="Times New Roman" w:cs="Times New Roman" w:eastAsia="Times New Roman" w:hAnsi="Times New Roman"/>
          <w:sz w:val="18"/>
          <w:szCs w:val="18"/>
          <w:color w:val="auto"/>
        </w:rPr>
        <w:t>Non-GAAP operating expenses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were $97.7 million, compared to $88.7 million in the prior quarter. Excluding a one-time expense of approximately $14 million, our operating expenses were approximately $84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operating loss was $55.0 million, compared to $48.3 million in the prior quarter.</w:t>
      </w:r>
    </w:p>
    <w:p>
      <w:pPr>
        <w:spacing w:after="0" w:line="242" w:lineRule="exact"/>
        <w:rPr>
          <w:sz w:val="20"/>
          <w:szCs w:val="20"/>
          <w:color w:val="auto"/>
        </w:rPr>
      </w:pPr>
    </w:p>
    <w:p>
      <w:pPr>
        <w:ind w:right="60"/>
        <w:spacing w:after="0" w:line="204" w:lineRule="auto"/>
        <w:rPr>
          <w:sz w:val="20"/>
          <w:szCs w:val="20"/>
          <w:color w:val="auto"/>
        </w:rPr>
      </w:pPr>
      <w:r>
        <w:rPr>
          <w:rFonts w:ascii="Times New Roman" w:cs="Times New Roman" w:eastAsia="Times New Roman" w:hAnsi="Times New Roman"/>
          <w:sz w:val="18"/>
          <w:szCs w:val="18"/>
          <w:color w:val="auto"/>
        </w:rPr>
        <w:t>Non-GAAP operating loss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$24.8 million, compared to $11.0 million in the prior quarter. Excluding a one-time expense of approximately $14 million, our operating loss was approximately $11 million, approximately flat with the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645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94"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1 Non-GAAP financial measure. See “Non-GAAP Financial Measures” for additional information on non-GAAP financial measures and a reconciliation to the most comparable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GAAP net loss was $57.4 million, compared to $132.1 million in the prior quarter.</w:t>
      </w:r>
    </w:p>
    <w:p>
      <w:pPr>
        <w:spacing w:after="0" w:line="229"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8"/>
          <w:szCs w:val="18"/>
          <w:color w:val="auto"/>
        </w:rPr>
        <w:t>Non-GAAP net loss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$26.3 million, compared to $8.2 million in the prior quarter. Excluding a one-time expense of approximately $14 million, our net loss was approximately $11.9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loss per share was $0.95, compared to $2.21 in the prior quarter.</w:t>
      </w:r>
    </w:p>
    <w:p>
      <w:pPr>
        <w:spacing w:after="0" w:line="229"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8"/>
          <w:szCs w:val="18"/>
          <w:color w:val="auto"/>
        </w:rPr>
        <w:t>Non-GAAP net loss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$0.43, compared to $0.14 in the prior quarter. Excluding a one-time expense of approximately $14 million, our net loss per share was approximately $0.20.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from operating activities was $24.4 million, compared with $52.6 million in the prior quarter.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generated was $20.7 million, compared to $43.3 million in the prior quarter.</w:t>
      </w:r>
    </w:p>
    <w:p>
      <w:pPr>
        <w:spacing w:after="0" w:line="12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As of March 31, 2026, our cash and investments portfolio, net of debt, grew by $2.0 million to $246.2 million, compared to $244.2 million as of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 for the Second Quarter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provides guidance for the second quarter ending June 30, 2026 as follows:</w:t>
      </w:r>
    </w:p>
    <w:p>
      <w:pPr>
        <w:spacing w:after="0" w:line="23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to be within the range of $325 million to $355 million; this range does not include significant one-time or pull forward of revenue.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expected to be within the range of 23% to 27%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expenses* to be within the range of $86 million to $91 million.</w:t>
      </w:r>
    </w:p>
    <w:p>
      <w:pPr>
        <w:spacing w:after="0" w:line="21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Non-GAAP gross margin and Non-GAAP operating expenses are non-GAAP financial measures, and these forward-looking measures have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reconciled to the most comparable GAAP outlook because it is not possible to do so without unreasonable efforts due to the uncertainty and potential variability of reconciling items, which are dependent on future events and often outside of management’s control and which could be significant. Because such items cannot be reasonably predicted with the level of precision required, we are unable to provide outlook for the comparable GAAP measures. Forward-looking estimates of Non-GAAP gross margin and Non-GAAP operating expenses are made in a manner consistent with the relevant definitions and assumptions noted herein and in our filings with the SEC.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4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 discuss its results for the first quarter ended March 31, 2026 at 8:00 a.m. ET on Wednesday, May 6, 2026. The call will be available, live, to interested parties by dialing +1 800-225-9448. For international callers, please dial +1 203-518-9708. The Conference ID is SEDG. </w:t>
      </w:r>
      <w:r>
        <w:rPr>
          <w:rFonts w:ascii="Times New Roman" w:cs="Times New Roman" w:eastAsia="Times New Roman" w:hAnsi="Times New Roman"/>
          <w:sz w:val="18"/>
          <w:szCs w:val="18"/>
          <w:b w:val="1"/>
          <w:bCs w:val="1"/>
          <w:color w:val="auto"/>
        </w:rPr>
        <w:t>To avoid a delay in connecting to the call, please dial in 10 minutes prior to the start time.</w:t>
      </w:r>
      <w:r>
        <w:rPr>
          <w:rFonts w:ascii="Times New Roman" w:cs="Times New Roman" w:eastAsia="Times New Roman" w:hAnsi="Times New Roman"/>
          <w:sz w:val="18"/>
          <w:szCs w:val="18"/>
          <w:color w:val="auto"/>
        </w:rPr>
        <w:t xml:space="preserve"> A live webcast will also be available in the Investors Relations section of the Company’s website at: </w:t>
      </w:r>
      <w:r>
        <w:rPr>
          <w:rFonts w:ascii="Times New Roman" w:cs="Times New Roman" w:eastAsia="Times New Roman" w:hAnsi="Times New Roman"/>
          <w:sz w:val="18"/>
          <w:szCs w:val="18"/>
          <w:u w:val="single" w:color="auto"/>
          <w:color w:val="auto"/>
        </w:rPr>
        <w:t>http://investors.solaredge.com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w:t>
      </w:r>
    </w:p>
    <w:p>
      <w:pPr>
        <w:spacing w:after="0" w:line="23"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color w:val="auto"/>
        </w:rPr>
        <w:t>A replay of the webcast will be available in the Investor Relations section of the Company’s web site approximately two hours after the conclusion of the call and will remain available for approximately 30 calendar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SolarEdge</w:t>
      </w:r>
    </w:p>
    <w:p>
      <w:pPr>
        <w:spacing w:after="0" w:line="243"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 xml:space="preserve">SolarEdge is a global leader in smart energy technology. By leveraging world-class engineering capabilities and with a relentless focus on innovation, SolarEdge creates smart energy solutions that power our lives and drive future progress. SolarEdge developed an intelligent inverter solution that changed the way power is harvested and managed in photovoltaic (PV) systems. The SolarEdge DC optimized inverter seeks to maximize power generation while lowering the cost of energy produced by the PV system. Continuing to advance smart energy, SolarEdge addresses a broad range of energy market segments through its PV, batteries, EV charging, smart energy management, and grid services solutions. SolarEdge is online at </w:t>
      </w:r>
      <w:r>
        <w:rPr>
          <w:rFonts w:ascii="Times New Roman" w:cs="Times New Roman" w:eastAsia="Times New Roman" w:hAnsi="Times New Roman"/>
          <w:sz w:val="17"/>
          <w:szCs w:val="17"/>
          <w:u w:val="single" w:color="auto"/>
          <w:color w:val="auto"/>
        </w:rPr>
        <w:t>www.solaredge.com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To provide investors and others with additional information regarding SolarEdge’s results, SolarEdge has disclosed in this earnings release the following non-GAAP financial measures: non-GAAP revenue, non-GAAP operating income (loss), non-GAAP operating expenses, non-GAAP gross margin, non-GAAP net income (loss), non-GAAP net earnings (loss) per share, and non-GAAP net free cash flow. SolarEdge has provided a reconciliation of each non-GAAP financial measure used in this earnings release to the most directly comparable GAAP financial measure below. These non-GAAP financial measures differ from GAAP in that they exclude stock-based compensation, amortization and impairment of acquired intangible assets, restructuring and impairment charges, acquisition, disposition and other items, certain litigation and other contingencies, amortization of debt issuance cost, non-cash interest expense and non-cash revenue recognized from significant financing component, certain foreign currency exchange rates, gains and losses on investments, income and losses from equity method investments and discrete items that impacted our GAAP tax rate. Our non-GAAP financial measures also reflect the application of our non-GAAP tax rate.</w:t>
      </w:r>
    </w:p>
    <w:p>
      <w:pPr>
        <w:spacing w:after="0" w:line="20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SolarEdge’s management uses these non-GAAP financial measures to understand and compare operating results across accounting periods, for internal budgeting and forecasting purposes, for short- and long-term operating plans, to calculate bonus payments and to evaluate SolarEdge’s financial performance, the performance of its individual functional groups and the ability of operations to generate cash. Management believes these non-GAAP financial measures reflect SolarEdge’s ongoing business in a manner that allows for meaningful period-to-period comparisons and analysis of trends in SolarEdge’s business, as they exclude charges and gains that are not reflective of ongoing operating results. Management also believes that these non-GAAP financial measures provide useful information to investors and others in understanding and evaluating SolarEdge’s operating results and future prospects from the same perspective as management and in comparing financial results across accounting periods.</w:t>
      </w:r>
    </w:p>
    <w:p>
      <w:pPr>
        <w:spacing w:after="0" w:line="190"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8"/>
          <w:szCs w:val="18"/>
          <w:color w:val="auto"/>
        </w:rPr>
        <w:t>The use of non-GAAP financial measures has certain limitations because they do not reflect all items of income and expense that affect SolarEdge’s operations. These non-GAAP financial measures should be considered in addition to, not as a substitute for or in isolation from, measures prepared in accordance with GAAP and should not be considered measures of SolarEdge’s liquidity. Further, these non-GAAP measures may differ from the non-GAAP information used by other companies, including peer companies, and therefore comparability may be limited. Management encourages investors and others to review SolarEdge’s financial information in its entirety and not rely on a single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4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Statements contained in this press release contains may contain forward-looking statements that are based on our management’s expectations, estimates, projections, beliefs and assumptions in accordance with information currently available to our management. This press release contains certain forward-looking statements within the meaning of Section 27A of the Securities Act of 1933, as amended, and Section 21E of the Securities Exchange Act of 1934, as amended. Forward-looking statements include information, among other things, concerning our possible or assumed future results of operations, return to positive free cash flow generation, future demands for solar energy solutions, business strategies, technology developments, new products and services, financing and investment plans; dividend policy; competitive position, industry and regulatory environment, general economic conditions; potential growth opportunities; cancellations and pushouts of existing backlog; installation rates; goodwill impairment; the effects of competition; tariff impacts and the impacts of the One Big Beautiful Bill Act. Forward-looking statements include statements that are not historical facts and can be identified by terms such as “anticipate,” “believe,” “could,” “seek,” “estimate,” “expect,” “intend,” “may,” “plan,” “potential,” “predict,” “project,” “should,” “will,” “would” or similar expressions and the negatives of those terms.</w:t>
      </w:r>
    </w:p>
    <w:p>
      <w:pPr>
        <w:spacing w:after="0" w:line="194" w:lineRule="exact"/>
        <w:rPr>
          <w:sz w:val="20"/>
          <w:szCs w:val="20"/>
          <w:color w:val="auto"/>
        </w:rPr>
      </w:pPr>
    </w:p>
    <w:p>
      <w:pPr>
        <w:spacing w:after="0" w:line="225" w:lineRule="exact"/>
        <w:rPr>
          <w:sz w:val="20"/>
          <w:szCs w:val="20"/>
          <w:color w:val="auto"/>
        </w:rPr>
      </w:pPr>
      <w:r>
        <w:rPr>
          <w:rFonts w:ascii="Times New Roman" w:cs="Times New Roman" w:eastAsia="Times New Roman" w:hAnsi="Times New Roman"/>
          <w:sz w:val="18"/>
          <w:szCs w:val="18"/>
          <w:color w:val="auto"/>
        </w:rPr>
        <w:t>Forward-looking statements inherently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release. Important factors that could cause actual results to differ materially from our expectations include, but are not limited to: our ability to be profitable in the future; the rapidly evolving and competitive nature of the solar industry; changes in tax laws, tax treaties, and regulations or the interpretation of them, including the Inflation Reduction Act and the H.R.1; future demand for renewable energy including solar energy solutions; our ability to maintain a return to free cash flow positive generation; macroeconomic conditions in our domestic and international markets, as well as inflation concerns, rising interest rates and recessionary concerns; changes in the U.S. and global trade environments, including the imposition and/or increase of import tariffs or other restrictive trade measures; the retail price of electricity derived from the utility grid or alternative energy sources; our ability to forecast demand for our products accurately and to match production to such demand as well as our customers’ ability to forecast demand based on inventory levels; interest rates and supply of capital in the global financial markets in general and in the PV market specifically; competition, including introductions of power optimizer, inverter, EV chargers, batteries and PV system monitoring products by our competitors; the retail price of electricity derived from the utility grid or alternative energy sources; developments in alternative technologies or improvements in distributed solar energy generation; historic cyclicality of the solar industry and periodic downturns; product quality or performance problems in our products; changes in our geographic footprint or product and service offerings; our dependence upon a small number of outside contract manufacturers and limited or single source suppliers; delays, disruptions, and quality control problems in manufacturing; shortages, delays, price changes, or cessation of operations or production affecting our suppliers of key components; capacity constraints, delivery schedules, manufacturing yields, and costs of our contract manufacturers and availability of components; changing political, geopolitical conditions, and the conditions of the global energy market; performance of distributors and large installers in selling our products; consolidation in the solar industry among our customers and distributors; our ability to implement our new Enterprise Resource Planning ("ERP") system; our ability to successfully operate our global operations with a reduced work force; our ability to recognize expected benefits from restructuring plans; any unauthorized access to, disclosure, or theft of confidential or personal information or unauthorized access to our network or other similar cyber incidents; attempts by third parties, our employees, or our vendors might gain unauthorized access to our network or seek to compromise our products and services; emerging issues related to the development and use of artificial intelligence; loss of key executives, and our ability to retain key personnel and attract additional qualified personnel; disruption to our business operations due to the evolving conflict in Israel and other conditions in Israel that affect our operations; tax benefits that are available to us under Israeli law require us to meet various conditions and may be terminated or reduced in the future; difficulty to enforce a judgment of a U.S. court against our officers and directors, to assert U.S. securities laws claims in Israel; our dependence on ocean transportation to timely deliver our products in a cost-effective manner; fluctuations in global currency exchange rates; the impact of evolving legal and regulatory requirements, including corporate social responsibility and sustainability requirements; existing and future responses to and effects of pandemics, epidemics or other health crises; reduction, elimination or expiration of government subsidies and economic incentives for on-grid solar electricity applications; changes to net metering policies may reduce demand for electricity from PV systems; stringent and changing data privacy and security laws, rules, regulations and other obligations; federal, state, and local regulations governing the electric utility industry with respect to solar energy; business practices and regulatory compliance of our raw material suppliers; our ability to maintain our brand and to protect and defend our intellectual property; volatility of our stock price; our customers’ financial stability, creditworthiness, and debt leverage ratio; our ability to effectively design, launch, market, and sell new generations of our products and services; our ability to retain, and events affecting, our major customers; our ability to service our debt; impairment of our goodwill or other long-lived and intangible assets; our liquidity and ability to service our debt; and the other factors set forth under “Item 1A. Risk Factors” in our Annual Report on Form 10-K for the year ended December 31, 2025, filed on February 25, 2026, in subsequent Quarterly Reports on Form 10Q and in other documents we file from time to time with the SEC that disclose risks and uncertainties that may affect our business. The preceding list is not intended to be an exhaustive list of all of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 Although we believe that the expectations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reasonable, we cannot guarantee that future results, levels of activity, performance and events and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be achieved or will occur. Statements in this press release speak only as of the date they were made. The Company undertakes no duty or obligation to update any forward-looking statements contained in this release, whether as a result of new information, future events or changes in its expectations or otherwise, except as may be required by applicable law, regulation or other competent legal authority.</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Sapphire Investor Relations,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Erica Mannion or Michael Funari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investors@solaredge.com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7" w:name="page8"/>
    <w:bookmarkEnd w:id="7"/>
    <w:p>
      <w:pPr>
        <w:ind w:left="406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3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37"/>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219,480</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201,944</w:t>
            </w:r>
          </w:p>
        </w:tc>
      </w:tr>
      <w:tr>
        <w:trPr>
          <w:trHeight w:val="23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68,281</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50,155</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61,997</w:t>
            </w: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27,449</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31,657</w:t>
            </w: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36,422</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30,183</w:t>
            </w:r>
          </w:p>
        </w:tc>
      </w:tr>
      <w:tr>
        <w:trPr>
          <w:trHeight w:val="237"/>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(3,575)</w:t>
            </w:r>
          </w:p>
        </w:tc>
      </w:tr>
      <w:tr>
        <w:trPr>
          <w:trHeight w:val="209"/>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123,324</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120,262</w:t>
            </w:r>
          </w:p>
        </w:tc>
        <w:tc>
          <w:tcPr>
            <w:tcW w:w="100" w:type="dxa"/>
            <w:vAlign w:val="bottom"/>
            <w:shd w:val="clear" w:color="auto" w:fill="CCEEFF"/>
          </w:tcPr>
          <w:p>
            <w:pPr>
              <w:spacing w:after="0"/>
              <w:rPr>
                <w:sz w:val="18"/>
                <w:szCs w:val="18"/>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000000"/>
          </w:tcPr>
          <w:p>
            <w:pPr>
              <w:spacing w:after="0"/>
              <w:rPr>
                <w:sz w:val="2"/>
                <w:szCs w:val="2"/>
                <w:color w:val="auto"/>
              </w:rPr>
            </w:pPr>
          </w:p>
        </w:tc>
        <w:tc>
          <w:tcPr>
            <w:tcW w:w="7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(55,043)</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(102,726)</w:t>
            </w: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10,068</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(56,080)</w:t>
            </w:r>
          </w:p>
        </w:tc>
        <w:tc>
          <w:tcPr>
            <w:tcW w:w="2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(92,510)</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(1,286)</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(5,726)</w:t>
            </w: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380" w:type="dxa"/>
            <w:vAlign w:val="bottom"/>
            <w:shd w:val="clear" w:color="auto" w:fill="CCEEFF"/>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(57,366)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(98,523)</w:t>
            </w:r>
          </w:p>
        </w:tc>
      </w:tr>
      <w:tr>
        <w:trPr>
          <w:trHeight w:val="21"/>
        </w:trPr>
        <w:tc>
          <w:tcPr>
            <w:tcW w:w="3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38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512,381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455,075</w:t>
            </w: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40,985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84,771</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29,269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38,097</w:t>
            </w:r>
          </w:p>
        </w:tc>
        <w:tc>
          <w:tcPr>
            <w:tcW w:w="0" w:type="dxa"/>
            <w:vAlign w:val="bottom"/>
          </w:tcPr>
          <w:p>
            <w:pPr>
              <w:spacing w:after="0"/>
              <w:rPr>
                <w:sz w:val="1"/>
                <w:szCs w:val="1"/>
                <w:color w:val="auto"/>
              </w:rPr>
            </w:pP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Trade receivables, net of allowances of $30,478 and $17,224, respectively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267,441</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596,824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552,632</w:t>
            </w:r>
          </w:p>
        </w:tc>
        <w:tc>
          <w:tcPr>
            <w:tcW w:w="0" w:type="dxa"/>
            <w:vAlign w:val="bottom"/>
          </w:tcPr>
          <w:p>
            <w:pPr>
              <w:spacing w:after="0"/>
              <w:rPr>
                <w:sz w:val="1"/>
                <w:szCs w:val="1"/>
                <w:color w:val="auto"/>
              </w:rPr>
            </w:pPr>
          </w:p>
        </w:tc>
      </w:tr>
      <w:tr>
        <w:trPr>
          <w:trHeight w:val="236"/>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341,831</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1,816,681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1,739,847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269,351</w:t>
            </w:r>
          </w:p>
        </w:tc>
        <w:tc>
          <w:tcPr>
            <w:tcW w:w="0" w:type="dxa"/>
            <w:vAlign w:val="bottom"/>
          </w:tcPr>
          <w:p>
            <w:pPr>
              <w:spacing w:after="0"/>
              <w:rPr>
                <w:sz w:val="1"/>
                <w:szCs w:val="1"/>
                <w:color w:val="auto"/>
              </w:rPr>
            </w:pP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50,085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48,178</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7,129</w:t>
            </w:r>
          </w:p>
        </w:tc>
        <w:tc>
          <w:tcPr>
            <w:tcW w:w="0" w:type="dxa"/>
            <w:vAlign w:val="bottom"/>
          </w:tcPr>
          <w:p>
            <w:pPr>
              <w:spacing w:after="0"/>
              <w:rPr>
                <w:sz w:val="1"/>
                <w:szCs w:val="1"/>
                <w:color w:val="auto"/>
              </w:rPr>
            </w:pPr>
          </w:p>
        </w:tc>
      </w:tr>
      <w:tr>
        <w:trPr>
          <w:trHeight w:val="229"/>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49,852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50,123</w:t>
            </w: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72,505</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67,566</w:t>
            </w:r>
          </w:p>
        </w:tc>
        <w:tc>
          <w:tcPr>
            <w:tcW w:w="0" w:type="dxa"/>
            <w:vAlign w:val="bottom"/>
          </w:tcPr>
          <w:p>
            <w:pPr>
              <w:spacing w:after="0"/>
              <w:rPr>
                <w:sz w:val="1"/>
                <w:szCs w:val="1"/>
                <w:color w:val="auto"/>
              </w:rPr>
            </w:pPr>
          </w:p>
        </w:tc>
      </w:tr>
      <w:tr>
        <w:trPr>
          <w:trHeight w:val="175"/>
        </w:trPr>
        <w:tc>
          <w:tcPr>
            <w:tcW w:w="86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long-term assets</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443,827</w:t>
            </w: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442,347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380" w:type="dxa"/>
            <w:vAlign w:val="bottom"/>
            <w:tcBorders>
              <w:top w:val="single" w:sz="8" w:color="auto"/>
            </w:tcBorders>
          </w:tcPr>
          <w:p>
            <w:pPr>
              <w:spacing w:after="0"/>
              <w:rPr>
                <w:sz w:val="3"/>
                <w:szCs w:val="3"/>
                <w:color w:val="auto"/>
              </w:rPr>
            </w:pPr>
          </w:p>
        </w:tc>
        <w:tc>
          <w:tcPr>
            <w:tcW w:w="83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2,260,508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2,182,194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271,983</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81,990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73,992</w:t>
            </w:r>
          </w:p>
        </w:tc>
        <w:tc>
          <w:tcPr>
            <w:tcW w:w="0" w:type="dxa"/>
            <w:vAlign w:val="bottom"/>
          </w:tcPr>
          <w:p>
            <w:pPr>
              <w:spacing w:after="0"/>
              <w:rPr>
                <w:sz w:val="1"/>
                <w:szCs w:val="1"/>
                <w:color w:val="auto"/>
              </w:rPr>
            </w:pP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Warranty obligations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83,685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89,330</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38,540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70,371</w:t>
            </w:r>
          </w:p>
        </w:tc>
        <w:tc>
          <w:tcPr>
            <w:tcW w:w="0" w:type="dxa"/>
            <w:vAlign w:val="bottom"/>
          </w:tcPr>
          <w:p>
            <w:pPr>
              <w:spacing w:after="0"/>
              <w:rPr>
                <w:sz w:val="1"/>
                <w:szCs w:val="1"/>
                <w:color w:val="auto"/>
              </w:rPr>
            </w:pPr>
          </w:p>
        </w:tc>
      </w:tr>
      <w:tr>
        <w:trPr>
          <w:trHeight w:val="237"/>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288,549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297,819</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897,271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803,495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331,944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331,561</w:t>
            </w: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Warranty obligations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268,559</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293,328</w:t>
            </w: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18,323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18,558</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39,307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36,648</w:t>
            </w:r>
          </w:p>
        </w:tc>
        <w:tc>
          <w:tcPr>
            <w:tcW w:w="0" w:type="dxa"/>
            <w:vAlign w:val="bottom"/>
          </w:tcPr>
          <w:p>
            <w:pPr>
              <w:spacing w:after="0"/>
              <w:rPr>
                <w:sz w:val="1"/>
                <w:szCs w:val="1"/>
                <w:color w:val="auto"/>
              </w:rPr>
            </w:pPr>
          </w:p>
        </w:tc>
      </w:tr>
      <w:tr>
        <w:trPr>
          <w:trHeight w:val="236"/>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10,865</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952,517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951,235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 $0.0001 par value - Authorized: 125,000,000; Issued and outstanding: 60,817,930 and</w:t>
            </w:r>
          </w:p>
        </w:tc>
        <w:tc>
          <w:tcPr>
            <w:tcW w:w="1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60,360,154 shares as of March 31, 2026 and December 31, 2025, respectively</w:t>
            </w:r>
          </w:p>
        </w:tc>
        <w:tc>
          <w:tcPr>
            <w:tcW w:w="12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1,896,782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1,872,760</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(11,663)</w:t>
            </w:r>
          </w:p>
        </w:tc>
        <w:tc>
          <w:tcPr>
            <w:tcW w:w="0" w:type="dxa"/>
            <w:vAlign w:val="bottom"/>
          </w:tcPr>
          <w:p>
            <w:pPr>
              <w:spacing w:after="0"/>
              <w:rPr>
                <w:sz w:val="1"/>
                <w:szCs w:val="1"/>
                <w:color w:val="auto"/>
              </w:rPr>
            </w:pPr>
          </w:p>
        </w:tc>
      </w:tr>
      <w:tr>
        <w:trPr>
          <w:trHeight w:val="237"/>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(1,491,005)</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(1,433,639)</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410,720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427,464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000000"/>
          </w:tcPr>
          <w:p>
            <w:pPr>
              <w:spacing w:after="0"/>
              <w:rPr>
                <w:sz w:val="2"/>
                <w:szCs w:val="2"/>
                <w:color w:val="auto"/>
              </w:rPr>
            </w:pPr>
          </w:p>
        </w:tc>
        <w:tc>
          <w:tcPr>
            <w:tcW w:w="10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2,260,508</w:t>
            </w:r>
          </w:p>
        </w:tc>
        <w:tc>
          <w:tcPr>
            <w:tcW w:w="220" w:type="dxa"/>
            <w:vAlign w:val="bottom"/>
          </w:tcPr>
          <w:p>
            <w:pPr>
              <w:spacing w:after="0"/>
              <w:rPr>
                <w:sz w:val="15"/>
                <w:szCs w:val="15"/>
                <w:color w:val="auto"/>
              </w:rPr>
            </w:pPr>
          </w:p>
        </w:tc>
        <w:tc>
          <w:tcPr>
            <w:tcW w:w="2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2,182,194</w:t>
            </w: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38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9" w:name="page10"/>
    <w:bookmarkEnd w:id="9"/>
    <w:p>
      <w:pPr>
        <w:ind w:left="406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3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09"/>
        </w:trPr>
        <w:tc>
          <w:tcPr>
            <w:tcW w:w="26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flows from operating activities:</w:t>
            </w:r>
          </w:p>
        </w:tc>
        <w:tc>
          <w:tcPr>
            <w:tcW w:w="6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(98,523)</w:t>
            </w:r>
          </w:p>
        </w:tc>
      </w:tr>
      <w:tr>
        <w:trPr>
          <w:trHeight w:val="230"/>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12,001</w:t>
            </w:r>
          </w:p>
        </w:tc>
      </w:tr>
      <w:tr>
        <w:trPr>
          <w:trHeight w:val="230"/>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31,426</w:t>
            </w:r>
          </w:p>
        </w:tc>
      </w:tr>
      <w:tr>
        <w:trPr>
          <w:trHeight w:val="229"/>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Loss from business disposition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(gain) from exchange rate fluctuations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(2,930)</w:t>
            </w:r>
          </w:p>
        </w:tc>
      </w:tr>
      <w:tr>
        <w:trPr>
          <w:trHeight w:val="230"/>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Other items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r>
      <w:tr>
        <w:trPr>
          <w:trHeight w:val="229"/>
        </w:trPr>
        <w:tc>
          <w:tcPr>
            <w:tcW w:w="8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29,247</w:t>
            </w:r>
          </w:p>
        </w:tc>
      </w:tr>
      <w:tr>
        <w:trPr>
          <w:trHeight w:val="230"/>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(38,339)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12,285</w:t>
            </w:r>
          </w:p>
        </w:tc>
      </w:tr>
      <w:tr>
        <w:trPr>
          <w:trHeight w:val="229"/>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(88,163)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100,361</w:t>
            </w:r>
          </w:p>
        </w:tc>
      </w:tr>
      <w:tr>
        <w:trPr>
          <w:trHeight w:val="230"/>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3,659</w:t>
            </w:r>
          </w:p>
        </w:tc>
      </w:tr>
      <w:tr>
        <w:trPr>
          <w:trHeight w:val="229"/>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30,275</w:t>
            </w:r>
          </w:p>
        </w:tc>
      </w:tr>
      <w:tr>
        <w:trPr>
          <w:trHeight w:val="229"/>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Warranty obligations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(36,064)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(19,745)</w:t>
            </w:r>
          </w:p>
        </w:tc>
      </w:tr>
      <w:tr>
        <w:trPr>
          <w:trHeight w:val="229"/>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(11,168)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(51,970)</w:t>
            </w:r>
          </w:p>
        </w:tc>
      </w:tr>
      <w:tr>
        <w:trPr>
          <w:trHeight w:val="229"/>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(3,571)</w:t>
            </w:r>
          </w:p>
        </w:tc>
      </w:tr>
      <w:tr>
        <w:trPr>
          <w:trHeight w:val="237"/>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(10,142)</w:t>
            </w:r>
          </w:p>
        </w:tc>
      </w:tr>
      <w:tr>
        <w:trPr>
          <w:trHeight w:val="237"/>
        </w:trPr>
        <w:tc>
          <w:tcPr>
            <w:tcW w:w="86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24,428</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33,823</w:t>
            </w:r>
          </w:p>
        </w:tc>
        <w:tc>
          <w:tcPr>
            <w:tcW w:w="100" w:type="dxa"/>
            <w:vAlign w:val="bottom"/>
            <w:tcBorders>
              <w:top w:val="single" w:sz="8" w:color="CCEEFF"/>
            </w:tcBorders>
          </w:tcPr>
          <w:p>
            <w:pPr>
              <w:spacing w:after="0"/>
              <w:rPr>
                <w:sz w:val="20"/>
                <w:szCs w:val="20"/>
                <w:color w:val="auto"/>
              </w:rPr>
            </w:pPr>
          </w:p>
        </w:tc>
      </w:tr>
      <w:tr>
        <w:trPr>
          <w:trHeight w:val="210"/>
        </w:trPr>
        <w:tc>
          <w:tcPr>
            <w:tcW w:w="26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flows from investing activities:</w:t>
            </w:r>
          </w:p>
        </w:tc>
        <w:tc>
          <w:tcPr>
            <w:tcW w:w="60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0"/>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Investment in available-for-sale marketable securities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(72,465)</w:t>
            </w:r>
          </w:p>
        </w:tc>
      </w:tr>
      <w:tr>
        <w:trPr>
          <w:trHeight w:val="229"/>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maturities of available-for-sale marketable securities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142,931</w:t>
            </w:r>
          </w:p>
        </w:tc>
      </w:tr>
      <w:tr>
        <w:trPr>
          <w:trHeight w:val="230"/>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(10,109)</w:t>
            </w:r>
          </w:p>
        </w:tc>
      </w:tr>
      <w:tr>
        <w:trPr>
          <w:trHeight w:val="230"/>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Business dispositions, net of cash sold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Repayment related to governmental grant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(6,643)</w:t>
            </w:r>
          </w:p>
        </w:tc>
      </w:tr>
      <w:tr>
        <w:trPr>
          <w:trHeight w:val="229"/>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Withdrawal from restricted bank deposits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Payments made before lease commencement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(26,162)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loan receivables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13,653</w:t>
            </w:r>
          </w:p>
        </w:tc>
      </w:tr>
      <w:tr>
        <w:trPr>
          <w:trHeight w:val="236"/>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37"/>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75"/>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26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Repurchase of convertible debt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(5,093)</w:t>
            </w:r>
          </w:p>
        </w:tc>
      </w:tr>
      <w:tr>
        <w:trPr>
          <w:trHeight w:val="230"/>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Issuance of common stock upon exercise of stock-based awards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6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Tax withholding in connection with stock-based awards,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r>
      <w:tr>
        <w:trPr>
          <w:trHeight w:val="237"/>
        </w:trPr>
        <w:tc>
          <w:tcPr>
            <w:tcW w:w="86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w:t>
            </w:r>
          </w:p>
        </w:tc>
      </w:tr>
      <w:tr>
        <w:trPr>
          <w:trHeight w:val="236"/>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r>
      <w:tr>
        <w:trPr>
          <w:trHeight w:val="229"/>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 including cash classified within current held-for-sale assets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95,884</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cash classified within current held-for-sale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95,884</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539,846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409,939</w:t>
            </w:r>
          </w:p>
        </w:tc>
      </w:tr>
      <w:tr>
        <w:trPr>
          <w:trHeight w:val="270"/>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553,366</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505,823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06"/>
        </w:trPr>
        <w:tc>
          <w:tcPr>
            <w:tcW w:w="2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spacing w:after="0" w:line="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and percentages)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194"/>
        </w:trPr>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60" w:type="dxa"/>
            <w:vAlign w:val="bottom"/>
          </w:tcPr>
          <w:p>
            <w:pPr>
              <w:spacing w:after="0"/>
              <w:rPr>
                <w:sz w:val="16"/>
                <w:szCs w:val="16"/>
                <w:color w:val="auto"/>
              </w:rPr>
            </w:pPr>
          </w:p>
        </w:tc>
        <w:tc>
          <w:tcPr>
            <w:tcW w:w="1100" w:type="dxa"/>
            <w:vAlign w:val="bottom"/>
            <w:gridSpan w:val="3"/>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120" w:type="dxa"/>
            <w:vAlign w:val="bottom"/>
          </w:tcPr>
          <w:p>
            <w:pPr>
              <w:spacing w:after="0"/>
              <w:rPr>
                <w:sz w:val="19"/>
                <w:szCs w:val="19"/>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19"/>
                <w:szCs w:val="19"/>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60" w:type="dxa"/>
            <w:vAlign w:val="bottom"/>
          </w:tcPr>
          <w:p>
            <w:pPr>
              <w:spacing w:after="0"/>
              <w:rPr>
                <w:sz w:val="19"/>
                <w:szCs w:val="19"/>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59"/>
        </w:trPr>
        <w:tc>
          <w:tcPr>
            <w:tcW w:w="2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3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160" w:type="dxa"/>
            <w:vAlign w:val="bottom"/>
          </w:tcPr>
          <w:p>
            <w:pPr>
              <w:spacing w:after="0"/>
              <w:rPr>
                <w:sz w:val="22"/>
                <w:szCs w:val="22"/>
                <w:color w:val="auto"/>
              </w:rPr>
            </w:pPr>
          </w:p>
        </w:tc>
      </w:tr>
      <w:tr>
        <w:trPr>
          <w:trHeight w:val="194"/>
        </w:trPr>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Gross profit (loss)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5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68,281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74,471</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72,143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196,281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(877,204)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703,823</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Revenues from finance</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component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r>
      <w:tr>
        <w:trPr>
          <w:trHeight w:val="204"/>
        </w:trPr>
        <w:tc>
          <w:tcPr>
            <w:tcW w:w="21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Discontinued operation</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(1,107)</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(8,132)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(16,422)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Discontinued operation</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573</w:t>
            </w: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24,921</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36,648</w:t>
            </w:r>
          </w:p>
        </w:tc>
      </w:tr>
      <w:tr>
        <w:trPr>
          <w:trHeight w:val="23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3,607</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16,022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21,952</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23,200</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stock-</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based compensation</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 inventories</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w:t>
            </w:r>
          </w:p>
        </w:tc>
      </w:tr>
      <w:tr>
        <w:trPr>
          <w:trHeight w:val="204"/>
        </w:trPr>
        <w:tc>
          <w:tcPr>
            <w:tcW w:w="21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Amortization and</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acquired</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5,412</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6,038</w:t>
            </w: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15,327</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23,154</w:t>
            </w:r>
          </w:p>
        </w:tc>
      </w:tr>
      <w:tr>
        <w:trPr>
          <w:trHeight w:val="194"/>
        </w:trPr>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Gross profit (loss) (Non-</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9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72,990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77,716</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63,922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36,908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195,186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(807,438)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793,129</w:t>
            </w:r>
          </w:p>
        </w:tc>
      </w:tr>
      <w:tr>
        <w:trPr>
          <w:trHeight w:val="210"/>
        </w:trPr>
        <w:tc>
          <w:tcPr>
            <w:tcW w:w="2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4"/>
        </w:trPr>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Gross margin (loss)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5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Revenues from finance</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component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04"/>
        </w:trPr>
        <w:tc>
          <w:tcPr>
            <w:tcW w:w="21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Discontinued operation</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Discontinued operation</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stock-</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based compensation</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 inventories</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04"/>
        </w:trPr>
        <w:tc>
          <w:tcPr>
            <w:tcW w:w="21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Amortization and</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acquired</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r>
      <w:tr>
        <w:trPr>
          <w:trHeight w:val="194"/>
        </w:trPr>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Gross margin (loss) (Non-</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9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r>
      <w:tr>
        <w:trPr>
          <w:trHeight w:val="210"/>
        </w:trPr>
        <w:tc>
          <w:tcPr>
            <w:tcW w:w="2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4"/>
        </w:trPr>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5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123,324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122,781</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107,293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120,262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497,960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831,084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663,618</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 R&amp;D</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(8,061)</w:t>
            </w: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(8,442)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(10,681)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(9,856)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(15,911)</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(44,890)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(62,546)</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(66,944)</w:t>
            </w:r>
          </w:p>
        </w:tc>
      </w:tr>
      <w:tr>
        <w:trPr>
          <w:trHeight w:val="204"/>
        </w:trPr>
        <w:tc>
          <w:tcPr>
            <w:tcW w:w="21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S&amp;M</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(4,151)</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(4,298)</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(17,730)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(27,328)</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(30,987)</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 G&amp;A</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(4,033)</w:t>
            </w: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(13,903)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(25,425)</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(28,814)</w:t>
            </w:r>
          </w:p>
        </w:tc>
      </w:tr>
      <w:tr>
        <w:trPr>
          <w:trHeight w:val="204"/>
        </w:trPr>
        <w:tc>
          <w:tcPr>
            <w:tcW w:w="21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Amortization and</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acquired</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 R&amp;D</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and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acquired</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assets - S&amp;M</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r>
      <w:tr>
        <w:trPr>
          <w:trHeight w:val="204"/>
        </w:trPr>
        <w:tc>
          <w:tcPr>
            <w:tcW w:w="21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Amortization and</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acquired</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 G&amp;A</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stock-</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based compensation</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 assets</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(27,069)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(35,896)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(5,607)</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Assets impairment and</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by abandonment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(970)</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(3,135)</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(5,998)</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(251,823)</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(30,790)</w:t>
            </w: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(loss) from assets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(8,327)</w:t>
            </w: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(17,108)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(23,721)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1,262</w:t>
            </w:r>
          </w:p>
        </w:tc>
      </w:tr>
      <w:tr>
        <w:trPr>
          <w:trHeight w:val="205"/>
        </w:trPr>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ectPr>
          <w:pgSz w:w="11900" w:h="16900" w:orient="portrait"/>
          <w:cols w:equalWidth="0" w:num="1">
            <w:col w:w="11240"/>
          </w:cols>
          <w:pgMar w:left="320" w:top="117"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litigation and other</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399</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w:t>
            </w:r>
          </w:p>
        </w:tc>
      </w:tr>
      <w:tr>
        <w:trPr>
          <w:trHeight w:val="24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w:t>
            </w: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194"/>
        </w:trPr>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expenses (Non-</w:t>
            </w: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5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97,741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88,715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87,679</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85,240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89,087</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350,721</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447,101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503,105</w:t>
            </w:r>
          </w:p>
        </w:tc>
      </w:tr>
      <w:tr>
        <w:trPr>
          <w:trHeight w:val="412"/>
        </w:trPr>
        <w:tc>
          <w:tcPr>
            <w:tcW w:w="212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2" w:name="page13"/>
    <w:bookmarkEnd w:id="12"/>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and percentages)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3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30, 2025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(55,043)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(48,310)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(35,150)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(115,493)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(102,726)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(301,679)</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(1,708,288)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40,205</w:t>
            </w: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finance</w:t>
            </w:r>
          </w:p>
        </w:tc>
        <w:tc>
          <w:tcPr>
            <w:tcW w:w="180" w:type="dxa"/>
            <w:vAlign w:val="bottom"/>
          </w:tcPr>
          <w:p>
            <w:pPr>
              <w:spacing w:after="0"/>
              <w:rPr>
                <w:sz w:val="18"/>
                <w:szCs w:val="18"/>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spacing w:after="0"/>
              <w:rPr>
                <w:sz w:val="18"/>
                <w:szCs w:val="18"/>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18"/>
                <w:szCs w:val="1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8"/>
                <w:szCs w:val="18"/>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component</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5,551</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26,771</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(4,784)</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14,668</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28,214</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37,036</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19,852</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19,973</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21,885</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19,261</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31,426</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92,545</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137,251</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149,945</w:t>
            </w: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stock-based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capitalized in</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tcPr>
          <w:p>
            <w:pPr>
              <w:spacing w:after="0"/>
              <w:rPr>
                <w:sz w:val="18"/>
                <w:szCs w:val="18"/>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8,017</w:t>
            </w:r>
          </w:p>
        </w:tc>
        <w:tc>
          <w:tcPr>
            <w:tcW w:w="12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7,969</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of acquired assets</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stock-based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capitalized in</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20,934</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23,154</w:t>
            </w: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impairment and</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970</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3,135</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w:t>
            </w:r>
          </w:p>
        </w:tc>
        <w:tc>
          <w:tcPr>
            <w:tcW w:w="16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251,823</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30,790</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by abandonment</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(gain) from assets sales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7,117</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17,108</w:t>
            </w: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23,721</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litigation and other</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(24,751)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(10,999)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(23,757)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(48,332)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(72,447)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(155,535)</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(1,254,539)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290,024</w:t>
            </w:r>
          </w:p>
        </w:tc>
        <w:tc>
          <w:tcPr>
            <w:tcW w:w="0" w:type="dxa"/>
            <w:vAlign w:val="bottom"/>
          </w:tcPr>
          <w:p>
            <w:pPr>
              <w:spacing w:after="0"/>
              <w:rPr>
                <w:sz w:val="1"/>
                <w:szCs w:val="1"/>
                <w:color w:val="auto"/>
              </w:rPr>
            </w:pPr>
          </w:p>
        </w:tc>
      </w:tr>
      <w:tr>
        <w:trPr>
          <w:trHeight w:val="27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80" w:type="dxa"/>
            <w:vAlign w:val="bottom"/>
            <w:vMerge w:val="continue"/>
            <w:shd w:val="clear" w:color="auto" w:fill="CCEEFF"/>
          </w:tcPr>
          <w:p>
            <w:pPr>
              <w:spacing w:after="0"/>
              <w:rPr>
                <w:sz w:val="24"/>
                <w:szCs w:val="24"/>
                <w:color w:val="auto"/>
              </w:rPr>
            </w:pPr>
          </w:p>
        </w:tc>
        <w:tc>
          <w:tcPr>
            <w:tcW w:w="980" w:type="dxa"/>
            <w:vAlign w:val="bottom"/>
            <w:gridSpan w:val="2"/>
            <w:vMerge w:val="continue"/>
            <w:shd w:val="clear" w:color="auto" w:fill="CCEEFF"/>
          </w:tcPr>
          <w:p>
            <w:pPr>
              <w:spacing w:after="0"/>
              <w:rPr>
                <w:sz w:val="24"/>
                <w:szCs w:val="24"/>
                <w:color w:val="auto"/>
              </w:rPr>
            </w:pPr>
          </w:p>
        </w:tc>
        <w:tc>
          <w:tcPr>
            <w:tcW w:w="180" w:type="dxa"/>
            <w:vAlign w:val="bottom"/>
            <w:vMerge w:val="continue"/>
            <w:shd w:val="clear" w:color="auto" w:fill="CCEEFF"/>
          </w:tcPr>
          <w:p>
            <w:pPr>
              <w:spacing w:after="0"/>
              <w:rPr>
                <w:sz w:val="24"/>
                <w:szCs w:val="24"/>
                <w:color w:val="auto"/>
              </w:rPr>
            </w:pPr>
          </w:p>
        </w:tc>
        <w:tc>
          <w:tcPr>
            <w:tcW w:w="980" w:type="dxa"/>
            <w:vAlign w:val="bottom"/>
            <w:gridSpan w:val="2"/>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0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60" w:type="dxa"/>
            <w:vAlign w:val="bottom"/>
            <w:vMerge w:val="continue"/>
            <w:shd w:val="clear" w:color="auto" w:fill="CCEEFF"/>
          </w:tcPr>
          <w:p>
            <w:pPr>
              <w:spacing w:after="0"/>
              <w:rPr>
                <w:sz w:val="24"/>
                <w:szCs w:val="24"/>
                <w:color w:val="auto"/>
              </w:rPr>
            </w:pPr>
          </w:p>
        </w:tc>
        <w:tc>
          <w:tcPr>
            <w:tcW w:w="940" w:type="dxa"/>
            <w:vAlign w:val="bottom"/>
            <w:gridSpan w:val="2"/>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0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880" w:type="dxa"/>
            <w:vAlign w:val="bottom"/>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 (expense),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(77,784)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10,068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(71,999)</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(14,570)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41,212</w:t>
            </w: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(GAAP)</w:t>
            </w:r>
          </w:p>
        </w:tc>
        <w:tc>
          <w:tcPr>
            <w:tcW w:w="18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 cash interest expense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4,420</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4,326</w:t>
            </w:r>
          </w:p>
        </w:tc>
        <w:tc>
          <w:tcPr>
            <w:tcW w:w="1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4,051</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17,259</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14,877</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12,703</w:t>
            </w: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fluctuation related to</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7,151</w:t>
            </w:r>
          </w:p>
        </w:tc>
        <w:tc>
          <w:tcPr>
            <w:tcW w:w="16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10,430</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standard</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2,265</w:t>
            </w: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CTA reclassification upon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liquidation of a foreign</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59,520</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59,520</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foreign exchange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impact from VAT settlement</w:t>
            </w:r>
          </w:p>
        </w:tc>
        <w:tc>
          <w:tcPr>
            <w:tcW w:w="180" w:type="dxa"/>
            <w:vAlign w:val="bottom"/>
          </w:tcPr>
          <w:p>
            <w:pPr>
              <w:spacing w:after="0"/>
              <w:rPr>
                <w:sz w:val="19"/>
                <w:szCs w:val="19"/>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(3,900)</w:t>
            </w:r>
          </w:p>
        </w:tc>
        <w:tc>
          <w:tcPr>
            <w:tcW w:w="180" w:type="dxa"/>
            <w:vAlign w:val="bottom"/>
          </w:tcPr>
          <w:p>
            <w:pPr>
              <w:spacing w:after="0"/>
              <w:rPr>
                <w:sz w:val="19"/>
                <w:szCs w:val="19"/>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10,963</w:t>
            </w:r>
          </w:p>
        </w:tc>
        <w:tc>
          <w:tcPr>
            <w:tcW w:w="12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10,963</w:t>
            </w:r>
          </w:p>
        </w:tc>
        <w:tc>
          <w:tcPr>
            <w:tcW w:w="10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 (expense),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8,096</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6,419</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12,210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28,606</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50,860</w:t>
            </w:r>
          </w:p>
        </w:tc>
        <w:tc>
          <w:tcPr>
            <w:tcW w:w="0" w:type="dxa"/>
            <w:vAlign w:val="bottom"/>
          </w:tcPr>
          <w:p>
            <w:pPr>
              <w:spacing w:after="0"/>
              <w:rPr>
                <w:sz w:val="1"/>
                <w:szCs w:val="1"/>
                <w:color w:val="auto"/>
              </w:rPr>
            </w:pPr>
          </w:p>
        </w:tc>
      </w:tr>
      <w:tr>
        <w:trPr>
          <w:trHeight w:val="27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(Non-GAAP)</w:t>
            </w:r>
          </w:p>
        </w:tc>
        <w:tc>
          <w:tcPr>
            <w:tcW w:w="180" w:type="dxa"/>
            <w:vAlign w:val="bottom"/>
            <w:vMerge w:val="continue"/>
            <w:shd w:val="clear" w:color="auto" w:fill="CCEEFF"/>
          </w:tcPr>
          <w:p>
            <w:pPr>
              <w:spacing w:after="0"/>
              <w:rPr>
                <w:sz w:val="24"/>
                <w:szCs w:val="24"/>
                <w:color w:val="auto"/>
              </w:rPr>
            </w:pPr>
          </w:p>
        </w:tc>
        <w:tc>
          <w:tcPr>
            <w:tcW w:w="980" w:type="dxa"/>
            <w:vAlign w:val="bottom"/>
            <w:gridSpan w:val="2"/>
            <w:vMerge w:val="continue"/>
            <w:shd w:val="clear" w:color="auto" w:fill="CCEEFF"/>
          </w:tcPr>
          <w:p>
            <w:pPr>
              <w:spacing w:after="0"/>
              <w:rPr>
                <w:sz w:val="24"/>
                <w:szCs w:val="24"/>
                <w:color w:val="auto"/>
              </w:rPr>
            </w:pPr>
          </w:p>
        </w:tc>
        <w:tc>
          <w:tcPr>
            <w:tcW w:w="180" w:type="dxa"/>
            <w:vAlign w:val="bottom"/>
            <w:vMerge w:val="continue"/>
            <w:shd w:val="clear" w:color="auto" w:fill="CCEEFF"/>
          </w:tcPr>
          <w:p>
            <w:pPr>
              <w:spacing w:after="0"/>
              <w:rPr>
                <w:sz w:val="24"/>
                <w:szCs w:val="24"/>
                <w:color w:val="auto"/>
              </w:rPr>
            </w:pPr>
          </w:p>
        </w:tc>
        <w:tc>
          <w:tcPr>
            <w:tcW w:w="980" w:type="dxa"/>
            <w:vAlign w:val="bottom"/>
            <w:gridSpan w:val="2"/>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0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60" w:type="dxa"/>
            <w:vAlign w:val="bottom"/>
            <w:vMerge w:val="continue"/>
            <w:shd w:val="clear" w:color="auto" w:fill="CCEEFF"/>
          </w:tcPr>
          <w:p>
            <w:pPr>
              <w:spacing w:after="0"/>
              <w:rPr>
                <w:sz w:val="24"/>
                <w:szCs w:val="24"/>
                <w:color w:val="auto"/>
              </w:rPr>
            </w:pPr>
          </w:p>
        </w:tc>
        <w:tc>
          <w:tcPr>
            <w:tcW w:w="940" w:type="dxa"/>
            <w:vAlign w:val="bottom"/>
            <w:gridSpan w:val="2"/>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0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880" w:type="dxa"/>
            <w:vAlign w:val="bottom"/>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(loss) (GAAP)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(17,428)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(gain) from sale of equity</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and debt investments</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business</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combination</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Gain from the repurchase of</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(15,456)</w:t>
            </w:r>
          </w:p>
        </w:tc>
        <w:tc>
          <w:tcPr>
            <w:tcW w:w="12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from sale of</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(4,017)</w:t>
            </w:r>
          </w:p>
        </w:tc>
        <w:tc>
          <w:tcPr>
            <w:tcW w:w="16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privately-held companies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from impairment of</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6,427</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15,011</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21,438</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privately-held companies</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(loss) (Non-</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vMerge w:val="continue"/>
            <w:shd w:val="clear" w:color="auto" w:fill="CCEEFF"/>
          </w:tcPr>
          <w:p>
            <w:pPr>
              <w:spacing w:after="0"/>
              <w:rPr>
                <w:sz w:val="24"/>
                <w:szCs w:val="24"/>
                <w:color w:val="auto"/>
              </w:rPr>
            </w:pPr>
          </w:p>
        </w:tc>
        <w:tc>
          <w:tcPr>
            <w:tcW w:w="980" w:type="dxa"/>
            <w:vAlign w:val="bottom"/>
            <w:gridSpan w:val="2"/>
            <w:vMerge w:val="continue"/>
            <w:shd w:val="clear" w:color="auto" w:fill="CCEEFF"/>
          </w:tcPr>
          <w:p>
            <w:pPr>
              <w:spacing w:after="0"/>
              <w:rPr>
                <w:sz w:val="24"/>
                <w:szCs w:val="24"/>
                <w:color w:val="auto"/>
              </w:rPr>
            </w:pPr>
          </w:p>
        </w:tc>
        <w:tc>
          <w:tcPr>
            <w:tcW w:w="180" w:type="dxa"/>
            <w:vAlign w:val="bottom"/>
            <w:vMerge w:val="continue"/>
            <w:shd w:val="clear" w:color="auto" w:fill="CCEEFF"/>
          </w:tcPr>
          <w:p>
            <w:pPr>
              <w:spacing w:after="0"/>
              <w:rPr>
                <w:sz w:val="24"/>
                <w:szCs w:val="24"/>
                <w:color w:val="auto"/>
              </w:rPr>
            </w:pPr>
          </w:p>
        </w:tc>
        <w:tc>
          <w:tcPr>
            <w:tcW w:w="980" w:type="dxa"/>
            <w:vAlign w:val="bottom"/>
            <w:gridSpan w:val="2"/>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0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60" w:type="dxa"/>
            <w:vAlign w:val="bottom"/>
            <w:vMerge w:val="continue"/>
            <w:shd w:val="clear" w:color="auto" w:fill="CCEEFF"/>
          </w:tcPr>
          <w:p>
            <w:pPr>
              <w:spacing w:after="0"/>
              <w:rPr>
                <w:sz w:val="24"/>
                <w:szCs w:val="24"/>
                <w:color w:val="auto"/>
              </w:rPr>
            </w:pPr>
          </w:p>
        </w:tc>
        <w:tc>
          <w:tcPr>
            <w:tcW w:w="940" w:type="dxa"/>
            <w:vAlign w:val="bottom"/>
            <w:gridSpan w:val="2"/>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0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880" w:type="dxa"/>
            <w:vAlign w:val="bottom"/>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(5,657)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(5,726)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(13,382)</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(96,150)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(46,420)</w:t>
            </w: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adjustment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39,007</w:t>
            </w: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(45,896)</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(5,881)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(13,372)</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(57,143)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(92,316)</w:t>
            </w:r>
          </w:p>
        </w:tc>
        <w:tc>
          <w:tcPr>
            <w:tcW w:w="0" w:type="dxa"/>
            <w:vAlign w:val="bottom"/>
          </w:tcPr>
          <w:p>
            <w:pPr>
              <w:spacing w:after="0"/>
              <w:rPr>
                <w:sz w:val="1"/>
                <w:szCs w:val="1"/>
                <w:color w:val="auto"/>
              </w:rPr>
            </w:pPr>
          </w:p>
        </w:tc>
      </w:tr>
      <w:tr>
        <w:trPr>
          <w:trHeight w:val="27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80" w:type="dxa"/>
            <w:vAlign w:val="bottom"/>
            <w:vMerge w:val="continue"/>
            <w:shd w:val="clear" w:color="auto" w:fill="CCEEFF"/>
          </w:tcPr>
          <w:p>
            <w:pPr>
              <w:spacing w:after="0"/>
              <w:rPr>
                <w:sz w:val="24"/>
                <w:szCs w:val="24"/>
                <w:color w:val="auto"/>
              </w:rPr>
            </w:pPr>
          </w:p>
        </w:tc>
        <w:tc>
          <w:tcPr>
            <w:tcW w:w="980" w:type="dxa"/>
            <w:vAlign w:val="bottom"/>
            <w:gridSpan w:val="2"/>
            <w:vMerge w:val="continue"/>
            <w:shd w:val="clear" w:color="auto" w:fill="CCEEFF"/>
          </w:tcPr>
          <w:p>
            <w:pPr>
              <w:spacing w:after="0"/>
              <w:rPr>
                <w:sz w:val="24"/>
                <w:szCs w:val="24"/>
                <w:color w:val="auto"/>
              </w:rPr>
            </w:pPr>
          </w:p>
        </w:tc>
        <w:tc>
          <w:tcPr>
            <w:tcW w:w="180" w:type="dxa"/>
            <w:vAlign w:val="bottom"/>
            <w:vMerge w:val="continue"/>
            <w:shd w:val="clear" w:color="auto" w:fill="CCEEFF"/>
          </w:tcPr>
          <w:p>
            <w:pPr>
              <w:spacing w:after="0"/>
              <w:rPr>
                <w:sz w:val="24"/>
                <w:szCs w:val="24"/>
                <w:color w:val="auto"/>
              </w:rPr>
            </w:pPr>
          </w:p>
        </w:tc>
        <w:tc>
          <w:tcPr>
            <w:tcW w:w="980" w:type="dxa"/>
            <w:vAlign w:val="bottom"/>
            <w:gridSpan w:val="2"/>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0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60" w:type="dxa"/>
            <w:vAlign w:val="bottom"/>
            <w:vMerge w:val="continue"/>
            <w:shd w:val="clear" w:color="auto" w:fill="CCEEFF"/>
          </w:tcPr>
          <w:p>
            <w:pPr>
              <w:spacing w:after="0"/>
              <w:rPr>
                <w:sz w:val="24"/>
                <w:szCs w:val="24"/>
                <w:color w:val="auto"/>
              </w:rPr>
            </w:pPr>
          </w:p>
        </w:tc>
        <w:tc>
          <w:tcPr>
            <w:tcW w:w="940" w:type="dxa"/>
            <w:vAlign w:val="bottom"/>
            <w:gridSpan w:val="2"/>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00" w:type="dxa"/>
            <w:vAlign w:val="bottom"/>
            <w:vMerge w:val="continue"/>
            <w:shd w:val="clear" w:color="auto" w:fill="CCEEFF"/>
          </w:tcPr>
          <w:p>
            <w:pPr>
              <w:spacing w:after="0"/>
              <w:rPr>
                <w:sz w:val="24"/>
                <w:szCs w:val="24"/>
                <w:color w:val="auto"/>
              </w:rPr>
            </w:pPr>
          </w:p>
        </w:tc>
        <w:tc>
          <w:tcPr>
            <w:tcW w:w="1000" w:type="dxa"/>
            <w:vAlign w:val="bottom"/>
            <w:gridSpan w:val="2"/>
            <w:vMerge w:val="continue"/>
            <w:shd w:val="clear" w:color="auto" w:fill="CCEEFF"/>
          </w:tcPr>
          <w:p>
            <w:pPr>
              <w:spacing w:after="0"/>
              <w:rPr>
                <w:sz w:val="24"/>
                <w:szCs w:val="24"/>
                <w:color w:val="auto"/>
              </w:rPr>
            </w:pPr>
          </w:p>
        </w:tc>
        <w:tc>
          <w:tcPr>
            <w:tcW w:w="120" w:type="dxa"/>
            <w:vAlign w:val="bottom"/>
            <w:vMerge w:val="continue"/>
            <w:shd w:val="clear" w:color="auto" w:fill="CCEEFF"/>
          </w:tcPr>
          <w:p>
            <w:pPr>
              <w:spacing w:after="0"/>
              <w:rPr>
                <w:sz w:val="24"/>
                <w:szCs w:val="24"/>
                <w:color w:val="auto"/>
              </w:rPr>
            </w:pPr>
          </w:p>
        </w:tc>
        <w:tc>
          <w:tcPr>
            <w:tcW w:w="880" w:type="dxa"/>
            <w:vAlign w:val="bottom"/>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(GAAP)</w:t>
            </w:r>
          </w:p>
        </w:tc>
        <w:tc>
          <w:tcPr>
            <w:tcW w:w="18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method</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8"/>
                <w:szCs w:val="18"/>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380" w:type="dxa"/>
            <w:vAlign w:val="bottom"/>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780" w:type="dxa"/>
            <w:vAlign w:val="bottom"/>
            <w:tcBorders>
              <w:top w:val="single" w:sz="8" w:color="auto"/>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780" w:type="dxa"/>
            <w:vAlign w:val="bottom"/>
            <w:tcBorders>
              <w:top w:val="single" w:sz="8" w:color="auto"/>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780" w:type="dxa"/>
            <w:vAlign w:val="bottom"/>
            <w:tcBorders>
              <w:top w:val="single" w:sz="8" w:color="auto"/>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780" w:type="dxa"/>
            <w:vAlign w:val="bottom"/>
            <w:tcBorders>
              <w:top w:val="single" w:sz="8" w:color="auto"/>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780" w:type="dxa"/>
            <w:vAlign w:val="bottom"/>
            <w:tcBorders>
              <w:top w:val="single" w:sz="8" w:color="auto"/>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347"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Equity method investments   </w:t>
            </w: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(Non-GAAP)</w:t>
            </w: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405"/>
        </w:trPr>
        <w:tc>
          <w:tcPr>
            <w:tcW w:w="23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and percentages)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3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30, 2025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(405,448)</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(1,806,357)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finance</w:t>
            </w:r>
          </w:p>
        </w:tc>
        <w:tc>
          <w:tcPr>
            <w:tcW w:w="180" w:type="dxa"/>
            <w:vAlign w:val="bottom"/>
          </w:tcPr>
          <w:p>
            <w:pPr>
              <w:spacing w:after="0"/>
              <w:rPr>
                <w:sz w:val="18"/>
                <w:szCs w:val="18"/>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spacing w:after="0"/>
              <w:rPr>
                <w:sz w:val="18"/>
                <w:szCs w:val="18"/>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Pr>
          <w:p>
            <w:pPr>
              <w:spacing w:after="0"/>
              <w:rPr>
                <w:sz w:val="18"/>
                <w:szCs w:val="18"/>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(1,375)</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8"/>
                <w:szCs w:val="18"/>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component</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6,953</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(13,828)</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29,036</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17,101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28,214</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37,036</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19,852</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19,973</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21,885</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19,261</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31,426</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92,545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137,251</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149,945</w:t>
            </w: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stock-based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capitalized in</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18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2,701</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Pr>
          <w:p>
            <w:pPr>
              <w:spacing w:after="0"/>
              <w:rPr>
                <w:sz w:val="18"/>
                <w:szCs w:val="18"/>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2,742</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8,017</w:t>
            </w:r>
          </w:p>
        </w:tc>
        <w:tc>
          <w:tcPr>
            <w:tcW w:w="12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7,969</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of acquired assets</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stock-based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capitalized in</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20,934</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23,154</w:t>
            </w: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impairment and</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970</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3,135</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w:t>
            </w:r>
          </w:p>
        </w:tc>
        <w:tc>
          <w:tcPr>
            <w:tcW w:w="1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5,998</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251,823</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30,790</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by abandonment</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(gain) from assets sales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8,327</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7,117</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17,108</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23,721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litigation and other</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cash interest expense</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4,793</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4,420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4,326</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4,051</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17,259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14,877</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12,703</w:t>
            </w: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CTA reclassification upon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liquidation of a foreign</w:t>
            </w:r>
          </w:p>
        </w:tc>
        <w:tc>
          <w:tcPr>
            <w:tcW w:w="180" w:type="dxa"/>
            <w:vAlign w:val="bottom"/>
          </w:tcPr>
          <w:p>
            <w:pPr>
              <w:spacing w:after="0"/>
              <w:rPr>
                <w:sz w:val="19"/>
                <w:szCs w:val="19"/>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9"/>
                <w:szCs w:val="19"/>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59,520</w:t>
            </w:r>
          </w:p>
        </w:tc>
        <w:tc>
          <w:tcPr>
            <w:tcW w:w="12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59,520</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foreign exchange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from VAT settlement</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(3,900)</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10,963</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10,963</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Currency fluctuation related to</w:t>
            </w:r>
          </w:p>
        </w:tc>
        <w:tc>
          <w:tcPr>
            <w:tcW w:w="180" w:type="dxa"/>
            <w:vAlign w:val="bottom"/>
          </w:tcPr>
          <w:p>
            <w:pPr>
              <w:spacing w:after="0"/>
              <w:rPr>
                <w:sz w:val="18"/>
                <w:szCs w:val="18"/>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7,151</w:t>
            </w:r>
          </w:p>
        </w:tc>
        <w:tc>
          <w:tcPr>
            <w:tcW w:w="180" w:type="dxa"/>
            <w:vAlign w:val="bottom"/>
          </w:tcPr>
          <w:p>
            <w:pPr>
              <w:spacing w:after="0"/>
              <w:rPr>
                <w:sz w:val="18"/>
                <w:szCs w:val="18"/>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10,430</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8"/>
                <w:szCs w:val="18"/>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lease standard</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from sale of equity</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debt investments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(gain) from business</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combination</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the repurchase of</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(15,456)</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(gain) from sale of</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(4,017)</w:t>
            </w:r>
          </w:p>
        </w:tc>
        <w:tc>
          <w:tcPr>
            <w:tcW w:w="180" w:type="dxa"/>
            <w:vAlign w:val="bottom"/>
          </w:tcPr>
          <w:p>
            <w:pPr>
              <w:spacing w:after="0"/>
              <w:rPr>
                <w:sz w:val="18"/>
                <w:szCs w:val="18"/>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(3,862)</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privately-held companies</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impairment of</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6,427</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15,011</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21,438</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privately-held companies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adjustment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39,007</w:t>
            </w: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(45,896)</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adjustments</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(Non-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(26,285)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(8,165)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(18,348)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(47,670)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(66,118)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(140,301)</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4"/>
              </w:rPr>
              <w:t>$ (1,312,119)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248,443</w:t>
            </w: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2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and percentages)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3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30, 2025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31, 2025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basic earnings (loss) per</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(GAAP)</w:t>
            </w:r>
          </w:p>
        </w:tc>
        <w:tc>
          <w:tcPr>
            <w:tcW w:w="18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finance</w:t>
            </w:r>
          </w:p>
        </w:tc>
        <w:tc>
          <w:tcPr>
            <w:tcW w:w="180" w:type="dxa"/>
            <w:vAlign w:val="bottom"/>
          </w:tcPr>
          <w:p>
            <w:pPr>
              <w:spacing w:after="0"/>
              <w:rPr>
                <w:sz w:val="18"/>
                <w:szCs w:val="18"/>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8"/>
                <w:szCs w:val="18"/>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8"/>
                <w:szCs w:val="18"/>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component</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stock-based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capitalized in</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8"/>
                <w:szCs w:val="18"/>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of acquired assets</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stock-based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capitalized in</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impairment and</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by abandonment</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(gain) from assets sales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litigation and other</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cash interest expense</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CTA reclassification upon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liquidation of a foreign</w:t>
            </w:r>
          </w:p>
        </w:tc>
        <w:tc>
          <w:tcPr>
            <w:tcW w:w="180" w:type="dxa"/>
            <w:vAlign w:val="bottom"/>
          </w:tcPr>
          <w:p>
            <w:pPr>
              <w:spacing w:after="0"/>
              <w:rPr>
                <w:sz w:val="19"/>
                <w:szCs w:val="19"/>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foreign exchange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from VAT settlement</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Currency fluctuation related to</w:t>
            </w:r>
          </w:p>
        </w:tc>
        <w:tc>
          <w:tcPr>
            <w:tcW w:w="180" w:type="dxa"/>
            <w:vAlign w:val="bottom"/>
          </w:tcPr>
          <w:p>
            <w:pPr>
              <w:spacing w:after="0"/>
              <w:rPr>
                <w:sz w:val="18"/>
                <w:szCs w:val="18"/>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Pr>
          <w:p>
            <w:pPr>
              <w:spacing w:after="0"/>
              <w:rPr>
                <w:sz w:val="18"/>
                <w:szCs w:val="18"/>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lease standard</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from sale of equity</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debt investments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(gain) from business</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combination</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the repurchase of</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(gain) from sale of</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spacing w:after="0"/>
              <w:rPr>
                <w:sz w:val="18"/>
                <w:szCs w:val="18"/>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privately-held companies</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impairment of</w:t>
            </w:r>
          </w:p>
        </w:tc>
        <w:tc>
          <w:tcPr>
            <w:tcW w:w="1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privately-held companies</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adjustment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adjustments</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basic earnings (loss) per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(0.81)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(Non-GAAP)</w:t>
            </w:r>
          </w:p>
        </w:tc>
        <w:tc>
          <w:tcPr>
            <w:tcW w:w="18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2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diluted earnings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(GAAP)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stock-based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capitalized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acquired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Amortization of stock-based compensation capitalized in assets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charges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impairment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 by abandonment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(gain) from assets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litigation and other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contingencies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costs</w:t>
      </w:r>
    </w:p>
    <w:p>
      <w:pPr>
        <w:spacing w:after="0" w:line="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Non cash interest expense CTA reclassification upon liquidation of a foreign subsidiary</w:t>
      </w:r>
    </w:p>
    <w:p>
      <w:pPr>
        <w:spacing w:after="0" w:line="2" w:lineRule="exact"/>
        <w:rPr>
          <w:sz w:val="20"/>
          <w:szCs w:val="20"/>
          <w:color w:val="auto"/>
        </w:rPr>
      </w:pPr>
    </w:p>
    <w:p>
      <w:pPr>
        <w:jc w:val="both"/>
        <w:ind w:right="40"/>
        <w:spacing w:after="0" w:line="226" w:lineRule="exact"/>
        <w:rPr>
          <w:sz w:val="20"/>
          <w:szCs w:val="20"/>
          <w:color w:val="auto"/>
        </w:rPr>
      </w:pPr>
      <w:r>
        <w:rPr>
          <w:rFonts w:ascii="Times New Roman" w:cs="Times New Roman" w:eastAsia="Times New Roman" w:hAnsi="Times New Roman"/>
          <w:sz w:val="18"/>
          <w:szCs w:val="18"/>
          <w:color w:val="auto"/>
        </w:rPr>
        <w:t>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foreign exchange impact from VAT settlement agreement</w:t>
      </w:r>
    </w:p>
    <w:p>
      <w:pPr>
        <w:spacing w:after="0" w:line="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Currency fluctuation related to lease standard</w:t>
      </w:r>
    </w:p>
    <w:p>
      <w:pPr>
        <w:ind w:right="60"/>
        <w:spacing w:after="0" w:line="258" w:lineRule="auto"/>
        <w:rPr>
          <w:sz w:val="20"/>
          <w:szCs w:val="20"/>
          <w:color w:val="auto"/>
        </w:rPr>
      </w:pPr>
      <w:r>
        <w:rPr>
          <w:rFonts w:ascii="Times New Roman" w:cs="Times New Roman" w:eastAsia="Times New Roman" w:hAnsi="Times New Roman"/>
          <w:sz w:val="18"/>
          <w:szCs w:val="18"/>
          <w:color w:val="auto"/>
        </w:rPr>
        <w:t>Loss (gain) from sale of equity and debt investments Loss (gain) from business combination</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Gain from the repurchase of convertible notes</w:t>
      </w:r>
    </w:p>
    <w:p>
      <w:pPr>
        <w:jc w:val="both"/>
        <w:ind w:right="240"/>
        <w:spacing w:after="0" w:line="260" w:lineRule="auto"/>
        <w:rPr>
          <w:sz w:val="20"/>
          <w:szCs w:val="20"/>
          <w:color w:val="auto"/>
        </w:rPr>
      </w:pPr>
      <w:r>
        <w:rPr>
          <w:rFonts w:ascii="Times New Roman" w:cs="Times New Roman" w:eastAsia="Times New Roman" w:hAnsi="Times New Roman"/>
          <w:sz w:val="18"/>
          <w:szCs w:val="18"/>
          <w:color w:val="auto"/>
        </w:rPr>
        <w:t>Loss (gain) from sale of privately-held companies Loss from impairment of privately-held companies Income tax adjustment</w:t>
      </w:r>
    </w:p>
    <w:p>
      <w:pPr>
        <w:spacing w:after="0" w:line="20" w:lineRule="exact"/>
        <w:rPr>
          <w:sz w:val="20"/>
          <w:szCs w:val="20"/>
          <w:color w:val="auto"/>
        </w:rPr>
      </w:pPr>
      <w:r>
        <w:rPr>
          <w:sz w:val="20"/>
          <w:szCs w:val="20"/>
          <w:color w:val="auto"/>
        </w:rPr>
        <w:br w:type="column"/>
      </w: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(Unaudited)</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 thousands, except per share data and percentages)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07"/>
        </w:trPr>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60" w:type="dxa"/>
            <w:vAlign w:val="bottom"/>
          </w:tcPr>
          <w:p>
            <w:pPr>
              <w:spacing w:after="0"/>
              <w:rPr>
                <w:sz w:val="18"/>
                <w:szCs w:val="18"/>
                <w:color w:val="auto"/>
              </w:rPr>
            </w:pPr>
          </w:p>
        </w:tc>
      </w:tr>
      <w:tr>
        <w:trPr>
          <w:trHeight w:val="245"/>
        </w:trPr>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60" w:type="dxa"/>
            <w:vAlign w:val="bottom"/>
          </w:tcPr>
          <w:p>
            <w:pPr>
              <w:spacing w:after="0"/>
              <w:rPr>
                <w:sz w:val="21"/>
                <w:szCs w:val="21"/>
                <w:color w:val="auto"/>
              </w:rPr>
            </w:pPr>
          </w:p>
        </w:tc>
      </w:tr>
      <w:tr>
        <w:trPr>
          <w:trHeight w:val="432"/>
        </w:trPr>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0.60</w:t>
            </w:r>
          </w:p>
        </w:tc>
      </w:tr>
      <w:tr>
        <w:trPr>
          <w:trHeight w:val="441"/>
        </w:trPr>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0.64</w:t>
            </w:r>
          </w:p>
        </w:tc>
      </w:tr>
      <w:tr>
        <w:trPr>
          <w:trHeight w:val="234"/>
        </w:trPr>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r>
      <w:tr>
        <w:trPr>
          <w:trHeight w:val="675"/>
        </w:trPr>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r>
      <w:tr>
        <w:trPr>
          <w:trHeight w:val="675"/>
        </w:trPr>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r>
      <w:tr>
        <w:trPr>
          <w:trHeight w:val="670"/>
        </w:trPr>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0.40</w:t>
            </w:r>
          </w:p>
        </w:tc>
      </w:tr>
      <w:tr>
        <w:trPr>
          <w:trHeight w:val="441"/>
        </w:trPr>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r>
      <w:tr>
        <w:trPr>
          <w:trHeight w:val="234"/>
        </w:trPr>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441"/>
        </w:trPr>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34"/>
        </w:trPr>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r>
      <w:tr>
        <w:trPr>
          <w:trHeight w:val="675"/>
        </w:trPr>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445"/>
        </w:trPr>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445"/>
        </w:trPr>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41"/>
        </w:trPr>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-5982970</wp:posOffset>
            </wp:positionV>
            <wp:extent cx="7132320"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-5417185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-5125720</wp:posOffset>
            </wp:positionV>
            <wp:extent cx="7132320"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-4268470</wp:posOffset>
            </wp:positionV>
            <wp:extent cx="713232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-3693795</wp:posOffset>
            </wp:positionV>
            <wp:extent cx="7132320" cy="282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-3265170</wp:posOffset>
            </wp:positionV>
            <wp:extent cx="7132320"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-2836545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-2262505</wp:posOffset>
            </wp:positionV>
            <wp:extent cx="713232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-1550670</wp:posOffset>
            </wp:positionV>
            <wp:extent cx="7132320" cy="282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-985520</wp:posOffset>
            </wp:positionV>
            <wp:extent cx="7132320"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-419100</wp:posOffset>
            </wp:positionV>
            <wp:extent cx="7132320"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080" w:space="200"/>
            <w:col w:w="8960"/>
          </w:cols>
          <w:pgMar w:left="320" w:top="347" w:right="339" w:bottom="0" w:gutter="0" w:footer="0" w:header="0"/>
        </w:sectPr>
      </w:pPr>
    </w:p>
    <w:tbl>
      <w:tblPr>
        <w:tblLayout w:type="fixed"/>
        <w:tblInd w:w="0" w:type="dxa"/>
        <w:tblCellMar>
          <w:top w:w="0" w:type="dxa"/>
          <w:left w:w="0" w:type="dxa"/>
          <w:bottom w:w="0" w:type="dxa"/>
          <w:right w:w="0" w:type="dxa"/>
        </w:tblCellMar>
      </w:tblPr>
      <w:tr>
        <w:trPr>
          <w:trHeight w:val="22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adjustments</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diluted earnings (loss)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share (Non-GAAP)</w:t>
            </w:r>
          </w:p>
        </w:tc>
        <w:tc>
          <w:tcPr>
            <w:tcW w:w="10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shares used in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computing net diluted</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60,517,248</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59,828,042</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59,278,269</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58,567,394</w:t>
            </w: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58,121,502</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58,954,380</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57,082,182</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57,237,518</w:t>
            </w: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725,859</w:t>
            </w:r>
          </w:p>
        </w:tc>
        <w:tc>
          <w:tcPr>
            <w:tcW w:w="0" w:type="dxa"/>
            <w:vAlign w:val="bottom"/>
          </w:tcPr>
          <w:p>
            <w:pPr>
              <w:spacing w:after="0"/>
              <w:rPr>
                <w:sz w:val="1"/>
                <w:szCs w:val="1"/>
                <w:color w:val="auto"/>
              </w:rPr>
            </w:pPr>
          </w:p>
        </w:tc>
      </w:tr>
      <w:tr>
        <w:trPr>
          <w:trHeight w:val="23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Notes due 2025</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2,276,818</w:t>
            </w: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shares used in</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computing net diluted</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60,517,248</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59,828,042</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59,278,269</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58,567,394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58,121,502</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58,954,380</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57,082,182</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60,240,195</w:t>
            </w: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 operating activities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24,428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52,629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25,608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33,823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104,261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(313,319)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(180,113)</w:t>
            </w:r>
          </w:p>
        </w:tc>
        <w:tc>
          <w:tcPr>
            <w:tcW w:w="0" w:type="dxa"/>
            <w:vAlign w:val="bottom"/>
          </w:tcPr>
          <w:p>
            <w:pPr>
              <w:spacing w:after="0"/>
              <w:rPr>
                <w:sz w:val="1"/>
                <w:szCs w:val="1"/>
                <w:color w:val="auto"/>
              </w:rPr>
            </w:pPr>
          </w:p>
        </w:tc>
      </w:tr>
      <w:tr>
        <w:trPr>
          <w:trHeight w:val="238"/>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w:t>
            </w:r>
          </w:p>
        </w:tc>
        <w:tc>
          <w:tcPr>
            <w:tcW w:w="100" w:type="dxa"/>
            <w:vAlign w:val="bottom"/>
          </w:tcPr>
          <w:p>
            <w:pPr>
              <w:spacing w:after="0"/>
              <w:rPr>
                <w:sz w:val="18"/>
                <w:szCs w:val="18"/>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(9,293)</w:t>
            </w:r>
          </w:p>
        </w:tc>
        <w:tc>
          <w:tcPr>
            <w:tcW w:w="10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8"/>
                <w:szCs w:val="18"/>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(10,109)</w:t>
            </w:r>
          </w:p>
        </w:tc>
        <w:tc>
          <w:tcPr>
            <w:tcW w:w="10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(23,467)</w:t>
            </w:r>
          </w:p>
        </w:tc>
        <w:tc>
          <w:tcPr>
            <w:tcW w:w="10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(108,163)</w:t>
            </w:r>
          </w:p>
        </w:tc>
        <w:tc>
          <w:tcPr>
            <w:tcW w:w="100" w:type="dxa"/>
            <w:vAlign w:val="bottom"/>
          </w:tcPr>
          <w:p>
            <w:pPr>
              <w:spacing w:after="0"/>
              <w:rPr>
                <w:sz w:val="18"/>
                <w:szCs w:val="18"/>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(170,523)</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and equipment</w:t>
            </w: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22,799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(421,482)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(350,636)</w:t>
            </w: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19685</wp:posOffset>
            </wp:positionV>
            <wp:extent cx="562356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356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2026-05-06T06:05:56Z</dcterms:created>
  <dcterms:modified xsi:type="dcterms:W3CDTF">2026-05-06T06:05:56Z</dcterms:modified>
</cp:coreProperties>
</file>