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240" w:after="60"/>
        <w:jc w:val="left"/>
        <w:rPr>
          <w:bdr w:val="single" w:sz="16" w:space="1" w:color="000000"/>
        </w:rPr>
      </w:pPr>
      <w:bookmarkStart w:id="0" w:name="a2635832.htm"/>
      <w:bookmarkStart w:id="1" w:name="ksa2635832"/>
      <w:bookmarkEnd w:id="0"/>
      <w:bookmarkEnd w:id="1"/>
      <w:r>
        <w:rPr>
          <w:bdr w:val="single" w:sz="16" w:space="1" w:color="000000"/>
        </w:rPr>
        <w:t> </w:t>
      </w:r>
    </w:p>
    <w:p>
      <w:pPr>
        <w:pStyle w:val="TextBody"/>
        <w:bidi w:val="0"/>
        <w:spacing w:before="0" w:after="283"/>
        <w:jc w:val="left"/>
        <w:rPr/>
      </w:pPr>
      <w:r>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8"/>
        </w:rPr>
        <w:t>UNITED STATES</w:t>
        <w:br/>
        <w:t>SECURITIES AND EXCHANGE COMMISSION</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 xml:space="preserve">FORM </w:t>
      </w:r>
      <w:bookmarkStart w:id="2" w:name="xdx_90F_edei--DocumentType_c20260805__20"/>
      <w:bookmarkEnd w:id="2"/>
      <w:r>
        <w:rPr>
          <w:rFonts w:ascii="Times New Roman;Times;Serif" w:hAnsi="Times New Roman;Times;Serif"/>
          <w:b/>
          <w:i w:val="false"/>
          <w:caps w:val="false"/>
          <w:smallCaps w:val="false"/>
          <w:sz w:val="28"/>
        </w:rPr>
        <w:t>8-K</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br/>
        <w:t>PURSUANT TO SECTION 13 OR 15(d) OF THE</w:t>
        <w:br/>
        <w:t>SECURITIES EXCHANGE ACT OF 1934</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bdr w:val="single" w:sz="8" w:space="1" w:color="000000"/>
        </w:rPr>
      </w:pPr>
      <w:r>
        <w:rPr>
          <w:rFonts w:ascii="Times New Roman;Times;Serif" w:hAnsi="Times New Roman;Times;Serif"/>
          <w:b/>
          <w:i w:val="false"/>
          <w:caps w:val="false"/>
          <w:smallCaps w:val="false"/>
          <w:sz w:val="20"/>
          <w:bdr w:val="single" w:sz="8" w:space="1" w:color="000000"/>
        </w:rPr>
        <w:t xml:space="preserve">Date of report (Date of earliest event reported): </w:t>
      </w:r>
      <w:bookmarkStart w:id="3" w:name="xdx_900_edei--DocumentPeriodEndDate_c202"/>
      <w:bookmarkEnd w:id="3"/>
      <w:r>
        <w:rPr>
          <w:rFonts w:ascii="Times New Roman;Times;Serif" w:hAnsi="Times New Roman;Times;Serif"/>
          <w:b/>
          <w:i w:val="false"/>
          <w:caps w:val="false"/>
          <w:smallCaps w:val="false"/>
          <w:sz w:val="20"/>
          <w:bdr w:val="single" w:sz="8" w:space="1" w:color="000000"/>
        </w:rPr>
        <w:t>August 5, 2026</w:t>
      </w:r>
    </w:p>
    <w:p>
      <w:pPr>
        <w:pStyle w:val="TextBody"/>
        <w:bidi w:val="0"/>
        <w:spacing w:before="0" w:after="0"/>
        <w:ind w:left="0" w:right="0" w:hanging="0"/>
        <w:jc w:val="center"/>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bookmarkStart w:id="4" w:name="xdx_90F_edei--EntityRegistrantName_c2026"/>
      <w:bookmarkEnd w:id="4"/>
      <w:r>
        <w:rPr>
          <w:rFonts w:ascii="Times New Roman;Times;Serif" w:hAnsi="Times New Roman;Times;Serif"/>
          <w:b/>
          <w:i w:val="false"/>
          <w:caps w:val="false"/>
          <w:smallCaps w:val="false"/>
          <w:sz w:val="32"/>
        </w:rPr>
        <w:t>SOLAREDGE TECHNOLOGIES, INC.</w:t>
      </w:r>
      <w:r>
        <w:rPr>
          <w:rFonts w:ascii="Times New Roman;Times;Serif" w:hAnsi="Times New Roman;Times;Serif"/>
          <w:b w:val="false"/>
          <w:i w:val="false"/>
          <w:caps w:val="false"/>
          <w:smallCaps w:val="false"/>
          <w:sz w:val="20"/>
        </w:rPr>
        <w:t xml:space="preserve">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 xml:space="preserve">(Exact name of registrant as specified in its charter) </w:t>
      </w:r>
      <w:r>
        <w:rPr>
          <w:rFonts w:ascii="Times New Roman;Times;Serif" w:hAnsi="Times New Roman;Times;Serif"/>
          <w:b w:val="false"/>
          <w:i w:val="false"/>
          <w:caps w:val="false"/>
          <w:smallCaps w:val="false"/>
          <w:sz w:val="2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20" w:after="20"/>
        <w:jc w:val="left"/>
        <w:rPr>
          <w:bdr w:val="single" w:sz="8" w:space="1" w:color="000000"/>
        </w:rPr>
      </w:pPr>
      <w:r>
        <w:rPr>
          <w:bdr w:val="single" w:sz="8" w:space="1" w:color="000000"/>
        </w:rPr>
        <w:t> </w:t>
      </w:r>
    </w:p>
    <w:tbl>
      <w:tblPr>
        <w:tblW w:w="5175" w:type="dxa"/>
        <w:jc w:val="left"/>
        <w:tblInd w:w="0" w:type="dxa"/>
        <w:tblLayout w:type="fixed"/>
        <w:tblCellMar>
          <w:top w:w="0" w:type="dxa"/>
          <w:left w:w="0" w:type="dxa"/>
          <w:bottom w:w="0" w:type="dxa"/>
          <w:right w:w="0" w:type="dxa"/>
        </w:tblCellMar>
      </w:tblPr>
      <w:tblGrid>
        <w:gridCol w:w="2270"/>
        <w:gridCol w:w="60"/>
        <w:gridCol w:w="1175"/>
        <w:gridCol w:w="60"/>
        <w:gridCol w:w="1610"/>
      </w:tblGrid>
      <w:tr>
        <w:trPr/>
        <w:tc>
          <w:tcPr>
            <w:tcW w:w="227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left"/>
              <w:rPr/>
            </w:pPr>
            <w:r>
              <w:rPr/>
              <w:t> </w:t>
            </w:r>
          </w:p>
        </w:tc>
      </w:tr>
      <w:tr>
        <w:trPr/>
        <w:tc>
          <w:tcPr>
            <w:tcW w:w="2270" w:type="dxa"/>
            <w:tcBorders/>
            <w:vAlign w:val="center"/>
          </w:tcPr>
          <w:p>
            <w:pPr>
              <w:pStyle w:val="TableContents"/>
              <w:bidi w:val="0"/>
              <w:spacing w:before="0" w:after="283"/>
              <w:jc w:val="center"/>
              <w:rPr>
                <w:b/>
                <w:sz w:val="20"/>
              </w:rPr>
            </w:pPr>
            <w:bookmarkStart w:id="5" w:name="xdx_904_edei--EntityIncorporationStateCo"/>
            <w:bookmarkEnd w:id="5"/>
            <w:r>
              <w:rPr>
                <w:b/>
                <w:sz w:val="20"/>
              </w:rPr>
              <w:t>Delaware</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283"/>
              <w:jc w:val="center"/>
              <w:rPr>
                <w:b/>
                <w:sz w:val="20"/>
              </w:rPr>
            </w:pPr>
            <w:bookmarkStart w:id="6" w:name="xdx_906_edei--EntityFileNumber_c20260805"/>
            <w:bookmarkEnd w:id="6"/>
            <w:r>
              <w:rPr>
                <w:b/>
                <w:sz w:val="20"/>
              </w:rPr>
              <w:t>001-36894</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283"/>
              <w:jc w:val="center"/>
              <w:rPr>
                <w:b/>
                <w:sz w:val="20"/>
              </w:rPr>
            </w:pPr>
            <w:bookmarkStart w:id="7" w:name="xdx_90F_edei--EntityTaxIdentificationNum"/>
            <w:bookmarkEnd w:id="7"/>
            <w:r>
              <w:rPr>
                <w:b/>
                <w:sz w:val="20"/>
              </w:rPr>
              <w:t>20-5338862</w:t>
            </w:r>
          </w:p>
        </w:tc>
      </w:tr>
      <w:tr>
        <w:trPr/>
        <w:tc>
          <w:tcPr>
            <w:tcW w:w="227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(State or other jurisdiction</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incorporation)</w:t>
            </w:r>
          </w:p>
        </w:tc>
        <w:tc>
          <w:tcPr>
            <w:tcW w:w="60" w:type="dxa"/>
            <w:tcBorders/>
            <w:vAlign w:val="center"/>
          </w:tcPr>
          <w:p>
            <w:pPr>
              <w:pStyle w:val="TableContents"/>
              <w:bidi w:val="0"/>
              <w:spacing w:before="0" w:after="283"/>
              <w:jc w:val="left"/>
              <w:rPr/>
            </w:pPr>
            <w:r>
              <w:rPr/>
              <w:t> </w:t>
            </w:r>
          </w:p>
        </w:tc>
        <w:tc>
          <w:tcPr>
            <w:tcW w:w="1175" w:type="dxa"/>
            <w:tcBorders/>
            <w:vAlign w:val="center"/>
          </w:tcPr>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(Commission</w:t>
            </w:r>
            <w:r>
              <w:rPr>
                <w:rFonts w:ascii="Times New Roman;Times;Serif" w:hAnsi="Times New Roman;Times;Serif"/>
                <w:b w:val="false"/>
                <w:i w:val="false"/>
                <w:caps w:val="false"/>
                <w:smallCaps w:val="false"/>
                <w:sz w:val="20"/>
              </w:rPr>
              <w:t>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File Number)</w:t>
            </w:r>
          </w:p>
        </w:tc>
        <w:tc>
          <w:tcPr>
            <w:tcW w:w="60" w:type="dxa"/>
            <w:tcBorders/>
            <w:vAlign w:val="center"/>
          </w:tcPr>
          <w:p>
            <w:pPr>
              <w:pStyle w:val="TableContents"/>
              <w:bidi w:val="0"/>
              <w:spacing w:before="0" w:after="283"/>
              <w:jc w:val="left"/>
              <w:rPr/>
            </w:pPr>
            <w:r>
              <w:rPr/>
              <w:t> </w:t>
            </w:r>
          </w:p>
        </w:tc>
        <w:tc>
          <w:tcPr>
            <w:tcW w:w="1610" w:type="dxa"/>
            <w:tcBorders/>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(I.R.S. Employer</w:t>
            </w:r>
          </w:p>
          <w:p>
            <w:pPr>
              <w:pStyle w:val="TableContents"/>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Identification No.)</w:t>
            </w:r>
            <w:r>
              <w:rPr>
                <w:rFonts w:ascii="Times New Roman;Times;Serif" w:hAnsi="Times New Roman;Times;Serif"/>
                <w:b w:val="false"/>
                <w:i w:val="false"/>
                <w:caps w:val="false"/>
                <w:smallCaps w:val="false"/>
                <w:sz w:val="20"/>
              </w:rPr>
              <w:t> </w:t>
            </w:r>
          </w:p>
        </w:tc>
      </w:tr>
    </w:tbl>
    <w:p>
      <w:pPr>
        <w:pStyle w:val="TextBody"/>
        <w:bidi w:val="0"/>
        <w:spacing w:before="0" w:after="283"/>
        <w:jc w:val="left"/>
        <w:rPr/>
      </w:pPr>
      <w:r>
        <w:rPr/>
        <w:t> </w:t>
      </w:r>
    </w:p>
    <w:tbl>
      <w:tblPr>
        <w:tblW w:w="4765" w:type="dxa"/>
        <w:jc w:val="left"/>
        <w:tblInd w:w="0" w:type="dxa"/>
        <w:tblLayout w:type="fixed"/>
        <w:tblCellMar>
          <w:top w:w="0" w:type="dxa"/>
          <w:left w:w="0" w:type="dxa"/>
          <w:bottom w:w="0" w:type="dxa"/>
          <w:right w:w="0" w:type="dxa"/>
        </w:tblCellMar>
      </w:tblPr>
      <w:tblGrid>
        <w:gridCol w:w="75"/>
        <w:gridCol w:w="3635"/>
        <w:gridCol w:w="60"/>
        <w:gridCol w:w="920"/>
        <w:gridCol w:w="75"/>
      </w:tblGrid>
      <w:tr>
        <w:trPr/>
        <w:tc>
          <w:tcPr>
            <w:tcW w:w="7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center"/>
              <w:rPr>
                <w:b/>
                <w:sz w:val="20"/>
              </w:rPr>
            </w:pPr>
            <w:bookmarkStart w:id="8" w:name="xdx_902_edei--EntityAddressAddressLine1_"/>
            <w:bookmarkEnd w:id="8"/>
            <w:r>
              <w:rPr>
                <w:b/>
                <w:sz w:val="20"/>
              </w:rPr>
              <w:t xml:space="preserve">1 HaMada Street, </w:t>
            </w:r>
            <w:bookmarkStart w:id="9" w:name="xdx_90F_edei--EntityAddressCityOrTown_c2"/>
            <w:bookmarkEnd w:id="9"/>
            <w:r>
              <w:rPr>
                <w:b/>
                <w:sz w:val="20"/>
              </w:rPr>
              <w:t xml:space="preserve">Herziliya Pituach, </w:t>
            </w:r>
            <w:bookmarkStart w:id="10" w:name="xdx_90D_edei--EntityAddressCountry_c2026"/>
            <w:bookmarkEnd w:id="10"/>
            <w:r>
              <w:rPr>
                <w:b/>
                <w:sz w:val="20"/>
              </w:rPr>
              <w:t>Israel</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bookmarkStart w:id="11" w:name="xdx_901_edei--EntityAddressPostalZipCode"/>
            <w:bookmarkEnd w:id="11"/>
            <w:r>
              <w:rPr>
                <w:b/>
                <w:sz w:val="20"/>
              </w:rPr>
              <w:t>4673335</w:t>
            </w:r>
          </w:p>
        </w:tc>
        <w:tc>
          <w:tcPr>
            <w:tcW w:w="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3635" w:type="dxa"/>
            <w:tcBorders/>
            <w:vAlign w:val="center"/>
          </w:tcPr>
          <w:p>
            <w:pPr>
              <w:pStyle w:val="TableContents"/>
              <w:bidi w:val="0"/>
              <w:spacing w:before="0" w:after="283"/>
              <w:jc w:val="center"/>
              <w:rPr>
                <w:b/>
                <w:sz w:val="20"/>
              </w:rPr>
            </w:pPr>
            <w:r>
              <w:rPr>
                <w:b/>
                <w:sz w:val="20"/>
              </w:rPr>
              <w:t>(Address of Principal executive offices)</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center"/>
              <w:rPr>
                <w:b/>
                <w:sz w:val="20"/>
              </w:rPr>
            </w:pPr>
            <w:r>
              <w:rPr>
                <w:b/>
                <w:sz w:val="20"/>
              </w:rPr>
              <w:t>(Zip Code)</w:t>
            </w:r>
          </w:p>
        </w:tc>
        <w:tc>
          <w:tcPr>
            <w:tcW w:w="7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Registrant’s Telephone number, including area code: </w:t>
      </w:r>
      <w:bookmarkStart w:id="12" w:name="xdx_907_edei--CityAreaCode_c20260805__20"/>
      <w:bookmarkEnd w:id="12"/>
      <w:r>
        <w:rPr>
          <w:rFonts w:ascii="Times New Roman;Times;Serif" w:hAnsi="Times New Roman;Times;Serif"/>
          <w:b/>
          <w:i w:val="false"/>
          <w:caps w:val="false"/>
          <w:smallCaps w:val="false"/>
          <w:sz w:val="20"/>
        </w:rPr>
        <w:t xml:space="preserve">972 </w:t>
      </w:r>
      <w:bookmarkStart w:id="13" w:name="xdx_900_edei--LocalPhoneNumber_c20260805"/>
      <w:bookmarkEnd w:id="13"/>
      <w:r>
        <w:rPr>
          <w:rFonts w:ascii="Times New Roman;Times;Serif" w:hAnsi="Times New Roman;Times;Serif"/>
          <w:b/>
          <w:i w:val="false"/>
          <w:caps w:val="false"/>
          <w:smallCaps w:val="false"/>
          <w:sz w:val="20"/>
        </w:rPr>
        <w:t>(9) 957-6620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0" w:type="dxa"/>
        </w:tblCellMar>
      </w:tblPr>
      <w:tblGrid>
        <w:gridCol w:w="4027"/>
        <w:gridCol w:w="1903"/>
        <w:gridCol w:w="4275"/>
      </w:tblGrid>
      <w:tr>
        <w:trPr/>
        <w:tc>
          <w:tcPr>
            <w:tcW w:w="4027"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Title of each class</w:t>
            </w:r>
          </w:p>
        </w:tc>
        <w:tc>
          <w:tcPr>
            <w:tcW w:w="1903" w:type="dxa"/>
            <w:tcBorders>
              <w:top w:val="single" w:sz="8" w:space="0" w:color="000000"/>
              <w:left w:val="single" w:sz="8" w:space="0" w:color="000000"/>
              <w:bottom w:val="single" w:sz="8" w:space="0" w:color="000000"/>
            </w:tcBorders>
            <w:vAlign w:val="center"/>
          </w:tcPr>
          <w:p>
            <w:pPr>
              <w:pStyle w:val="TableContents"/>
              <w:bidi w:val="0"/>
              <w:spacing w:before="0" w:after="283"/>
              <w:jc w:val="center"/>
              <w:rPr>
                <w:b/>
              </w:rPr>
            </w:pPr>
            <w:r>
              <w:rPr>
                <w:b/>
              </w:rPr>
              <w:t>Trading Symbol(s)</w:t>
            </w:r>
          </w:p>
        </w:tc>
        <w:tc>
          <w:tcPr>
            <w:tcW w:w="4275" w:type="dxa"/>
            <w:tcBorders>
              <w:top w:val="single" w:sz="8" w:space="0" w:color="000000"/>
              <w:left w:val="single" w:sz="8" w:space="0" w:color="000000"/>
              <w:bottom w:val="single" w:sz="8" w:space="0" w:color="000000"/>
              <w:right w:val="single" w:sz="8" w:space="0" w:color="000000"/>
            </w:tcBorders>
            <w:tcMar>
              <w:right w:w="28" w:type="dxa"/>
            </w:tcMar>
            <w:vAlign w:val="center"/>
          </w:tcPr>
          <w:p>
            <w:pPr>
              <w:pStyle w:val="TableContents"/>
              <w:bidi w:val="0"/>
              <w:spacing w:before="0" w:after="283"/>
              <w:jc w:val="center"/>
              <w:rPr>
                <w:b/>
              </w:rPr>
            </w:pPr>
            <w:r>
              <w:rPr>
                <w:b/>
              </w:rPr>
              <w:t>Name of each exchange on which registered</w:t>
            </w:r>
          </w:p>
        </w:tc>
      </w:tr>
      <w:tr>
        <w:trPr/>
        <w:tc>
          <w:tcPr>
            <w:tcW w:w="4027" w:type="dxa"/>
            <w:tcBorders>
              <w:left w:val="single" w:sz="8" w:space="0" w:color="000000"/>
              <w:bottom w:val="single" w:sz="8" w:space="0" w:color="000000"/>
            </w:tcBorders>
            <w:tcMar>
              <w:top w:w="0" w:type="dxa"/>
            </w:tcMar>
            <w:vAlign w:val="center"/>
          </w:tcPr>
          <w:p>
            <w:pPr>
              <w:pStyle w:val="TableContents"/>
              <w:bidi w:val="0"/>
              <w:spacing w:before="0" w:after="283"/>
              <w:jc w:val="center"/>
              <w:rPr/>
            </w:pPr>
            <w:bookmarkStart w:id="14" w:name="xdx_900_edei--Security12bTitle_c20260805"/>
            <w:bookmarkEnd w:id="14"/>
            <w:r>
              <w:rPr/>
              <w:t>Common stock, par value $0.0001 per share</w:t>
            </w:r>
          </w:p>
        </w:tc>
        <w:tc>
          <w:tcPr>
            <w:tcW w:w="1903" w:type="dxa"/>
            <w:tcBorders>
              <w:left w:val="single" w:sz="8" w:space="0" w:color="000000"/>
              <w:bottom w:val="single" w:sz="8" w:space="0" w:color="000000"/>
            </w:tcBorders>
            <w:tcMar>
              <w:top w:w="0" w:type="dxa"/>
            </w:tcMar>
            <w:vAlign w:val="center"/>
          </w:tcPr>
          <w:p>
            <w:pPr>
              <w:pStyle w:val="TableContents"/>
              <w:bidi w:val="0"/>
              <w:spacing w:before="0" w:after="283"/>
              <w:jc w:val="center"/>
              <w:rPr/>
            </w:pPr>
            <w:bookmarkStart w:id="15" w:name="xdx_901_edei--TradingSymbol_c20260805__2"/>
            <w:bookmarkEnd w:id="15"/>
            <w:r>
              <w:rPr/>
              <w:t>SEDG</w:t>
            </w:r>
          </w:p>
        </w:tc>
        <w:tc>
          <w:tcPr>
            <w:tcW w:w="4275" w:type="dxa"/>
            <w:tcBorders>
              <w:left w:val="single" w:sz="8" w:space="0" w:color="000000"/>
              <w:bottom w:val="single" w:sz="8" w:space="0" w:color="000000"/>
              <w:right w:val="single" w:sz="8" w:space="0" w:color="000000"/>
            </w:tcBorders>
            <w:tcMar>
              <w:top w:w="0" w:type="dxa"/>
              <w:right w:w="28" w:type="dxa"/>
            </w:tcMar>
            <w:vAlign w:val="center"/>
          </w:tcPr>
          <w:p>
            <w:pPr>
              <w:pStyle w:val="TableContents"/>
              <w:bidi w:val="0"/>
              <w:spacing w:before="0" w:after="283"/>
              <w:jc w:val="center"/>
              <w:rPr/>
            </w:pPr>
            <w:bookmarkStart w:id="16" w:name="xdx_902_edei--SecurityExchangeName_c2026"/>
            <w:bookmarkEnd w:id="16"/>
            <w:r>
              <w:rPr/>
              <w:t>NASDAQ (Global Select Market)</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 (see General Instructions A.2 below):</w:t>
      </w:r>
    </w:p>
    <w:p>
      <w:pPr>
        <w:pStyle w:val="TextBody"/>
        <w:bidi w:val="0"/>
        <w:spacing w:before="0" w:after="0"/>
        <w:ind w:left="0" w:right="0" w:hanging="0"/>
        <w:jc w:val="left"/>
        <w:rPr>
          <w:caps w:val="false"/>
          <w:smallCaps w:val="false"/>
        </w:rPr>
      </w:pPr>
      <w:r>
        <w:rPr>
          <w:caps w:val="false"/>
          <w:smallCaps w:val="false"/>
        </w:rPr>
        <w:t> </w:t>
      </w:r>
    </w:p>
    <w:tbl>
      <w:tblPr>
        <w:tblW w:w="9422" w:type="dxa"/>
        <w:jc w:val="left"/>
        <w:tblInd w:w="0" w:type="dxa"/>
        <w:tblLayout w:type="fixed"/>
        <w:tblCellMar>
          <w:top w:w="28" w:type="dxa"/>
          <w:left w:w="28" w:type="dxa"/>
          <w:bottom w:w="28" w:type="dxa"/>
          <w:right w:w="28" w:type="dxa"/>
        </w:tblCellMar>
      </w:tblPr>
      <w:tblGrid>
        <w:gridCol w:w="301"/>
        <w:gridCol w:w="9121"/>
      </w:tblGrid>
      <w:tr>
        <w:trPr/>
        <w:tc>
          <w:tcPr>
            <w:tcW w:w="301" w:type="dxa"/>
            <w:tcBorders/>
            <w:vAlign w:val="center"/>
          </w:tcPr>
          <w:p>
            <w:pPr>
              <w:pStyle w:val="TableContents"/>
              <w:bidi w:val="0"/>
              <w:spacing w:before="0" w:after="283"/>
              <w:jc w:val="left"/>
              <w:rPr/>
            </w:pPr>
            <w:bookmarkStart w:id="17" w:name="xdx_909_edei--WrittenCommunications_c202"/>
            <w:bookmarkEnd w:id="17"/>
            <w:r>
              <w:rPr/>
              <w:t>☐</w:t>
            </w:r>
          </w:p>
        </w:tc>
        <w:tc>
          <w:tcPr>
            <w:tcW w:w="9121" w:type="dxa"/>
            <w:tcBorders/>
            <w:vAlign w:val="center"/>
          </w:tcPr>
          <w:p>
            <w:pPr>
              <w:pStyle w:val="TableContents"/>
              <w:bidi w:val="0"/>
              <w:spacing w:before="0" w:after="283"/>
              <w:jc w:val="left"/>
              <w:rPr>
                <w:sz w:val="20"/>
              </w:rPr>
            </w:pPr>
            <w:r>
              <w:rPr>
                <w:sz w:val="20"/>
              </w:rPr>
              <w:t>Written communications pursuant to Rule 425 under the Securities Act (17 CFR 230.425)</w:t>
            </w:r>
          </w:p>
        </w:tc>
      </w:tr>
      <w:tr>
        <w:trPr/>
        <w:tc>
          <w:tcPr>
            <w:tcW w:w="301" w:type="dxa"/>
            <w:tcBorders/>
            <w:vAlign w:val="center"/>
          </w:tcPr>
          <w:p>
            <w:pPr>
              <w:pStyle w:val="TableContents"/>
              <w:bidi w:val="0"/>
              <w:spacing w:before="0" w:after="283"/>
              <w:jc w:val="left"/>
              <w:rPr/>
            </w:pPr>
            <w:r>
              <w:rPr/>
              <w:t> </w:t>
            </w:r>
          </w:p>
        </w:tc>
        <w:tc>
          <w:tcPr>
            <w:tcW w:w="9121" w:type="dxa"/>
            <w:tcBorders/>
            <w:vAlign w:val="center"/>
          </w:tcPr>
          <w:p>
            <w:pPr>
              <w:pStyle w:val="TableContents"/>
              <w:bidi w:val="0"/>
              <w:spacing w:before="0" w:after="283"/>
              <w:jc w:val="left"/>
              <w:rPr/>
            </w:pPr>
            <w:r>
              <w:rPr/>
              <w:t> </w:t>
            </w:r>
          </w:p>
        </w:tc>
      </w:tr>
      <w:tr>
        <w:trPr/>
        <w:tc>
          <w:tcPr>
            <w:tcW w:w="301" w:type="dxa"/>
            <w:tcBorders/>
            <w:vAlign w:val="center"/>
          </w:tcPr>
          <w:p>
            <w:pPr>
              <w:pStyle w:val="TableContents"/>
              <w:bidi w:val="0"/>
              <w:spacing w:before="0" w:after="283"/>
              <w:jc w:val="left"/>
              <w:rPr/>
            </w:pPr>
            <w:bookmarkStart w:id="18" w:name="xdx_90C_edei--SolicitingMaterial_c202608"/>
            <w:bookmarkEnd w:id="18"/>
            <w:r>
              <w:rPr/>
              <w:t>☐</w:t>
            </w:r>
          </w:p>
        </w:tc>
        <w:tc>
          <w:tcPr>
            <w:tcW w:w="9121" w:type="dxa"/>
            <w:tcBorders/>
            <w:vAlign w:val="center"/>
          </w:tcPr>
          <w:p>
            <w:pPr>
              <w:pStyle w:val="TableContents"/>
              <w:bidi w:val="0"/>
              <w:spacing w:before="0" w:after="283"/>
              <w:jc w:val="left"/>
              <w:rPr>
                <w:sz w:val="20"/>
              </w:rPr>
            </w:pPr>
            <w:r>
              <w:rPr>
                <w:sz w:val="20"/>
              </w:rPr>
              <w:t>Soliciting material pursuant to Rule 14a-12 under the Exchange Act (17 CFR 240.14a-12)</w:t>
            </w:r>
          </w:p>
        </w:tc>
      </w:tr>
      <w:tr>
        <w:trPr/>
        <w:tc>
          <w:tcPr>
            <w:tcW w:w="301" w:type="dxa"/>
            <w:tcBorders/>
            <w:vAlign w:val="center"/>
          </w:tcPr>
          <w:p>
            <w:pPr>
              <w:pStyle w:val="TableContents"/>
              <w:bidi w:val="0"/>
              <w:spacing w:before="0" w:after="283"/>
              <w:jc w:val="left"/>
              <w:rPr/>
            </w:pPr>
            <w:r>
              <w:rPr/>
              <w:t> </w:t>
            </w:r>
          </w:p>
        </w:tc>
        <w:tc>
          <w:tcPr>
            <w:tcW w:w="9121" w:type="dxa"/>
            <w:tcBorders/>
            <w:vAlign w:val="center"/>
          </w:tcPr>
          <w:p>
            <w:pPr>
              <w:pStyle w:val="TableContents"/>
              <w:bidi w:val="0"/>
              <w:spacing w:before="0" w:after="283"/>
              <w:jc w:val="left"/>
              <w:rPr/>
            </w:pPr>
            <w:r>
              <w:rPr/>
              <w:t> </w:t>
            </w:r>
          </w:p>
        </w:tc>
      </w:tr>
      <w:tr>
        <w:trPr/>
        <w:tc>
          <w:tcPr>
            <w:tcW w:w="301" w:type="dxa"/>
            <w:tcBorders/>
            <w:vAlign w:val="center"/>
          </w:tcPr>
          <w:p>
            <w:pPr>
              <w:pStyle w:val="TableContents"/>
              <w:bidi w:val="0"/>
              <w:spacing w:before="0" w:after="283"/>
              <w:jc w:val="left"/>
              <w:rPr/>
            </w:pPr>
            <w:bookmarkStart w:id="19" w:name="xdx_90C_edei--PreCommencementTenderOffer"/>
            <w:bookmarkEnd w:id="19"/>
            <w:r>
              <w:rPr/>
              <w:t>☐</w:t>
            </w:r>
          </w:p>
        </w:tc>
        <w:tc>
          <w:tcPr>
            <w:tcW w:w="9121" w:type="dxa"/>
            <w:tcBorders/>
            <w:vAlign w:val="center"/>
          </w:tcPr>
          <w:p>
            <w:pPr>
              <w:pStyle w:val="TableContents"/>
              <w:bidi w:val="0"/>
              <w:spacing w:before="0" w:after="283"/>
              <w:jc w:val="left"/>
              <w:rPr>
                <w:sz w:val="20"/>
              </w:rPr>
            </w:pPr>
            <w:r>
              <w:rPr>
                <w:sz w:val="20"/>
              </w:rPr>
              <w:t>Pre-commencement communications pursuant to Rule 14d-2(b) under the Exchange Act (17 CFR 240.14d-2(b))</w:t>
            </w:r>
          </w:p>
        </w:tc>
      </w:tr>
      <w:tr>
        <w:trPr/>
        <w:tc>
          <w:tcPr>
            <w:tcW w:w="301" w:type="dxa"/>
            <w:tcBorders/>
            <w:vAlign w:val="center"/>
          </w:tcPr>
          <w:p>
            <w:pPr>
              <w:pStyle w:val="TableContents"/>
              <w:bidi w:val="0"/>
              <w:spacing w:before="0" w:after="283"/>
              <w:jc w:val="left"/>
              <w:rPr/>
            </w:pPr>
            <w:r>
              <w:rPr/>
              <w:t> </w:t>
            </w:r>
          </w:p>
        </w:tc>
        <w:tc>
          <w:tcPr>
            <w:tcW w:w="9121" w:type="dxa"/>
            <w:tcBorders/>
            <w:vAlign w:val="center"/>
          </w:tcPr>
          <w:p>
            <w:pPr>
              <w:pStyle w:val="TableContents"/>
              <w:bidi w:val="0"/>
              <w:spacing w:before="0" w:after="283"/>
              <w:jc w:val="left"/>
              <w:rPr/>
            </w:pPr>
            <w:r>
              <w:rPr/>
              <w:t> </w:t>
            </w:r>
          </w:p>
        </w:tc>
      </w:tr>
      <w:tr>
        <w:trPr/>
        <w:tc>
          <w:tcPr>
            <w:tcW w:w="301" w:type="dxa"/>
            <w:tcBorders/>
            <w:vAlign w:val="center"/>
          </w:tcPr>
          <w:p>
            <w:pPr>
              <w:pStyle w:val="TableContents"/>
              <w:bidi w:val="0"/>
              <w:spacing w:before="0" w:after="283"/>
              <w:jc w:val="left"/>
              <w:rPr/>
            </w:pPr>
            <w:bookmarkStart w:id="20" w:name="xdx_90C_edei--PreCommencementIssuerTende"/>
            <w:bookmarkEnd w:id="20"/>
            <w:r>
              <w:rPr/>
              <w:t>☐</w:t>
            </w:r>
          </w:p>
        </w:tc>
        <w:tc>
          <w:tcPr>
            <w:tcW w:w="9121" w:type="dxa"/>
            <w:tcBorders/>
            <w:vAlign w:val="center"/>
          </w:tcPr>
          <w:p>
            <w:pPr>
              <w:pStyle w:val="TableContents"/>
              <w:bidi w:val="0"/>
              <w:spacing w:before="0" w:after="283"/>
              <w:jc w:val="left"/>
              <w:rPr>
                <w:sz w:val="20"/>
              </w:rPr>
            </w:pPr>
            <w:r>
              <w:rPr>
                <w:sz w:val="20"/>
              </w:rPr>
              <w:t>Pre-commencement communications pursuant to Rule 13e-4(c) under the Exchange Act (17 CFR 240.13e-4(c))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Emerging growth company </w:t>
      </w:r>
      <w:bookmarkStart w:id="21" w:name="xdx_901_edei--EntityEmergingGrowthCompan"/>
      <w:bookmarkEnd w:id="21"/>
      <w:r>
        <w:rPr>
          <w:rFonts w:ascii="Times New Roman;Times;Serif" w:hAnsi="Times New Roman;Times;Serif"/>
          <w:b w:val="false"/>
          <w:i w:val="false"/>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65"/>
        <w:gridCol w:w="1764"/>
        <w:gridCol w:w="8376"/>
      </w:tblGrid>
      <w:tr>
        <w:trPr/>
        <w:tc>
          <w:tcPr>
            <w:tcW w:w="65" w:type="dxa"/>
            <w:tcBorders/>
            <w:vAlign w:val="center"/>
          </w:tcPr>
          <w:p>
            <w:pPr>
              <w:pStyle w:val="TableContents"/>
              <w:bidi w:val="0"/>
              <w:spacing w:before="0" w:after="283"/>
              <w:jc w:val="left"/>
              <w:rPr>
                <w:sz w:val="4"/>
                <w:szCs w:val="4"/>
              </w:rPr>
            </w:pPr>
            <w:r>
              <w:rPr>
                <w:sz w:val="4"/>
                <w:szCs w:val="4"/>
              </w:rPr>
            </w:r>
          </w:p>
        </w:tc>
        <w:tc>
          <w:tcPr>
            <w:tcW w:w="1764" w:type="dxa"/>
            <w:tcBorders/>
            <w:vAlign w:val="center"/>
          </w:tcPr>
          <w:p>
            <w:pPr>
              <w:pStyle w:val="TableContents"/>
              <w:bidi w:val="0"/>
              <w:spacing w:before="0" w:after="283"/>
              <w:jc w:val="left"/>
              <w:rPr>
                <w:b/>
              </w:rPr>
            </w:pPr>
            <w:r>
              <w:rPr>
                <w:b/>
              </w:rPr>
              <w:t>Item 2.02.</w:t>
            </w:r>
          </w:p>
        </w:tc>
        <w:tc>
          <w:tcPr>
            <w:tcW w:w="8376" w:type="dxa"/>
            <w:tcBorders/>
            <w:vAlign w:val="center"/>
          </w:tcPr>
          <w:p>
            <w:pPr>
              <w:pStyle w:val="TableContents"/>
              <w:bidi w:val="0"/>
              <w:spacing w:before="0" w:after="283"/>
              <w:jc w:val="left"/>
              <w:rPr>
                <w:b/>
              </w:rPr>
            </w:pPr>
            <w:r>
              <w:rPr>
                <w:b/>
              </w:rPr>
              <w:t xml:space="preserve">Results of Operations and Financial Condition. </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August 5, 2026, SolarEdge Technologies, Inc. (the “Company”) issued a press release announcing its financial results for the second quarter of 2026, ended June 30, 2026. A copy of the press release is attached hereto as Exhibit 99.1 and is incorporated herein by reference.</w:t>
      </w:r>
    </w:p>
    <w:p>
      <w:pPr>
        <w:pStyle w:val="TextBody"/>
        <w:bidi w:val="0"/>
        <w:spacing w:before="0" w:after="0"/>
        <w:ind w:left="0" w:right="0" w:firstLine="720"/>
        <w:jc w:val="left"/>
        <w:rPr>
          <w:caps w:val="false"/>
          <w:smallCaps w:val="false"/>
        </w:rPr>
      </w:pPr>
      <w:r>
        <w:rPr>
          <w:caps w:val="false"/>
          <w:smallCaps w:val="false"/>
        </w:rPr>
        <w:t> </w:t>
      </w:r>
    </w:p>
    <w:p>
      <w:pPr>
        <w:pStyle w:val="TextBody"/>
        <w:shd w:fill="FFFFFF" w:val="clear"/>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accordance with General Instruction B.2 of Form 8-K, this information, including the exhibits hereto, shall not be deemed “filed” for the purposes of Section 18 of the Securities Exchange Act of 1934 (the “Exchange Act”) or otherwise subject to the liabilities of that section, nor shall such information, including the exhibits hereto be deemed incorporated by reference in any filing under the Securities Act of 1933, as amended, or the Exchange Act, except as shall be expressly set forth by specific reference in such filing.</w:t>
      </w:r>
    </w:p>
    <w:p>
      <w:pPr>
        <w:pStyle w:val="TextBody"/>
        <w:shd w:fill="FFFFFF" w:val="clear"/>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Item 9.01. Financial Statements and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10" w:type="dxa"/>
        <w:tblLayout w:type="fixed"/>
        <w:tblCellMar>
          <w:top w:w="28" w:type="dxa"/>
          <w:left w:w="28" w:type="dxa"/>
          <w:bottom w:w="28" w:type="dxa"/>
          <w:right w:w="28" w:type="dxa"/>
        </w:tblCellMar>
      </w:tblPr>
      <w:tblGrid>
        <w:gridCol w:w="1174"/>
        <w:gridCol w:w="120"/>
        <w:gridCol w:w="8911"/>
      </w:tblGrid>
      <w:tr>
        <w:trPr/>
        <w:tc>
          <w:tcPr>
            <w:tcW w:w="1174" w:type="dxa"/>
            <w:tcBorders>
              <w:top w:val="single" w:sz="8" w:space="0" w:color="000000"/>
              <w:left w:val="single" w:sz="8" w:space="0" w:color="000000"/>
              <w:bottom w:val="single" w:sz="8" w:space="0" w:color="000000"/>
              <w:right w:val="single" w:sz="8" w:space="0" w:color="000000"/>
            </w:tcBorders>
            <w:vAlign w:val="center"/>
          </w:tcPr>
          <w:p>
            <w:pPr>
              <w:pStyle w:val="TableContents"/>
              <w:bidi w:val="0"/>
              <w:spacing w:before="0" w:after="283"/>
              <w:jc w:val="left"/>
              <w:rPr/>
            </w:pPr>
            <w:r>
              <w:rPr/>
              <w:t>Exhibit No.</w:t>
            </w:r>
          </w:p>
        </w:tc>
        <w:tc>
          <w:tcPr>
            <w:tcW w:w="120"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 </w:t>
            </w:r>
          </w:p>
        </w:tc>
        <w:tc>
          <w:tcPr>
            <w:tcW w:w="8911" w:type="dxa"/>
            <w:tcBorders>
              <w:top w:val="single" w:sz="8" w:space="0" w:color="000000"/>
              <w:bottom w:val="single" w:sz="8" w:space="0" w:color="000000"/>
              <w:right w:val="single" w:sz="8" w:space="0" w:color="000000"/>
            </w:tcBorders>
            <w:tcMar>
              <w:left w:w="0" w:type="dxa"/>
            </w:tcMar>
            <w:vAlign w:val="center"/>
          </w:tcPr>
          <w:p>
            <w:pPr>
              <w:pStyle w:val="TableContents"/>
              <w:bidi w:val="0"/>
              <w:spacing w:before="0" w:after="283"/>
              <w:jc w:val="left"/>
              <w:rPr/>
            </w:pPr>
            <w:r>
              <w:rPr/>
              <w:t>Description</w:t>
            </w:r>
          </w:p>
        </w:tc>
      </w:tr>
      <w:tr>
        <w:trPr/>
        <w:tc>
          <w:tcPr>
            <w:tcW w:w="117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hyperlink w:anchor="exhibit_99-1.htm">
              <w:r>
                <w:rPr>
                  <w:rStyle w:val="InternetLink"/>
                </w:rPr>
                <w:t>Exhibit 99.1</w:t>
              </w:r>
            </w:hyperlink>
          </w:p>
        </w:tc>
        <w:tc>
          <w:tcPr>
            <w:tcW w:w="1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911" w:type="dxa"/>
            <w:tcBorders>
              <w:bottom w:val="single" w:sz="8" w:space="0" w:color="000000"/>
              <w:right w:val="single" w:sz="8" w:space="0" w:color="000000"/>
            </w:tcBorders>
            <w:tcMar>
              <w:top w:w="0" w:type="dxa"/>
              <w:left w:w="0" w:type="dxa"/>
            </w:tcMar>
            <w:vAlign w:val="center"/>
          </w:tcPr>
          <w:p>
            <w:pPr>
              <w:pStyle w:val="TableContents"/>
              <w:bidi w:val="0"/>
              <w:spacing w:before="0" w:after="0"/>
              <w:ind w:left="0" w:right="0" w:hanging="0"/>
              <w:jc w:val="left"/>
              <w:rPr/>
            </w:pPr>
            <w:hyperlink w:anchor="exhibit_99-1.htm">
              <w:r>
                <w:rPr>
                  <w:rStyle w:val="InternetLink"/>
                  <w:rFonts w:ascii="Times New Roman;Times;Serif" w:hAnsi="Times New Roman;Times;Serif"/>
                  <w:b w:val="false"/>
                  <w:i w:val="false"/>
                  <w:caps w:val="false"/>
                  <w:smallCaps w:val="false"/>
                  <w:sz w:val="20"/>
                </w:rPr>
                <w:t>Press release August 5, 2026</w:t>
              </w:r>
            </w:hyperlink>
          </w:p>
          <w:p>
            <w:pPr>
              <w:pStyle w:val="TableContents"/>
              <w:bidi w:val="0"/>
              <w:spacing w:before="0" w:after="0"/>
              <w:ind w:left="0" w:right="0" w:hanging="0"/>
              <w:jc w:val="left"/>
              <w:rPr>
                <w:caps w:val="false"/>
                <w:smallCaps w:val="false"/>
              </w:rPr>
            </w:pPr>
            <w:r>
              <w:rPr>
                <w:caps w:val="false"/>
                <w:smallCaps w:val="false"/>
              </w:rPr>
              <w:t> </w:t>
            </w:r>
          </w:p>
        </w:tc>
      </w:tr>
      <w:tr>
        <w:trPr/>
        <w:tc>
          <w:tcPr>
            <w:tcW w:w="1174" w:type="dxa"/>
            <w:tcBorders>
              <w:left w:val="single" w:sz="8" w:space="0" w:color="000000"/>
              <w:bottom w:val="single" w:sz="8" w:space="0" w:color="000000"/>
              <w:right w:val="single" w:sz="8" w:space="0" w:color="000000"/>
            </w:tcBorders>
            <w:tcMar>
              <w:top w:w="0" w:type="dxa"/>
            </w:tcMar>
            <w:vAlign w:val="center"/>
          </w:tcPr>
          <w:p>
            <w:pPr>
              <w:pStyle w:val="TableContents"/>
              <w:bidi w:val="0"/>
              <w:spacing w:before="0" w:after="283"/>
              <w:jc w:val="left"/>
              <w:rPr/>
            </w:pPr>
            <w:r>
              <w:rPr/>
              <w:t>Exhibit 104</w:t>
            </w:r>
          </w:p>
        </w:tc>
        <w:tc>
          <w:tcPr>
            <w:tcW w:w="120"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 </w:t>
            </w:r>
          </w:p>
        </w:tc>
        <w:tc>
          <w:tcPr>
            <w:tcW w:w="8911" w:type="dxa"/>
            <w:tcBorders>
              <w:bottom w:val="single" w:sz="8" w:space="0" w:color="000000"/>
              <w:right w:val="single" w:sz="8" w:space="0" w:color="000000"/>
            </w:tcBorders>
            <w:tcMar>
              <w:top w:w="0" w:type="dxa"/>
              <w:left w:w="0" w:type="dxa"/>
            </w:tcMar>
            <w:vAlign w:val="center"/>
          </w:tcPr>
          <w:p>
            <w:pPr>
              <w:pStyle w:val="TableContents"/>
              <w:bidi w:val="0"/>
              <w:spacing w:before="0" w:after="283"/>
              <w:jc w:val="left"/>
              <w:rPr/>
            </w:pPr>
            <w:r>
              <w:rPr/>
              <w:t>Cover Page Interactive Data File – the cover page XBRL tags are embedded within the Inline XBRL document.</w:t>
            </w:r>
          </w:p>
        </w:tc>
      </w:tr>
    </w:tbl>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firstLine="720"/>
        <w:jc w:val="left"/>
        <w:rPr>
          <w:caps w:val="false"/>
          <w:smallCaps w:val="false"/>
        </w:rPr>
      </w:pPr>
      <w:r>
        <w:rPr>
          <w:caps w:val="false"/>
          <w:smallCaps w:val="false"/>
        </w:rPr>
        <w:t> </w:t>
      </w:r>
    </w:p>
    <w:tbl>
      <w:tblPr>
        <w:tblW w:w="6114" w:type="dxa"/>
        <w:jc w:val="left"/>
        <w:tblInd w:w="0" w:type="dxa"/>
        <w:tblLayout w:type="fixed"/>
        <w:tblCellMar>
          <w:top w:w="0" w:type="dxa"/>
          <w:left w:w="0" w:type="dxa"/>
          <w:bottom w:w="0" w:type="dxa"/>
          <w:right w:w="0" w:type="dxa"/>
        </w:tblCellMar>
      </w:tblPr>
      <w:tblGrid>
        <w:gridCol w:w="2075"/>
        <w:gridCol w:w="913"/>
        <w:gridCol w:w="3126"/>
      </w:tblGrid>
      <w:tr>
        <w:trPr/>
        <w:tc>
          <w:tcPr>
            <w:tcW w:w="2075" w:type="dxa"/>
            <w:tcBorders/>
            <w:vAlign w:val="center"/>
          </w:tcPr>
          <w:p>
            <w:pPr>
              <w:pStyle w:val="TableContents"/>
              <w:bidi w:val="0"/>
              <w:spacing w:before="0" w:after="283"/>
              <w:jc w:val="left"/>
              <w:rPr/>
            </w:pPr>
            <w:r>
              <w:rPr/>
              <w:t> </w:t>
            </w:r>
          </w:p>
        </w:tc>
        <w:tc>
          <w:tcPr>
            <w:tcW w:w="4039" w:type="dxa"/>
            <w:gridSpan w:val="2"/>
            <w:tcBorders/>
            <w:vAlign w:val="center"/>
          </w:tcPr>
          <w:p>
            <w:pPr>
              <w:pStyle w:val="TableContents"/>
              <w:bidi w:val="0"/>
              <w:spacing w:before="0" w:after="283"/>
              <w:jc w:val="left"/>
              <w:rPr/>
            </w:pPr>
            <w:r>
              <w:rPr/>
              <w:t>SOLAREDGE TECHNOLOGIES, INC.</w:t>
            </w:r>
          </w:p>
        </w:tc>
      </w:tr>
      <w:tr>
        <w:trPr/>
        <w:tc>
          <w:tcPr>
            <w:tcW w:w="20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pPr>
            <w:r>
              <w:rPr/>
              <w:t> </w:t>
            </w:r>
          </w:p>
        </w:tc>
        <w:tc>
          <w:tcPr>
            <w:tcW w:w="3126" w:type="dxa"/>
            <w:tcBorders/>
            <w:vAlign w:val="center"/>
          </w:tcPr>
          <w:p>
            <w:pPr>
              <w:pStyle w:val="TableContents"/>
              <w:bidi w:val="0"/>
              <w:spacing w:before="0" w:after="283"/>
              <w:jc w:val="left"/>
              <w:rPr/>
            </w:pPr>
            <w:r>
              <w:rPr/>
              <w:t> </w:t>
            </w:r>
          </w:p>
        </w:tc>
      </w:tr>
      <w:tr>
        <w:trPr/>
        <w:tc>
          <w:tcPr>
            <w:tcW w:w="2075" w:type="dxa"/>
            <w:tcBorders/>
            <w:vAlign w:val="center"/>
          </w:tcPr>
          <w:p>
            <w:pPr>
              <w:pStyle w:val="TableContents"/>
              <w:bidi w:val="0"/>
              <w:spacing w:before="0" w:after="283"/>
              <w:jc w:val="left"/>
              <w:rPr/>
            </w:pPr>
            <w:r>
              <w:rPr/>
              <w:t>Date: August 5, 2026</w:t>
            </w:r>
          </w:p>
        </w:tc>
        <w:tc>
          <w:tcPr>
            <w:tcW w:w="913" w:type="dxa"/>
            <w:tcBorders/>
            <w:vAlign w:val="center"/>
          </w:tcPr>
          <w:p>
            <w:pPr>
              <w:pStyle w:val="TableContents"/>
              <w:bidi w:val="0"/>
              <w:spacing w:before="0" w:after="283"/>
              <w:jc w:val="left"/>
              <w:rPr/>
            </w:pPr>
            <w:r>
              <w:rPr/>
              <w:t>By:</w:t>
            </w:r>
          </w:p>
        </w:tc>
        <w:tc>
          <w:tcPr>
            <w:tcW w:w="3126" w:type="dxa"/>
            <w:tcBorders/>
            <w:vAlign w:val="center"/>
          </w:tcPr>
          <w:p>
            <w:pPr>
              <w:pStyle w:val="TableContents"/>
              <w:bidi w:val="0"/>
              <w:spacing w:before="0" w:after="283"/>
              <w:jc w:val="left"/>
              <w:rPr>
                <w:u w:val="single"/>
              </w:rPr>
            </w:pPr>
            <w:r>
              <w:rPr>
                <w:u w:val="single"/>
              </w:rPr>
              <w:t xml:space="preserve">/s/Maoz Sigron </w:t>
            </w:r>
          </w:p>
        </w:tc>
      </w:tr>
      <w:tr>
        <w:trPr/>
        <w:tc>
          <w:tcPr>
            <w:tcW w:w="20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pPr>
            <w:r>
              <w:rPr/>
              <w:t>Name:</w:t>
            </w:r>
          </w:p>
        </w:tc>
        <w:tc>
          <w:tcPr>
            <w:tcW w:w="3126" w:type="dxa"/>
            <w:tcBorders/>
            <w:vAlign w:val="center"/>
          </w:tcPr>
          <w:p>
            <w:pPr>
              <w:pStyle w:val="TableContents"/>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Maoz Sigron</w:t>
            </w:r>
          </w:p>
        </w:tc>
      </w:tr>
      <w:tr>
        <w:trPr/>
        <w:tc>
          <w:tcPr>
            <w:tcW w:w="2075" w:type="dxa"/>
            <w:tcBorders/>
            <w:vAlign w:val="center"/>
          </w:tcPr>
          <w:p>
            <w:pPr>
              <w:pStyle w:val="TableContents"/>
              <w:bidi w:val="0"/>
              <w:spacing w:before="0" w:after="283"/>
              <w:jc w:val="left"/>
              <w:rPr/>
            </w:pPr>
            <w:r>
              <w:rPr/>
              <w:t> </w:t>
            </w:r>
          </w:p>
        </w:tc>
        <w:tc>
          <w:tcPr>
            <w:tcW w:w="913" w:type="dxa"/>
            <w:tcBorders/>
            <w:vAlign w:val="center"/>
          </w:tcPr>
          <w:p>
            <w:pPr>
              <w:pStyle w:val="TableContents"/>
              <w:bidi w:val="0"/>
              <w:spacing w:before="0" w:after="283"/>
              <w:jc w:val="left"/>
              <w:rPr/>
            </w:pPr>
            <w:r>
              <w:rPr/>
              <w:t>Title:</w:t>
            </w:r>
          </w:p>
        </w:tc>
        <w:tc>
          <w:tcPr>
            <w:tcW w:w="3126" w:type="dxa"/>
            <w:tcBorders/>
            <w:vAlign w:val="center"/>
          </w:tcPr>
          <w:p>
            <w:pPr>
              <w:pStyle w:val="TableContents"/>
              <w:bidi w:val="0"/>
              <w:spacing w:before="0" w:after="283"/>
              <w:jc w:val="left"/>
              <w:rPr/>
            </w:pPr>
            <w:r>
              <w:rPr/>
              <w:t>Chief Financial Officer</w:t>
            </w:r>
          </w:p>
        </w:tc>
      </w:tr>
    </w:tbl>
    <w:p>
      <w:pPr>
        <w:pStyle w:val="TextBody"/>
        <w:bidi w:val="0"/>
        <w:spacing w:before="0" w:after="283"/>
        <w:jc w:val="left"/>
        <w:rPr/>
      </w:pPr>
      <w:r>
        <w:rPr/>
        <w:t> </w:t>
      </w:r>
    </w:p>
    <w:p>
      <w:pPr>
        <w:pStyle w:val="TextBody"/>
        <w:bidi w:val="0"/>
        <w:spacing w:before="60" w:after="240"/>
        <w:jc w:val="left"/>
        <w:rPr>
          <w:bdr w:val="single" w:sz="8" w:space="1" w:color="000000"/>
        </w:rPr>
      </w:pPr>
      <w:r>
        <w:rPr>
          <w:bdr w:val="single" w:sz="8" w:space="1" w:color="000000"/>
        </w:rPr>
        <w:t> </w:t>
      </w:r>
    </w:p>
    <w:p>
      <w:pPr>
        <w:pStyle w:val="TextBody"/>
        <w:bidi w:val="0"/>
        <w:spacing w:before="0" w:after="283"/>
        <w:jc w:val="left"/>
        <w:rPr/>
      </w:pPr>
      <w:r>
        <w:rPr/>
        <w:t> </w:t>
      </w:r>
    </w:p>
    <w:p>
      <w:pPr>
        <w:pStyle w:val="TextBody"/>
        <w:bidi w:val="0"/>
        <w:spacing w:before="240" w:after="60"/>
        <w:jc w:val="left"/>
        <w:rPr>
          <w:bdr w:val="single" w:sz="16" w:space="1" w:color="000000"/>
        </w:rPr>
      </w:pPr>
      <w:bookmarkStart w:id="22" w:name="exhibit_99-1.htm"/>
      <w:bookmarkStart w:id="23" w:name="ksexhibit_991"/>
      <w:bookmarkEnd w:id="22"/>
      <w:bookmarkEnd w:id="23"/>
      <w:r>
        <w:rPr>
          <w:bdr w:val="single" w:sz="16" w:space="1" w:color="000000"/>
        </w:rPr>
        <w:t> </w:t>
      </w:r>
      <w:r>
        <w:br w:type="page"/>
      </w:r>
    </w:p>
    <w:p>
      <w:pPr>
        <w:pStyle w:val="TextBody"/>
        <w:bidi w:val="0"/>
        <w:spacing w:before="0" w:after="0"/>
        <w:ind w:left="0" w:right="0" w:hanging="0"/>
        <w:jc w:val="right"/>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Exhibit 99.1</w:t>
      </w:r>
    </w:p>
    <w:p>
      <w:pPr>
        <w:pStyle w:val="TextBody"/>
        <w:bidi w:val="0"/>
        <w:spacing w:before="0" w:after="0"/>
        <w:ind w:left="0" w:right="0" w:hanging="0"/>
        <w:jc w:val="righ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2047875" cy="4381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047875" cy="4381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4"/>
        </w:rPr>
        <w:t>SolarEdge Announces Second Quarter 2026 Financial Results</w:t>
      </w:r>
      <w:r>
        <w:rPr>
          <w:rFonts w:ascii="Times New Roman;Times;Serif" w:hAnsi="Times New Roman;Times;Serif"/>
          <w:b w:val="false"/>
          <w:i w:val="false"/>
          <w:caps w:val="false"/>
          <w:smallCaps w:val="false"/>
          <w:sz w:val="20"/>
        </w:rPr>
        <w:br/>
        <w:br/>
      </w:r>
      <w:r>
        <w:rPr>
          <w:rFonts w:ascii="Times New Roman;Times;Serif" w:hAnsi="Times New Roman;Times;Serif"/>
          <w:b/>
          <w:i/>
          <w:caps w:val="false"/>
          <w:smallCaps w:val="false"/>
          <w:sz w:val="20"/>
        </w:rPr>
        <w:t>Revenue of $346.2 million, representing 20% growth year-over-year</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 xml:space="preserve">Sixth consecutive quarter of gross margin expansion  year-over-year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MILPITAS, Calif. — August 5, 2026 — SolarEdge Technologies, Inc. (Nasdaq: SEDG), a global leader in smart energy technology, today announced its financial results for the second quarter ended June 30,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w:t>
      </w:r>
      <w:r>
        <w:rPr>
          <w:rFonts w:ascii="Times New Roman;Times;Serif" w:hAnsi="Times New Roman;Times;Serif"/>
          <w:b w:val="false"/>
          <w:i w:val="false"/>
          <w:caps w:val="false"/>
          <w:smallCaps w:val="false"/>
          <w:sz w:val="20"/>
        </w:rPr>
        <w:t>Our second-quarter results mark an important milestone in SolarEdge’s turnaround,” said Shuki Nir, CEO of SolarEdge. “Revenue grew 20% year over year, GAAP operating loss narrowed significantly, and we returned to non-GAAP operating profitability for the first time since the second quarter of 2023, while continuing to generate positive free cash flow. Strong demand in Europe combined with strength in U.S. C&amp;I, more than offset industry-wide softness in U.S. residential, driving overall year-over-year growth. We are focused on building on this momentum by scaling the Nexis platform in our core markets and continuing to advance the SolarEdge SST to address the significant opportunity in AI factories.”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Second Quarter 2026 Financial Highlights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(In millions, except percentages)</w:t>
      </w:r>
    </w:p>
    <w:p>
      <w:pPr>
        <w:pStyle w:val="TextBody"/>
        <w:bidi w:val="0"/>
        <w:spacing w:before="0" w:after="0"/>
        <w:ind w:left="0" w:right="0" w:hanging="0"/>
        <w:jc w:val="left"/>
        <w:rPr>
          <w:caps w:val="false"/>
          <w:smallCaps w:val="false"/>
        </w:rPr>
      </w:pPr>
      <w:r>
        <w:rPr>
          <w:caps w:val="false"/>
          <w:smallCaps w:val="false"/>
        </w:rPr>
        <w:t> </w:t>
      </w:r>
    </w:p>
    <w:tbl>
      <w:tblPr>
        <w:tblW w:w="6755" w:type="dxa"/>
        <w:jc w:val="left"/>
        <w:tblInd w:w="-10" w:type="dxa"/>
        <w:tblLayout w:type="fixed"/>
        <w:tblCellMar>
          <w:top w:w="28" w:type="dxa"/>
          <w:left w:w="28" w:type="dxa"/>
          <w:bottom w:w="28" w:type="dxa"/>
          <w:right w:w="28" w:type="dxa"/>
        </w:tblCellMar>
      </w:tblPr>
      <w:tblGrid>
        <w:gridCol w:w="2030"/>
        <w:gridCol w:w="785"/>
        <w:gridCol w:w="785"/>
        <w:gridCol w:w="785"/>
        <w:gridCol w:w="785"/>
        <w:gridCol w:w="785"/>
        <w:gridCol w:w="800"/>
      </w:tblGrid>
      <w:tr>
        <w:trPr/>
        <w:tc>
          <w:tcPr>
            <w:tcW w:w="2030" w:type="dxa"/>
            <w:tcBorders>
              <w:top w:val="single" w:sz="8" w:space="0" w:color="999999"/>
              <w:left w:val="single" w:sz="8" w:space="0" w:color="999999"/>
              <w:bottom w:val="single" w:sz="8" w:space="0" w:color="999999"/>
              <w:right w:val="single" w:sz="8" w:space="0" w:color="999999"/>
            </w:tcBorders>
            <w:shd w:fill="E7E7E7" w:val="clear"/>
            <w:vAlign w:val="center"/>
          </w:tcPr>
          <w:p>
            <w:pPr>
              <w:pStyle w:val="TableContents"/>
              <w:bidi w:val="0"/>
              <w:spacing w:before="0" w:after="283"/>
              <w:jc w:val="left"/>
              <w:rPr/>
            </w:pPr>
            <w:r>
              <w:rPr/>
              <w:t> </w:t>
            </w:r>
          </w:p>
        </w:tc>
        <w:tc>
          <w:tcPr>
            <w:tcW w:w="2355" w:type="dxa"/>
            <w:gridSpan w:val="3"/>
            <w:tcBorders>
              <w:top w:val="single" w:sz="8" w:space="0" w:color="999999"/>
              <w:bottom w:val="single" w:sz="8" w:space="0" w:color="999999"/>
              <w:right w:val="single" w:sz="8" w:space="0" w:color="999999"/>
            </w:tcBorders>
            <w:shd w:fill="E7E7E7" w:val="clear"/>
            <w:tcMar>
              <w:left w:w="0" w:type="dxa"/>
            </w:tcMar>
            <w:vAlign w:val="center"/>
          </w:tcPr>
          <w:p>
            <w:pPr>
              <w:pStyle w:val="TableContents"/>
              <w:bidi w:val="0"/>
              <w:spacing w:before="0" w:after="283"/>
              <w:jc w:val="center"/>
              <w:rPr>
                <w:b/>
                <w:sz w:val="20"/>
              </w:rPr>
            </w:pPr>
            <w:r>
              <w:rPr>
                <w:b/>
                <w:sz w:val="20"/>
              </w:rPr>
              <w:t>GAAP</w:t>
            </w:r>
          </w:p>
        </w:tc>
        <w:tc>
          <w:tcPr>
            <w:tcW w:w="2370" w:type="dxa"/>
            <w:gridSpan w:val="3"/>
            <w:tcBorders>
              <w:top w:val="single" w:sz="8" w:space="0" w:color="999999"/>
              <w:bottom w:val="single" w:sz="8" w:space="0" w:color="999999"/>
              <w:right w:val="single" w:sz="8" w:space="0" w:color="999999"/>
            </w:tcBorders>
            <w:shd w:fill="E7E7E7" w:val="clear"/>
            <w:tcMar>
              <w:left w:w="0" w:type="dxa"/>
            </w:tcMar>
            <w:vAlign w:val="center"/>
          </w:tcPr>
          <w:p>
            <w:pPr>
              <w:pStyle w:val="TableContents"/>
              <w:bidi w:val="0"/>
              <w:spacing w:before="0" w:after="283"/>
              <w:jc w:val="center"/>
              <w:rPr>
                <w:b/>
                <w:sz w:val="20"/>
              </w:rPr>
            </w:pPr>
            <w:r>
              <w:rPr>
                <w:b/>
                <w:sz w:val="20"/>
              </w:rPr>
              <w:t>Non-GAAP</w:t>
            </w:r>
          </w:p>
        </w:tc>
      </w:tr>
      <w:tr>
        <w:trPr/>
        <w:tc>
          <w:tcPr>
            <w:tcW w:w="2030" w:type="dxa"/>
            <w:tcBorders>
              <w:left w:val="single" w:sz="8" w:space="0" w:color="999999"/>
              <w:bottom w:val="single" w:sz="8" w:space="0" w:color="999999"/>
              <w:right w:val="single" w:sz="8" w:space="0" w:color="999999"/>
            </w:tcBorders>
            <w:shd w:fill="E7E7E7" w:val="clear"/>
            <w:tcMar>
              <w:top w:w="0" w:type="dxa"/>
            </w:tcMar>
            <w:vAlign w:val="center"/>
          </w:tcPr>
          <w:p>
            <w:pPr>
              <w:pStyle w:val="TableContents"/>
              <w:bidi w:val="0"/>
              <w:spacing w:before="0" w:after="283"/>
              <w:jc w:val="left"/>
              <w:rPr/>
            </w:pPr>
            <w:r>
              <w:rPr/>
              <w:t> </w:t>
            </w:r>
          </w:p>
        </w:tc>
        <w:tc>
          <w:tcPr>
            <w:tcW w:w="785" w:type="dxa"/>
            <w:tcBorders>
              <w:bottom w:val="single" w:sz="8" w:space="0" w:color="999999"/>
              <w:right w:val="single" w:sz="8" w:space="0" w:color="999999"/>
            </w:tcBorders>
            <w:shd w:fill="F2F2F2" w:val="clear"/>
            <w:tcMar>
              <w:top w:w="0" w:type="dxa"/>
              <w:left w:w="0" w:type="dxa"/>
            </w:tcMar>
            <w:vAlign w:val="center"/>
          </w:tcPr>
          <w:p>
            <w:pPr>
              <w:pStyle w:val="TableContents"/>
              <w:bidi w:val="0"/>
              <w:spacing w:before="0" w:after="283"/>
              <w:jc w:val="center"/>
              <w:rPr>
                <w:b/>
                <w:i/>
                <w:sz w:val="20"/>
              </w:rPr>
            </w:pPr>
            <w:r>
              <w:rPr>
                <w:b/>
                <w:i/>
                <w:sz w:val="20"/>
              </w:rPr>
              <w:t>Q2 2026</w:t>
            </w:r>
          </w:p>
        </w:tc>
        <w:tc>
          <w:tcPr>
            <w:tcW w:w="785" w:type="dxa"/>
            <w:tcBorders>
              <w:bottom w:val="single" w:sz="8" w:space="0" w:color="999999"/>
              <w:right w:val="single" w:sz="8" w:space="0" w:color="999999"/>
            </w:tcBorders>
            <w:shd w:fill="F2F2F2" w:val="clear"/>
            <w:tcMar>
              <w:top w:w="0" w:type="dxa"/>
              <w:left w:w="0" w:type="dxa"/>
            </w:tcMar>
            <w:vAlign w:val="center"/>
          </w:tcPr>
          <w:p>
            <w:pPr>
              <w:pStyle w:val="TableContents"/>
              <w:bidi w:val="0"/>
              <w:spacing w:before="0" w:after="283"/>
              <w:jc w:val="center"/>
              <w:rPr>
                <w:b/>
                <w:i/>
                <w:sz w:val="20"/>
              </w:rPr>
            </w:pPr>
            <w:r>
              <w:rPr>
                <w:b/>
                <w:i/>
                <w:sz w:val="20"/>
              </w:rPr>
              <w:t>Q1 2026</w:t>
            </w:r>
          </w:p>
        </w:tc>
        <w:tc>
          <w:tcPr>
            <w:tcW w:w="785" w:type="dxa"/>
            <w:tcBorders>
              <w:bottom w:val="single" w:sz="8" w:space="0" w:color="999999"/>
              <w:right w:val="single" w:sz="8" w:space="0" w:color="999999"/>
            </w:tcBorders>
            <w:shd w:fill="F2F2F2" w:val="clear"/>
            <w:tcMar>
              <w:top w:w="0" w:type="dxa"/>
              <w:left w:w="0" w:type="dxa"/>
            </w:tcMar>
            <w:vAlign w:val="center"/>
          </w:tcPr>
          <w:p>
            <w:pPr>
              <w:pStyle w:val="TableContents"/>
              <w:bidi w:val="0"/>
              <w:spacing w:before="0" w:after="283"/>
              <w:jc w:val="center"/>
              <w:rPr>
                <w:b/>
                <w:i/>
                <w:sz w:val="20"/>
              </w:rPr>
            </w:pPr>
            <w:r>
              <w:rPr>
                <w:b/>
                <w:i/>
                <w:sz w:val="20"/>
              </w:rPr>
              <w:t>Q2 2025</w:t>
            </w:r>
          </w:p>
        </w:tc>
        <w:tc>
          <w:tcPr>
            <w:tcW w:w="785" w:type="dxa"/>
            <w:tcBorders>
              <w:bottom w:val="single" w:sz="8" w:space="0" w:color="999999"/>
              <w:right w:val="single" w:sz="8" w:space="0" w:color="999999"/>
            </w:tcBorders>
            <w:shd w:fill="F2F2F2" w:val="clear"/>
            <w:tcMar>
              <w:top w:w="0" w:type="dxa"/>
              <w:left w:w="0" w:type="dxa"/>
            </w:tcMar>
            <w:vAlign w:val="center"/>
          </w:tcPr>
          <w:p>
            <w:pPr>
              <w:pStyle w:val="TableContents"/>
              <w:bidi w:val="0"/>
              <w:spacing w:before="0" w:after="283"/>
              <w:jc w:val="center"/>
              <w:rPr>
                <w:b/>
                <w:i/>
                <w:sz w:val="20"/>
              </w:rPr>
            </w:pPr>
            <w:r>
              <w:rPr>
                <w:b/>
                <w:i/>
                <w:sz w:val="20"/>
              </w:rPr>
              <w:t>Q2 2026</w:t>
            </w:r>
          </w:p>
        </w:tc>
        <w:tc>
          <w:tcPr>
            <w:tcW w:w="785" w:type="dxa"/>
            <w:tcBorders>
              <w:bottom w:val="single" w:sz="8" w:space="0" w:color="999999"/>
              <w:right w:val="single" w:sz="8" w:space="0" w:color="999999"/>
            </w:tcBorders>
            <w:shd w:fill="F2F2F2" w:val="clear"/>
            <w:tcMar>
              <w:top w:w="0" w:type="dxa"/>
              <w:left w:w="0" w:type="dxa"/>
            </w:tcMar>
            <w:vAlign w:val="center"/>
          </w:tcPr>
          <w:p>
            <w:pPr>
              <w:pStyle w:val="TableContents"/>
              <w:bidi w:val="0"/>
              <w:spacing w:before="0" w:after="283"/>
              <w:jc w:val="center"/>
              <w:rPr>
                <w:b/>
                <w:i/>
                <w:sz w:val="20"/>
              </w:rPr>
            </w:pPr>
            <w:r>
              <w:rPr>
                <w:b/>
                <w:i/>
                <w:sz w:val="20"/>
              </w:rPr>
              <w:t>Q1 2026</w:t>
            </w:r>
          </w:p>
        </w:tc>
        <w:tc>
          <w:tcPr>
            <w:tcW w:w="800" w:type="dxa"/>
            <w:tcBorders>
              <w:bottom w:val="single" w:sz="8" w:space="0" w:color="999999"/>
              <w:right w:val="single" w:sz="8" w:space="0" w:color="999999"/>
            </w:tcBorders>
            <w:shd w:fill="F2F2F2" w:val="clear"/>
            <w:tcMar>
              <w:top w:w="0" w:type="dxa"/>
              <w:left w:w="0" w:type="dxa"/>
            </w:tcMar>
            <w:vAlign w:val="center"/>
          </w:tcPr>
          <w:p>
            <w:pPr>
              <w:pStyle w:val="TableContents"/>
              <w:bidi w:val="0"/>
              <w:spacing w:before="0" w:after="283"/>
              <w:jc w:val="center"/>
              <w:rPr>
                <w:b/>
                <w:i/>
                <w:sz w:val="20"/>
              </w:rPr>
            </w:pPr>
            <w:r>
              <w:rPr>
                <w:b/>
                <w:i/>
                <w:sz w:val="20"/>
              </w:rPr>
              <w:t>Q2 2025</w:t>
            </w:r>
          </w:p>
        </w:tc>
      </w:tr>
      <w:tr>
        <w:trPr/>
        <w:tc>
          <w:tcPr>
            <w:tcW w:w="2030" w:type="dxa"/>
            <w:tcBorders>
              <w:left w:val="single" w:sz="8" w:space="0" w:color="999999"/>
              <w:bottom w:val="single" w:sz="8" w:space="0" w:color="999999"/>
              <w:right w:val="single" w:sz="8" w:space="0" w:color="999999"/>
            </w:tcBorders>
            <w:tcMar>
              <w:top w:w="0" w:type="dxa"/>
            </w:tcMar>
            <w:vAlign w:val="center"/>
          </w:tcPr>
          <w:p>
            <w:pPr>
              <w:pStyle w:val="TableContents"/>
              <w:bidi w:val="0"/>
              <w:spacing w:before="0" w:after="283"/>
              <w:jc w:val="left"/>
              <w:rPr>
                <w:sz w:val="20"/>
              </w:rPr>
            </w:pPr>
            <w:r>
              <w:rPr>
                <w:sz w:val="20"/>
              </w:rPr>
              <w:t>Revenue</w:t>
            </w:r>
          </w:p>
        </w:tc>
        <w:tc>
          <w:tcPr>
            <w:tcW w:w="785" w:type="dxa"/>
            <w:tcBorders>
              <w:bottom w:val="single" w:sz="8" w:space="0" w:color="999999"/>
              <w:right w:val="single" w:sz="8" w:space="0" w:color="999999"/>
            </w:tcBorders>
            <w:tcMar>
              <w:top w:w="0" w:type="dxa"/>
              <w:left w:w="0" w:type="dxa"/>
            </w:tcMar>
            <w:vAlign w:val="center"/>
          </w:tcPr>
          <w:p>
            <w:pPr>
              <w:pStyle w:val="TableContents"/>
              <w:bidi w:val="0"/>
              <w:spacing w:before="0" w:after="283"/>
              <w:jc w:val="center"/>
              <w:rPr>
                <w:sz w:val="20"/>
              </w:rPr>
            </w:pPr>
            <w:r>
              <w:rPr>
                <w:sz w:val="20"/>
              </w:rPr>
              <w:t>$346.2</w:t>
            </w:r>
          </w:p>
        </w:tc>
        <w:tc>
          <w:tcPr>
            <w:tcW w:w="785" w:type="dxa"/>
            <w:tcBorders>
              <w:bottom w:val="single" w:sz="8" w:space="0" w:color="999999"/>
              <w:right w:val="single" w:sz="8" w:space="0" w:color="999999"/>
            </w:tcBorders>
            <w:tcMar>
              <w:top w:w="0" w:type="dxa"/>
              <w:left w:w="0" w:type="dxa"/>
            </w:tcMar>
            <w:vAlign w:val="center"/>
          </w:tcPr>
          <w:p>
            <w:pPr>
              <w:pStyle w:val="TableContents"/>
              <w:bidi w:val="0"/>
              <w:spacing w:before="0" w:after="283"/>
              <w:jc w:val="center"/>
              <w:rPr>
                <w:sz w:val="20"/>
              </w:rPr>
            </w:pPr>
            <w:r>
              <w:rPr>
                <w:sz w:val="20"/>
              </w:rPr>
              <w:t>$310.5</w:t>
            </w:r>
          </w:p>
        </w:tc>
        <w:tc>
          <w:tcPr>
            <w:tcW w:w="785" w:type="dxa"/>
            <w:tcBorders>
              <w:bottom w:val="single" w:sz="8" w:space="0" w:color="999999"/>
              <w:right w:val="single" w:sz="8" w:space="0" w:color="999999"/>
            </w:tcBorders>
            <w:tcMar>
              <w:top w:w="0" w:type="dxa"/>
              <w:left w:w="0" w:type="dxa"/>
            </w:tcMar>
            <w:vAlign w:val="center"/>
          </w:tcPr>
          <w:p>
            <w:pPr>
              <w:pStyle w:val="TableContents"/>
              <w:bidi w:val="0"/>
              <w:spacing w:before="0" w:after="283"/>
              <w:jc w:val="center"/>
              <w:rPr>
                <w:sz w:val="20"/>
              </w:rPr>
            </w:pPr>
            <w:r>
              <w:rPr>
                <w:sz w:val="20"/>
              </w:rPr>
              <w:t>$289.4</w:t>
            </w:r>
          </w:p>
        </w:tc>
        <w:tc>
          <w:tcPr>
            <w:tcW w:w="785" w:type="dxa"/>
            <w:tcBorders>
              <w:bottom w:val="single" w:sz="8" w:space="0" w:color="999999"/>
              <w:right w:val="single" w:sz="8" w:space="0" w:color="999999"/>
            </w:tcBorders>
            <w:tcMar>
              <w:top w:w="0" w:type="dxa"/>
              <w:left w:w="0" w:type="dxa"/>
            </w:tcMar>
            <w:vAlign w:val="center"/>
          </w:tcPr>
          <w:p>
            <w:pPr>
              <w:pStyle w:val="TableContents"/>
              <w:bidi w:val="0"/>
              <w:spacing w:before="0" w:after="283"/>
              <w:jc w:val="center"/>
              <w:rPr>
                <w:sz w:val="20"/>
              </w:rPr>
            </w:pPr>
            <w:r>
              <w:rPr>
                <w:sz w:val="20"/>
              </w:rPr>
              <w:t>$345.5</w:t>
            </w:r>
          </w:p>
        </w:tc>
        <w:tc>
          <w:tcPr>
            <w:tcW w:w="785" w:type="dxa"/>
            <w:tcBorders>
              <w:bottom w:val="single" w:sz="8" w:space="0" w:color="999999"/>
              <w:right w:val="single" w:sz="8" w:space="0" w:color="999999"/>
            </w:tcBorders>
            <w:tcMar>
              <w:top w:w="0" w:type="dxa"/>
              <w:left w:w="0" w:type="dxa"/>
            </w:tcMar>
            <w:vAlign w:val="center"/>
          </w:tcPr>
          <w:p>
            <w:pPr>
              <w:pStyle w:val="TableContents"/>
              <w:bidi w:val="0"/>
              <w:spacing w:before="0" w:after="283"/>
              <w:jc w:val="center"/>
              <w:rPr>
                <w:sz w:val="20"/>
              </w:rPr>
            </w:pPr>
            <w:r>
              <w:rPr>
                <w:sz w:val="20"/>
              </w:rPr>
              <w:t>$309.9</w:t>
            </w:r>
          </w:p>
        </w:tc>
        <w:tc>
          <w:tcPr>
            <w:tcW w:w="800" w:type="dxa"/>
            <w:tcBorders>
              <w:bottom w:val="single" w:sz="8" w:space="0" w:color="999999"/>
              <w:right w:val="single" w:sz="8" w:space="0" w:color="999999"/>
            </w:tcBorders>
            <w:tcMar>
              <w:top w:w="0" w:type="dxa"/>
              <w:left w:w="0" w:type="dxa"/>
            </w:tcMar>
            <w:vAlign w:val="center"/>
          </w:tcPr>
          <w:p>
            <w:pPr>
              <w:pStyle w:val="TableContents"/>
              <w:bidi w:val="0"/>
              <w:spacing w:before="0" w:after="283"/>
              <w:jc w:val="center"/>
              <w:rPr>
                <w:sz w:val="20"/>
              </w:rPr>
            </w:pPr>
            <w:r>
              <w:rPr>
                <w:sz w:val="20"/>
              </w:rPr>
              <w:t>$281.0</w:t>
            </w:r>
          </w:p>
        </w:tc>
      </w:tr>
      <w:tr>
        <w:trPr/>
        <w:tc>
          <w:tcPr>
            <w:tcW w:w="2030" w:type="dxa"/>
            <w:tcBorders>
              <w:left w:val="single" w:sz="8" w:space="0" w:color="999999"/>
              <w:bottom w:val="single" w:sz="8" w:space="0" w:color="999999"/>
              <w:right w:val="single" w:sz="8" w:space="0" w:color="999999"/>
            </w:tcBorders>
            <w:shd w:fill="FAFAFA" w:val="clear"/>
            <w:tcMar>
              <w:top w:w="0" w:type="dxa"/>
            </w:tcMar>
            <w:vAlign w:val="center"/>
          </w:tcPr>
          <w:p>
            <w:pPr>
              <w:pStyle w:val="TableContents"/>
              <w:bidi w:val="0"/>
              <w:spacing w:before="0" w:after="283"/>
              <w:jc w:val="left"/>
              <w:rPr>
                <w:sz w:val="20"/>
              </w:rPr>
            </w:pPr>
            <w:r>
              <w:rPr>
                <w:sz w:val="20"/>
              </w:rPr>
              <w:t>Gross margin</w:t>
            </w:r>
          </w:p>
        </w:tc>
        <w:tc>
          <w:tcPr>
            <w:tcW w:w="785" w:type="dxa"/>
            <w:tcBorders>
              <w:bottom w:val="single" w:sz="8" w:space="0" w:color="999999"/>
              <w:right w:val="single" w:sz="8" w:space="0" w:color="999999"/>
            </w:tcBorders>
            <w:shd w:fill="FAFAFA" w:val="clear"/>
            <w:tcMar>
              <w:top w:w="0" w:type="dxa"/>
              <w:left w:w="0" w:type="dxa"/>
            </w:tcMar>
            <w:vAlign w:val="center"/>
          </w:tcPr>
          <w:p>
            <w:pPr>
              <w:pStyle w:val="TableContents"/>
              <w:bidi w:val="0"/>
              <w:spacing w:before="0" w:after="283"/>
              <w:jc w:val="center"/>
              <w:rPr>
                <w:sz w:val="20"/>
              </w:rPr>
            </w:pPr>
            <w:r>
              <w:rPr>
                <w:sz w:val="20"/>
              </w:rPr>
              <w:t>27.5% </w:t>
            </w:r>
          </w:p>
        </w:tc>
        <w:tc>
          <w:tcPr>
            <w:tcW w:w="785" w:type="dxa"/>
            <w:tcBorders>
              <w:bottom w:val="single" w:sz="8" w:space="0" w:color="999999"/>
              <w:right w:val="single" w:sz="8" w:space="0" w:color="999999"/>
            </w:tcBorders>
            <w:shd w:fill="FAFAFA" w:val="clear"/>
            <w:tcMar>
              <w:top w:w="0" w:type="dxa"/>
              <w:left w:w="0" w:type="dxa"/>
            </w:tcMar>
            <w:vAlign w:val="center"/>
          </w:tcPr>
          <w:p>
            <w:pPr>
              <w:pStyle w:val="TableContents"/>
              <w:bidi w:val="0"/>
              <w:spacing w:before="0" w:after="283"/>
              <w:jc w:val="center"/>
              <w:rPr>
                <w:sz w:val="20"/>
              </w:rPr>
            </w:pPr>
            <w:r>
              <w:rPr>
                <w:sz w:val="20"/>
              </w:rPr>
              <w:t>22.0%</w:t>
            </w:r>
          </w:p>
        </w:tc>
        <w:tc>
          <w:tcPr>
            <w:tcW w:w="785" w:type="dxa"/>
            <w:tcBorders>
              <w:bottom w:val="single" w:sz="8" w:space="0" w:color="999999"/>
              <w:right w:val="single" w:sz="8" w:space="0" w:color="999999"/>
            </w:tcBorders>
            <w:shd w:fill="FAFAFA" w:val="clear"/>
            <w:tcMar>
              <w:top w:w="0" w:type="dxa"/>
              <w:left w:w="0" w:type="dxa"/>
            </w:tcMar>
            <w:vAlign w:val="center"/>
          </w:tcPr>
          <w:p>
            <w:pPr>
              <w:pStyle w:val="TableContents"/>
              <w:bidi w:val="0"/>
              <w:spacing w:before="0" w:after="283"/>
              <w:jc w:val="center"/>
              <w:rPr>
                <w:sz w:val="20"/>
              </w:rPr>
            </w:pPr>
            <w:r>
              <w:rPr>
                <w:sz w:val="20"/>
              </w:rPr>
              <w:t>11.1%</w:t>
            </w:r>
          </w:p>
        </w:tc>
        <w:tc>
          <w:tcPr>
            <w:tcW w:w="785" w:type="dxa"/>
            <w:tcBorders>
              <w:bottom w:val="single" w:sz="8" w:space="0" w:color="999999"/>
              <w:right w:val="single" w:sz="8" w:space="0" w:color="999999"/>
            </w:tcBorders>
            <w:shd w:fill="FAFAFA" w:val="clear"/>
            <w:tcMar>
              <w:top w:w="0" w:type="dxa"/>
              <w:left w:w="0" w:type="dxa"/>
            </w:tcMar>
            <w:vAlign w:val="center"/>
          </w:tcPr>
          <w:p>
            <w:pPr>
              <w:pStyle w:val="TableContents"/>
              <w:bidi w:val="0"/>
              <w:spacing w:before="0" w:after="283"/>
              <w:jc w:val="center"/>
              <w:rPr>
                <w:sz w:val="20"/>
              </w:rPr>
            </w:pPr>
            <w:r>
              <w:rPr>
                <w:sz w:val="20"/>
              </w:rPr>
              <w:t>28.6% </w:t>
            </w:r>
          </w:p>
        </w:tc>
        <w:tc>
          <w:tcPr>
            <w:tcW w:w="785" w:type="dxa"/>
            <w:tcBorders>
              <w:bottom w:val="single" w:sz="8" w:space="0" w:color="999999"/>
              <w:right w:val="single" w:sz="8" w:space="0" w:color="999999"/>
            </w:tcBorders>
            <w:shd w:fill="FAFAFA" w:val="clear"/>
            <w:tcMar>
              <w:top w:w="0" w:type="dxa"/>
              <w:left w:w="0" w:type="dxa"/>
            </w:tcMar>
            <w:vAlign w:val="center"/>
          </w:tcPr>
          <w:p>
            <w:pPr>
              <w:pStyle w:val="TableContents"/>
              <w:bidi w:val="0"/>
              <w:spacing w:before="0" w:after="283"/>
              <w:jc w:val="center"/>
              <w:rPr>
                <w:sz w:val="20"/>
              </w:rPr>
            </w:pPr>
            <w:r>
              <w:rPr>
                <w:sz w:val="20"/>
              </w:rPr>
              <w:t>23.5%</w:t>
            </w:r>
          </w:p>
        </w:tc>
        <w:tc>
          <w:tcPr>
            <w:tcW w:w="800" w:type="dxa"/>
            <w:tcBorders>
              <w:bottom w:val="single" w:sz="8" w:space="0" w:color="999999"/>
              <w:right w:val="single" w:sz="8" w:space="0" w:color="999999"/>
            </w:tcBorders>
            <w:shd w:fill="FAFAFA" w:val="clear"/>
            <w:tcMar>
              <w:top w:w="0" w:type="dxa"/>
              <w:left w:w="0" w:type="dxa"/>
            </w:tcMar>
            <w:vAlign w:val="center"/>
          </w:tcPr>
          <w:p>
            <w:pPr>
              <w:pStyle w:val="TableContents"/>
              <w:bidi w:val="0"/>
              <w:spacing w:before="0" w:after="283"/>
              <w:jc w:val="center"/>
              <w:rPr>
                <w:sz w:val="20"/>
              </w:rPr>
            </w:pPr>
            <w:r>
              <w:rPr>
                <w:sz w:val="20"/>
              </w:rPr>
              <w:t>13.1%</w:t>
            </w:r>
          </w:p>
        </w:tc>
      </w:tr>
      <w:tr>
        <w:trPr/>
        <w:tc>
          <w:tcPr>
            <w:tcW w:w="2030" w:type="dxa"/>
            <w:tcBorders>
              <w:left w:val="single" w:sz="8" w:space="0" w:color="999999"/>
              <w:bottom w:val="single" w:sz="8" w:space="0" w:color="999999"/>
              <w:right w:val="single" w:sz="8" w:space="0" w:color="999999"/>
            </w:tcBorders>
            <w:tcMar>
              <w:top w:w="0" w:type="dxa"/>
            </w:tcMar>
            <w:vAlign w:val="center"/>
          </w:tcPr>
          <w:p>
            <w:pPr>
              <w:pStyle w:val="TableContents"/>
              <w:bidi w:val="0"/>
              <w:spacing w:before="0" w:after="283"/>
              <w:jc w:val="left"/>
              <w:rPr>
                <w:sz w:val="20"/>
              </w:rPr>
            </w:pPr>
            <w:r>
              <w:rPr>
                <w:sz w:val="20"/>
              </w:rPr>
              <w:t>Operating expenses</w:t>
            </w:r>
          </w:p>
        </w:tc>
        <w:tc>
          <w:tcPr>
            <w:tcW w:w="785" w:type="dxa"/>
            <w:tcBorders>
              <w:bottom w:val="single" w:sz="8" w:space="0" w:color="999999"/>
              <w:right w:val="single" w:sz="8" w:space="0" w:color="999999"/>
            </w:tcBorders>
            <w:tcMar>
              <w:top w:w="0" w:type="dxa"/>
              <w:left w:w="0" w:type="dxa"/>
            </w:tcMar>
            <w:vAlign w:val="center"/>
          </w:tcPr>
          <w:p>
            <w:pPr>
              <w:pStyle w:val="TableContents"/>
              <w:bidi w:val="0"/>
              <w:spacing w:before="0" w:after="283"/>
              <w:jc w:val="center"/>
              <w:rPr>
                <w:sz w:val="20"/>
              </w:rPr>
            </w:pPr>
            <w:r>
              <w:rPr>
                <w:sz w:val="20"/>
              </w:rPr>
              <w:t>$111.2 </w:t>
            </w:r>
          </w:p>
        </w:tc>
        <w:tc>
          <w:tcPr>
            <w:tcW w:w="785" w:type="dxa"/>
            <w:tcBorders>
              <w:bottom w:val="single" w:sz="8" w:space="0" w:color="999999"/>
              <w:right w:val="single" w:sz="8" w:space="0" w:color="999999"/>
            </w:tcBorders>
            <w:tcMar>
              <w:top w:w="0" w:type="dxa"/>
              <w:left w:w="0" w:type="dxa"/>
            </w:tcMar>
            <w:vAlign w:val="center"/>
          </w:tcPr>
          <w:p>
            <w:pPr>
              <w:pStyle w:val="TableContents"/>
              <w:bidi w:val="0"/>
              <w:spacing w:before="0" w:after="283"/>
              <w:jc w:val="center"/>
              <w:rPr>
                <w:sz w:val="20"/>
              </w:rPr>
            </w:pPr>
            <w:r>
              <w:rPr>
                <w:sz w:val="20"/>
              </w:rPr>
              <w:t>$123.3</w:t>
            </w:r>
          </w:p>
        </w:tc>
        <w:tc>
          <w:tcPr>
            <w:tcW w:w="785" w:type="dxa"/>
            <w:tcBorders>
              <w:bottom w:val="single" w:sz="8" w:space="0" w:color="999999"/>
              <w:right w:val="single" w:sz="8" w:space="0" w:color="999999"/>
            </w:tcBorders>
            <w:tcMar>
              <w:top w:w="0" w:type="dxa"/>
              <w:left w:w="0" w:type="dxa"/>
            </w:tcMar>
            <w:vAlign w:val="center"/>
          </w:tcPr>
          <w:p>
            <w:pPr>
              <w:pStyle w:val="TableContents"/>
              <w:bidi w:val="0"/>
              <w:spacing w:before="0" w:after="283"/>
              <w:jc w:val="center"/>
              <w:rPr>
                <w:sz w:val="20"/>
              </w:rPr>
            </w:pPr>
            <w:r>
              <w:rPr>
                <w:sz w:val="20"/>
              </w:rPr>
              <w:t>$147.6</w:t>
            </w:r>
          </w:p>
        </w:tc>
        <w:tc>
          <w:tcPr>
            <w:tcW w:w="785" w:type="dxa"/>
            <w:tcBorders>
              <w:bottom w:val="single" w:sz="8" w:space="0" w:color="999999"/>
              <w:right w:val="single" w:sz="8" w:space="0" w:color="999999"/>
            </w:tcBorders>
            <w:tcMar>
              <w:top w:w="0" w:type="dxa"/>
              <w:left w:w="0" w:type="dxa"/>
            </w:tcMar>
            <w:vAlign w:val="center"/>
          </w:tcPr>
          <w:p>
            <w:pPr>
              <w:pStyle w:val="TableContents"/>
              <w:bidi w:val="0"/>
              <w:spacing w:before="0" w:after="283"/>
              <w:jc w:val="center"/>
              <w:rPr>
                <w:sz w:val="20"/>
              </w:rPr>
            </w:pPr>
            <w:r>
              <w:rPr>
                <w:sz w:val="20"/>
              </w:rPr>
              <w:t>$88.5</w:t>
            </w:r>
          </w:p>
        </w:tc>
        <w:tc>
          <w:tcPr>
            <w:tcW w:w="785" w:type="dxa"/>
            <w:tcBorders>
              <w:bottom w:val="single" w:sz="8" w:space="0" w:color="999999"/>
              <w:right w:val="single" w:sz="8" w:space="0" w:color="999999"/>
            </w:tcBorders>
            <w:tcMar>
              <w:top w:w="0" w:type="dxa"/>
              <w:left w:w="0" w:type="dxa"/>
            </w:tcMar>
            <w:vAlign w:val="center"/>
          </w:tcPr>
          <w:p>
            <w:pPr>
              <w:pStyle w:val="TableContents"/>
              <w:bidi w:val="0"/>
              <w:spacing w:before="0" w:after="283"/>
              <w:jc w:val="center"/>
              <w:rPr>
                <w:sz w:val="20"/>
              </w:rPr>
            </w:pPr>
            <w:r>
              <w:rPr>
                <w:sz w:val="20"/>
              </w:rPr>
              <w:t>$97.7</w:t>
            </w:r>
          </w:p>
        </w:tc>
        <w:tc>
          <w:tcPr>
            <w:tcW w:w="800" w:type="dxa"/>
            <w:tcBorders>
              <w:bottom w:val="single" w:sz="8" w:space="0" w:color="999999"/>
              <w:right w:val="single" w:sz="8" w:space="0" w:color="999999"/>
            </w:tcBorders>
            <w:tcMar>
              <w:top w:w="0" w:type="dxa"/>
              <w:left w:w="0" w:type="dxa"/>
            </w:tcMar>
            <w:vAlign w:val="center"/>
          </w:tcPr>
          <w:p>
            <w:pPr>
              <w:pStyle w:val="TableContents"/>
              <w:bidi w:val="0"/>
              <w:spacing w:before="0" w:after="283"/>
              <w:jc w:val="center"/>
              <w:rPr>
                <w:sz w:val="20"/>
              </w:rPr>
            </w:pPr>
            <w:r>
              <w:rPr>
                <w:sz w:val="20"/>
              </w:rPr>
              <w:t>$85.2</w:t>
            </w:r>
          </w:p>
        </w:tc>
      </w:tr>
      <w:tr>
        <w:trPr/>
        <w:tc>
          <w:tcPr>
            <w:tcW w:w="2030" w:type="dxa"/>
            <w:tcBorders>
              <w:left w:val="single" w:sz="8" w:space="0" w:color="999999"/>
              <w:bottom w:val="single" w:sz="8" w:space="0" w:color="999999"/>
              <w:right w:val="single" w:sz="8" w:space="0" w:color="999999"/>
            </w:tcBorders>
            <w:shd w:fill="FAFAFA" w:val="clear"/>
            <w:tcMar>
              <w:top w:w="0" w:type="dxa"/>
            </w:tcMar>
            <w:vAlign w:val="center"/>
          </w:tcPr>
          <w:p>
            <w:pPr>
              <w:pStyle w:val="TableContents"/>
              <w:bidi w:val="0"/>
              <w:spacing w:before="0" w:after="283"/>
              <w:jc w:val="left"/>
              <w:rPr>
                <w:sz w:val="20"/>
              </w:rPr>
            </w:pPr>
            <w:r>
              <w:rPr>
                <w:sz w:val="20"/>
              </w:rPr>
              <w:t>Operating income (loss)</w:t>
            </w:r>
          </w:p>
        </w:tc>
        <w:tc>
          <w:tcPr>
            <w:tcW w:w="785" w:type="dxa"/>
            <w:tcBorders>
              <w:bottom w:val="single" w:sz="8" w:space="0" w:color="999999"/>
              <w:right w:val="single" w:sz="8" w:space="0" w:color="999999"/>
            </w:tcBorders>
            <w:shd w:fill="FAFAFA" w:val="clear"/>
            <w:tcMar>
              <w:top w:w="0" w:type="dxa"/>
              <w:left w:w="0" w:type="dxa"/>
            </w:tcMar>
            <w:vAlign w:val="center"/>
          </w:tcPr>
          <w:p>
            <w:pPr>
              <w:pStyle w:val="TableContents"/>
              <w:bidi w:val="0"/>
              <w:spacing w:before="0" w:after="283"/>
              <w:jc w:val="center"/>
              <w:rPr>
                <w:sz w:val="20"/>
              </w:rPr>
            </w:pPr>
            <w:r>
              <w:rPr>
                <w:sz w:val="20"/>
              </w:rPr>
              <w:t>$(16.0) </w:t>
            </w:r>
          </w:p>
        </w:tc>
        <w:tc>
          <w:tcPr>
            <w:tcW w:w="785" w:type="dxa"/>
            <w:tcBorders>
              <w:bottom w:val="single" w:sz="8" w:space="0" w:color="999999"/>
              <w:right w:val="single" w:sz="8" w:space="0" w:color="999999"/>
            </w:tcBorders>
            <w:shd w:fill="FAFAFA" w:val="clear"/>
            <w:tcMar>
              <w:top w:w="0" w:type="dxa"/>
              <w:left w:w="0" w:type="dxa"/>
            </w:tcMar>
            <w:vAlign w:val="center"/>
          </w:tcPr>
          <w:p>
            <w:pPr>
              <w:pStyle w:val="TableContents"/>
              <w:bidi w:val="0"/>
              <w:spacing w:before="0" w:after="283"/>
              <w:jc w:val="center"/>
              <w:rPr>
                <w:sz w:val="20"/>
              </w:rPr>
            </w:pPr>
            <w:r>
              <w:rPr>
                <w:sz w:val="20"/>
              </w:rPr>
              <w:t>$(55.0)</w:t>
            </w:r>
          </w:p>
        </w:tc>
        <w:tc>
          <w:tcPr>
            <w:tcW w:w="785" w:type="dxa"/>
            <w:tcBorders>
              <w:bottom w:val="single" w:sz="8" w:space="0" w:color="999999"/>
              <w:right w:val="single" w:sz="8" w:space="0" w:color="999999"/>
            </w:tcBorders>
            <w:shd w:fill="FAFAFA" w:val="clear"/>
            <w:tcMar>
              <w:top w:w="0" w:type="dxa"/>
              <w:left w:w="0" w:type="dxa"/>
            </w:tcMar>
            <w:vAlign w:val="center"/>
          </w:tcPr>
          <w:p>
            <w:pPr>
              <w:pStyle w:val="TableContents"/>
              <w:bidi w:val="0"/>
              <w:spacing w:before="0" w:after="283"/>
              <w:jc w:val="center"/>
              <w:rPr>
                <w:sz w:val="20"/>
              </w:rPr>
            </w:pPr>
            <w:r>
              <w:rPr>
                <w:sz w:val="20"/>
              </w:rPr>
              <w:t>$(115.5)</w:t>
            </w:r>
          </w:p>
        </w:tc>
        <w:tc>
          <w:tcPr>
            <w:tcW w:w="785" w:type="dxa"/>
            <w:tcBorders>
              <w:bottom w:val="single" w:sz="8" w:space="0" w:color="999999"/>
              <w:right w:val="single" w:sz="8" w:space="0" w:color="999999"/>
            </w:tcBorders>
            <w:shd w:fill="FAFAFA" w:val="clear"/>
            <w:tcMar>
              <w:top w:w="0" w:type="dxa"/>
              <w:left w:w="0" w:type="dxa"/>
            </w:tcMar>
            <w:vAlign w:val="center"/>
          </w:tcPr>
          <w:p>
            <w:pPr>
              <w:pStyle w:val="TableContents"/>
              <w:bidi w:val="0"/>
              <w:spacing w:before="0" w:after="283"/>
              <w:jc w:val="center"/>
              <w:rPr>
                <w:sz w:val="20"/>
              </w:rPr>
            </w:pPr>
            <w:r>
              <w:rPr>
                <w:sz w:val="20"/>
              </w:rPr>
              <w:t>$10.2 </w:t>
            </w:r>
          </w:p>
        </w:tc>
        <w:tc>
          <w:tcPr>
            <w:tcW w:w="785" w:type="dxa"/>
            <w:tcBorders>
              <w:bottom w:val="single" w:sz="8" w:space="0" w:color="999999"/>
              <w:right w:val="single" w:sz="8" w:space="0" w:color="999999"/>
            </w:tcBorders>
            <w:shd w:fill="FAFAFA" w:val="clear"/>
            <w:tcMar>
              <w:top w:w="0" w:type="dxa"/>
              <w:left w:w="0" w:type="dxa"/>
            </w:tcMar>
            <w:vAlign w:val="center"/>
          </w:tcPr>
          <w:p>
            <w:pPr>
              <w:pStyle w:val="TableContents"/>
              <w:bidi w:val="0"/>
              <w:spacing w:before="0" w:after="283"/>
              <w:jc w:val="center"/>
              <w:rPr>
                <w:sz w:val="20"/>
              </w:rPr>
            </w:pPr>
            <w:r>
              <w:rPr>
                <w:sz w:val="20"/>
              </w:rPr>
              <w:t>$(24.8)</w:t>
            </w:r>
          </w:p>
        </w:tc>
        <w:tc>
          <w:tcPr>
            <w:tcW w:w="800" w:type="dxa"/>
            <w:tcBorders>
              <w:bottom w:val="single" w:sz="8" w:space="0" w:color="999999"/>
              <w:right w:val="single" w:sz="8" w:space="0" w:color="999999"/>
            </w:tcBorders>
            <w:shd w:fill="FAFAFA" w:val="clear"/>
            <w:tcMar>
              <w:top w:w="0" w:type="dxa"/>
              <w:left w:w="0" w:type="dxa"/>
            </w:tcMar>
            <w:vAlign w:val="center"/>
          </w:tcPr>
          <w:p>
            <w:pPr>
              <w:pStyle w:val="TableContents"/>
              <w:bidi w:val="0"/>
              <w:spacing w:before="0" w:after="283"/>
              <w:jc w:val="center"/>
              <w:rPr>
                <w:sz w:val="20"/>
              </w:rPr>
            </w:pPr>
            <w:r>
              <w:rPr>
                <w:sz w:val="20"/>
              </w:rPr>
              <w:t>$(48.3)</w:t>
            </w:r>
          </w:p>
        </w:tc>
      </w:tr>
      <w:tr>
        <w:trPr/>
        <w:tc>
          <w:tcPr>
            <w:tcW w:w="2030" w:type="dxa"/>
            <w:tcBorders>
              <w:left w:val="single" w:sz="8" w:space="0" w:color="999999"/>
              <w:bottom w:val="single" w:sz="8" w:space="0" w:color="999999"/>
              <w:right w:val="single" w:sz="8" w:space="0" w:color="999999"/>
            </w:tcBorders>
            <w:tcMar>
              <w:top w:w="0" w:type="dxa"/>
            </w:tcMar>
            <w:vAlign w:val="center"/>
          </w:tcPr>
          <w:p>
            <w:pPr>
              <w:pStyle w:val="TableContents"/>
              <w:bidi w:val="0"/>
              <w:spacing w:before="0" w:after="283"/>
              <w:jc w:val="left"/>
              <w:rPr>
                <w:sz w:val="20"/>
              </w:rPr>
            </w:pPr>
            <w:r>
              <w:rPr>
                <w:sz w:val="20"/>
              </w:rPr>
              <w:t>Net income (loss)</w:t>
            </w:r>
          </w:p>
        </w:tc>
        <w:tc>
          <w:tcPr>
            <w:tcW w:w="785" w:type="dxa"/>
            <w:tcBorders>
              <w:bottom w:val="single" w:sz="8" w:space="0" w:color="999999"/>
              <w:right w:val="single" w:sz="8" w:space="0" w:color="999999"/>
            </w:tcBorders>
            <w:tcMar>
              <w:top w:w="0" w:type="dxa"/>
              <w:left w:w="0" w:type="dxa"/>
            </w:tcMar>
            <w:vAlign w:val="center"/>
          </w:tcPr>
          <w:p>
            <w:pPr>
              <w:pStyle w:val="TableContents"/>
              <w:bidi w:val="0"/>
              <w:spacing w:before="0" w:after="283"/>
              <w:jc w:val="center"/>
              <w:rPr>
                <w:sz w:val="20"/>
              </w:rPr>
            </w:pPr>
            <w:r>
              <w:rPr>
                <w:sz w:val="20"/>
              </w:rPr>
              <w:t>$(30.8) </w:t>
            </w:r>
          </w:p>
        </w:tc>
        <w:tc>
          <w:tcPr>
            <w:tcW w:w="785" w:type="dxa"/>
            <w:tcBorders>
              <w:bottom w:val="single" w:sz="8" w:space="0" w:color="999999"/>
              <w:right w:val="single" w:sz="8" w:space="0" w:color="999999"/>
            </w:tcBorders>
            <w:tcMar>
              <w:top w:w="0" w:type="dxa"/>
              <w:left w:w="0" w:type="dxa"/>
            </w:tcMar>
            <w:vAlign w:val="center"/>
          </w:tcPr>
          <w:p>
            <w:pPr>
              <w:pStyle w:val="TableContents"/>
              <w:bidi w:val="0"/>
              <w:spacing w:before="0" w:after="283"/>
              <w:jc w:val="center"/>
              <w:rPr>
                <w:sz w:val="20"/>
              </w:rPr>
            </w:pPr>
            <w:r>
              <w:rPr>
                <w:sz w:val="20"/>
              </w:rPr>
              <w:t>$(57.4)</w:t>
            </w:r>
          </w:p>
        </w:tc>
        <w:tc>
          <w:tcPr>
            <w:tcW w:w="785" w:type="dxa"/>
            <w:tcBorders>
              <w:bottom w:val="single" w:sz="8" w:space="0" w:color="999999"/>
              <w:right w:val="single" w:sz="8" w:space="0" w:color="999999"/>
            </w:tcBorders>
            <w:tcMar>
              <w:top w:w="0" w:type="dxa"/>
              <w:left w:w="0" w:type="dxa"/>
            </w:tcMar>
            <w:vAlign w:val="center"/>
          </w:tcPr>
          <w:p>
            <w:pPr>
              <w:pStyle w:val="TableContents"/>
              <w:bidi w:val="0"/>
              <w:spacing w:before="0" w:after="283"/>
              <w:jc w:val="center"/>
              <w:rPr>
                <w:sz w:val="20"/>
              </w:rPr>
            </w:pPr>
            <w:r>
              <w:rPr>
                <w:sz w:val="20"/>
              </w:rPr>
              <w:t>$(124.7)</w:t>
            </w:r>
          </w:p>
        </w:tc>
        <w:tc>
          <w:tcPr>
            <w:tcW w:w="785" w:type="dxa"/>
            <w:tcBorders>
              <w:bottom w:val="single" w:sz="8" w:space="0" w:color="999999"/>
              <w:right w:val="single" w:sz="8" w:space="0" w:color="999999"/>
            </w:tcBorders>
            <w:tcMar>
              <w:top w:w="0" w:type="dxa"/>
              <w:left w:w="0" w:type="dxa"/>
            </w:tcMar>
            <w:vAlign w:val="center"/>
          </w:tcPr>
          <w:p>
            <w:pPr>
              <w:pStyle w:val="TableContents"/>
              <w:bidi w:val="0"/>
              <w:spacing w:before="0" w:after="283"/>
              <w:jc w:val="center"/>
              <w:rPr>
                <w:sz w:val="20"/>
              </w:rPr>
            </w:pPr>
            <w:r>
              <w:rPr>
                <w:sz w:val="20"/>
              </w:rPr>
              <w:t>$3.6 </w:t>
            </w:r>
          </w:p>
        </w:tc>
        <w:tc>
          <w:tcPr>
            <w:tcW w:w="785" w:type="dxa"/>
            <w:tcBorders>
              <w:bottom w:val="single" w:sz="8" w:space="0" w:color="999999"/>
              <w:right w:val="single" w:sz="8" w:space="0" w:color="999999"/>
            </w:tcBorders>
            <w:tcMar>
              <w:top w:w="0" w:type="dxa"/>
              <w:left w:w="0" w:type="dxa"/>
            </w:tcMar>
            <w:vAlign w:val="center"/>
          </w:tcPr>
          <w:p>
            <w:pPr>
              <w:pStyle w:val="TableContents"/>
              <w:bidi w:val="0"/>
              <w:spacing w:before="0" w:after="283"/>
              <w:jc w:val="center"/>
              <w:rPr>
                <w:sz w:val="20"/>
              </w:rPr>
            </w:pPr>
            <w:r>
              <w:rPr>
                <w:sz w:val="20"/>
              </w:rPr>
              <w:t>$(26.3)</w:t>
            </w:r>
          </w:p>
        </w:tc>
        <w:tc>
          <w:tcPr>
            <w:tcW w:w="800" w:type="dxa"/>
            <w:tcBorders>
              <w:bottom w:val="single" w:sz="8" w:space="0" w:color="999999"/>
              <w:right w:val="single" w:sz="8" w:space="0" w:color="999999"/>
            </w:tcBorders>
            <w:tcMar>
              <w:top w:w="0" w:type="dxa"/>
              <w:left w:w="0" w:type="dxa"/>
            </w:tcMar>
            <w:vAlign w:val="center"/>
          </w:tcPr>
          <w:p>
            <w:pPr>
              <w:pStyle w:val="TableContents"/>
              <w:bidi w:val="0"/>
              <w:spacing w:before="0" w:after="283"/>
              <w:jc w:val="center"/>
              <w:rPr>
                <w:sz w:val="20"/>
              </w:rPr>
            </w:pPr>
            <w:r>
              <w:rPr>
                <w:sz w:val="20"/>
              </w:rPr>
              <w:t>$(47.7)</w:t>
            </w:r>
          </w:p>
        </w:tc>
      </w:tr>
      <w:tr>
        <w:trPr/>
        <w:tc>
          <w:tcPr>
            <w:tcW w:w="2030" w:type="dxa"/>
            <w:tcBorders>
              <w:left w:val="single" w:sz="8" w:space="0" w:color="999999"/>
              <w:bottom w:val="single" w:sz="8" w:space="0" w:color="999999"/>
              <w:right w:val="single" w:sz="8" w:space="0" w:color="999999"/>
            </w:tcBorders>
            <w:shd w:fill="FAFAFA" w:val="clear"/>
            <w:tcMar>
              <w:top w:w="0" w:type="dxa"/>
            </w:tcMar>
            <w:vAlign w:val="center"/>
          </w:tcPr>
          <w:p>
            <w:pPr>
              <w:pStyle w:val="TableContents"/>
              <w:bidi w:val="0"/>
              <w:spacing w:before="0" w:after="283"/>
              <w:jc w:val="left"/>
              <w:rPr>
                <w:sz w:val="20"/>
              </w:rPr>
            </w:pPr>
            <w:r>
              <w:rPr>
                <w:sz w:val="20"/>
              </w:rPr>
              <w:t>EPS (diluted)</w:t>
            </w:r>
          </w:p>
        </w:tc>
        <w:tc>
          <w:tcPr>
            <w:tcW w:w="785" w:type="dxa"/>
            <w:tcBorders>
              <w:bottom w:val="single" w:sz="8" w:space="0" w:color="999999"/>
              <w:right w:val="single" w:sz="8" w:space="0" w:color="999999"/>
            </w:tcBorders>
            <w:shd w:fill="FAFAFA" w:val="clear"/>
            <w:tcMar>
              <w:top w:w="0" w:type="dxa"/>
              <w:left w:w="0" w:type="dxa"/>
            </w:tcMar>
            <w:vAlign w:val="center"/>
          </w:tcPr>
          <w:p>
            <w:pPr>
              <w:pStyle w:val="TableContents"/>
              <w:bidi w:val="0"/>
              <w:spacing w:before="0" w:after="283"/>
              <w:jc w:val="center"/>
              <w:rPr>
                <w:sz w:val="20"/>
              </w:rPr>
            </w:pPr>
            <w:r>
              <w:rPr>
                <w:sz w:val="20"/>
              </w:rPr>
              <w:t>$(0.50) </w:t>
            </w:r>
          </w:p>
        </w:tc>
        <w:tc>
          <w:tcPr>
            <w:tcW w:w="785" w:type="dxa"/>
            <w:tcBorders>
              <w:bottom w:val="single" w:sz="8" w:space="0" w:color="999999"/>
              <w:right w:val="single" w:sz="8" w:space="0" w:color="999999"/>
            </w:tcBorders>
            <w:shd w:fill="FAFAFA" w:val="clear"/>
            <w:tcMar>
              <w:top w:w="0" w:type="dxa"/>
              <w:left w:w="0" w:type="dxa"/>
            </w:tcMar>
            <w:vAlign w:val="center"/>
          </w:tcPr>
          <w:p>
            <w:pPr>
              <w:pStyle w:val="TableContents"/>
              <w:bidi w:val="0"/>
              <w:spacing w:before="0" w:after="283"/>
              <w:jc w:val="center"/>
              <w:rPr>
                <w:sz w:val="20"/>
              </w:rPr>
            </w:pPr>
            <w:r>
              <w:rPr>
                <w:sz w:val="20"/>
              </w:rPr>
              <w:t>$(0.95)</w:t>
            </w:r>
          </w:p>
        </w:tc>
        <w:tc>
          <w:tcPr>
            <w:tcW w:w="785" w:type="dxa"/>
            <w:tcBorders>
              <w:bottom w:val="single" w:sz="8" w:space="0" w:color="999999"/>
              <w:right w:val="single" w:sz="8" w:space="0" w:color="999999"/>
            </w:tcBorders>
            <w:shd w:fill="FAFAFA" w:val="clear"/>
            <w:tcMar>
              <w:top w:w="0" w:type="dxa"/>
              <w:left w:w="0" w:type="dxa"/>
            </w:tcMar>
            <w:vAlign w:val="center"/>
          </w:tcPr>
          <w:p>
            <w:pPr>
              <w:pStyle w:val="TableContents"/>
              <w:bidi w:val="0"/>
              <w:spacing w:before="0" w:after="283"/>
              <w:jc w:val="center"/>
              <w:rPr>
                <w:sz w:val="20"/>
              </w:rPr>
            </w:pPr>
            <w:r>
              <w:rPr>
                <w:sz w:val="20"/>
              </w:rPr>
              <w:t>$(2.13)</w:t>
            </w:r>
          </w:p>
        </w:tc>
        <w:tc>
          <w:tcPr>
            <w:tcW w:w="785" w:type="dxa"/>
            <w:tcBorders>
              <w:bottom w:val="single" w:sz="8" w:space="0" w:color="999999"/>
              <w:right w:val="single" w:sz="8" w:space="0" w:color="999999"/>
            </w:tcBorders>
            <w:shd w:fill="FAFAFA" w:val="clear"/>
            <w:tcMar>
              <w:top w:w="0" w:type="dxa"/>
              <w:left w:w="0" w:type="dxa"/>
            </w:tcMar>
            <w:vAlign w:val="center"/>
          </w:tcPr>
          <w:p>
            <w:pPr>
              <w:pStyle w:val="TableContents"/>
              <w:bidi w:val="0"/>
              <w:spacing w:before="0" w:after="283"/>
              <w:jc w:val="center"/>
              <w:rPr>
                <w:sz w:val="20"/>
              </w:rPr>
            </w:pPr>
            <w:r>
              <w:rPr>
                <w:sz w:val="20"/>
              </w:rPr>
              <w:t>$0.05</w:t>
            </w:r>
          </w:p>
        </w:tc>
        <w:tc>
          <w:tcPr>
            <w:tcW w:w="785" w:type="dxa"/>
            <w:tcBorders>
              <w:bottom w:val="single" w:sz="8" w:space="0" w:color="999999"/>
              <w:right w:val="single" w:sz="8" w:space="0" w:color="999999"/>
            </w:tcBorders>
            <w:shd w:fill="FAFAFA" w:val="clear"/>
            <w:tcMar>
              <w:top w:w="0" w:type="dxa"/>
              <w:left w:w="0" w:type="dxa"/>
            </w:tcMar>
            <w:vAlign w:val="center"/>
          </w:tcPr>
          <w:p>
            <w:pPr>
              <w:pStyle w:val="TableContents"/>
              <w:bidi w:val="0"/>
              <w:spacing w:before="0" w:after="283"/>
              <w:jc w:val="center"/>
              <w:rPr>
                <w:sz w:val="20"/>
              </w:rPr>
            </w:pPr>
            <w:r>
              <w:rPr>
                <w:sz w:val="20"/>
              </w:rPr>
              <w:t>$(0.43)</w:t>
            </w:r>
          </w:p>
        </w:tc>
        <w:tc>
          <w:tcPr>
            <w:tcW w:w="800" w:type="dxa"/>
            <w:tcBorders>
              <w:bottom w:val="single" w:sz="8" w:space="0" w:color="999999"/>
              <w:right w:val="single" w:sz="8" w:space="0" w:color="999999"/>
            </w:tcBorders>
            <w:shd w:fill="FAFAFA" w:val="clear"/>
            <w:tcMar>
              <w:top w:w="0" w:type="dxa"/>
              <w:left w:w="0" w:type="dxa"/>
            </w:tcMar>
            <w:vAlign w:val="center"/>
          </w:tcPr>
          <w:p>
            <w:pPr>
              <w:pStyle w:val="TableContents"/>
              <w:bidi w:val="0"/>
              <w:spacing w:before="0" w:after="283"/>
              <w:jc w:val="center"/>
              <w:rPr>
                <w:sz w:val="20"/>
              </w:rPr>
            </w:pPr>
            <w:r>
              <w:rPr>
                <w:sz w:val="20"/>
              </w:rPr>
              <w:t>$(0.81)</w:t>
            </w:r>
          </w:p>
        </w:tc>
      </w:tr>
    </w:tbl>
    <w:p>
      <w:pPr>
        <w:pStyle w:val="TextBody"/>
        <w:bidi w:val="0"/>
        <w:spacing w:before="0" w:after="0"/>
        <w:ind w:left="0" w:right="0" w:hanging="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GAAP revenues were $346.2 million, up 11.5% from the prior quarter and up 19.6% from the second quarter of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Non-GAAP revenues were $345.5 million, up 11.5% from the prior quarter and up 23.0% from the second quarter of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GAAP gross margin was 27.5%, compared to 22.0% in the prior quarter and 11.1% in the second quarter of 2025. Results include a benefit of $13.3 million related to IEEPA tariff matters.</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Non-GAAP gross margin was 28.6%, compared to 23.5% in the prior quarter and 13.1% in the second quarter of 2025. Results include a benefit of $13.3 million related to IEEPA tariff matters.</w:t>
            </w:r>
          </w:p>
        </w:tc>
      </w:tr>
    </w:tbl>
    <w:p>
      <w:pPr>
        <w:pStyle w:val="TextBody"/>
        <w:bidi w:val="0"/>
        <w:spacing w:before="0" w:after="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5"/>
        <w:gridCol w:w="110"/>
        <w:gridCol w:w="100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pPr>
            <w:r>
              <w:rPr/>
              <w:t>GAAP operating expenses were $111.2 million, compared to $123.3 million in the prior quarter and $147.6 million in the second quarter of 2025.</w:t>
            </w:r>
          </w:p>
        </w:tc>
      </w:tr>
    </w:tbl>
    <w:p>
      <w:pPr>
        <w:pStyle w:val="TextBody"/>
        <w:bidi w:val="0"/>
        <w:spacing w:before="0" w:after="0"/>
        <w:ind w:left="360" w:right="0" w:hanging="26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Non-GAAP operating expenses were $88.5 million, compared to $97.7 million in the prior quarter and $85.2 million in the second quarter of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GAAP operating loss was $16.0 million, compared to $55.0 million in the prior quarter and $115.5 million in the second quarter of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Non-GAAP operating income was $10.2 million, compared to a non-GAAP operating loss of $24.8 million in the prior quarter and a non-GAAP operating loss of $48.3 million in the second quarter of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GAAP net loss was $30.8 million, compared to $57.4 million in the prior quarter and $124.7 million in the second quarter of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Non-GAAP net income was $3.6 million, compared to a non-GAAP net loss of $26.3 million in the prior quarter and a non-GAAP net loss of $47.7 million in the second quarter of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Free cash flow was $3.1 million, compared to $20.7 million in the prior quarter and negative  $9.1 million in the second quarter of 2025.</w:t>
            </w:r>
          </w:p>
        </w:tc>
      </w:tr>
    </w:tbl>
    <w:p>
      <w:pPr>
        <w:pStyle w:val="TextBody"/>
        <w:bidi w:val="0"/>
        <w:spacing w:before="0" w:after="0"/>
        <w:jc w:val="left"/>
        <w:rPr>
          <w:caps w:val="false"/>
          <w:smallCaps w:val="false"/>
        </w:rPr>
      </w:pPr>
      <w:r>
        <w:rPr>
          <w:caps w:val="false"/>
          <w:smallCaps w:val="false"/>
        </w:rPr>
        <w:t> </w:t>
      </w:r>
    </w:p>
    <w:tbl>
      <w:tblPr>
        <w:tblW w:w="5000" w:type="pct"/>
        <w:jc w:val="left"/>
        <w:tblInd w:w="0" w:type="dxa"/>
        <w:tblLayout w:type="fixed"/>
        <w:tblCellMar>
          <w:top w:w="0" w:type="dxa"/>
          <w:left w:w="0" w:type="dxa"/>
          <w:bottom w:w="0" w:type="dxa"/>
          <w:right w:w="0" w:type="dxa"/>
        </w:tblCellMar>
      </w:tblPr>
      <w:tblGrid>
        <w:gridCol w:w="37"/>
        <w:gridCol w:w="110"/>
        <w:gridCol w:w="10058"/>
      </w:tblGrid>
      <w:tr>
        <w:trPr/>
        <w:tc>
          <w:tcPr>
            <w:tcW w:w="37" w:type="dxa"/>
            <w:tcBorders/>
            <w:vAlign w:val="center"/>
          </w:tcPr>
          <w:p>
            <w:pPr>
              <w:pStyle w:val="TableContents"/>
              <w:bidi w:val="0"/>
              <w:spacing w:before="0" w:after="283"/>
              <w:jc w:val="left"/>
              <w:rPr>
                <w:sz w:val="4"/>
                <w:szCs w:val="4"/>
              </w:rPr>
            </w:pPr>
            <w:r>
              <w:rPr>
                <w:sz w:val="4"/>
                <w:szCs w:val="4"/>
              </w:rPr>
            </w:r>
          </w:p>
        </w:tc>
        <w:tc>
          <w:tcPr>
            <w:tcW w:w="110" w:type="dxa"/>
            <w:tcBorders/>
            <w:vAlign w:val="center"/>
          </w:tcPr>
          <w:p>
            <w:pPr>
              <w:pStyle w:val="TableContents"/>
              <w:bidi w:val="0"/>
              <w:spacing w:before="0" w:after="283"/>
              <w:jc w:val="left"/>
              <w:rPr/>
            </w:pPr>
            <w:r>
              <w:rPr/>
              <w:t>•</w:t>
            </w:r>
          </w:p>
        </w:tc>
        <w:tc>
          <w:tcPr>
            <w:tcW w:w="10058" w:type="dxa"/>
            <w:tcBorders/>
            <w:vAlign w:val="center"/>
          </w:tcPr>
          <w:p>
            <w:pPr>
              <w:pStyle w:val="TableContents"/>
              <w:bidi w:val="0"/>
              <w:spacing w:before="0" w:after="283"/>
              <w:jc w:val="left"/>
              <w:rPr/>
            </w:pPr>
            <w:r>
              <w:rPr/>
              <w:t>As of June 30, 2026, our cash and investments portfolio, net of debt, grew by $20.4 million to $264.6 million, compared to $244.2 million as of December 31, 2025.</w:t>
            </w:r>
          </w:p>
        </w:tc>
      </w:tr>
    </w:tbl>
    <w:p>
      <w:pPr>
        <w:pStyle w:val="TextBody"/>
        <w:bidi w:val="0"/>
        <w:spacing w:before="0" w:after="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Outlook for the Third Quarter of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provides the following guidance for the third quarter ending September 30, 2026. This guidance does not include any significant pull-forward of revenue and excludes potential IEEPA  refunds in the third quarter.  When including the $11.5 million of IEEPA refunds we received in July, the midpoint of our guidance implies a non-GAAP operating profit in the third quarter.</w:t>
      </w:r>
    </w:p>
    <w:p>
      <w:pPr>
        <w:pStyle w:val="TextBody"/>
        <w:bidi w:val="0"/>
        <w:spacing w:before="0" w:after="0"/>
        <w:ind w:left="0" w:right="0" w:hanging="0"/>
        <w:jc w:val="left"/>
        <w:rPr>
          <w:caps w:val="false"/>
          <w:smallCaps w:val="false"/>
        </w:rPr>
      </w:pPr>
      <w:r>
        <w:rPr>
          <w:caps w:val="false"/>
          <w:smallCaps w:val="false"/>
        </w:rPr>
        <w:t> </w:t>
      </w:r>
    </w:p>
    <w:tbl>
      <w:tblPr>
        <w:tblW w:w="5035" w:type="dxa"/>
        <w:jc w:val="left"/>
        <w:tblInd w:w="-10" w:type="dxa"/>
        <w:tblLayout w:type="fixed"/>
        <w:tblCellMar>
          <w:top w:w="28" w:type="dxa"/>
          <w:left w:w="28" w:type="dxa"/>
          <w:bottom w:w="28" w:type="dxa"/>
          <w:right w:w="28" w:type="dxa"/>
        </w:tblCellMar>
      </w:tblPr>
      <w:tblGrid>
        <w:gridCol w:w="2615"/>
        <w:gridCol w:w="2420"/>
      </w:tblGrid>
      <w:tr>
        <w:trPr/>
        <w:tc>
          <w:tcPr>
            <w:tcW w:w="2615" w:type="dxa"/>
            <w:tcBorders>
              <w:top w:val="single" w:sz="8" w:space="0" w:color="999999"/>
              <w:left w:val="single" w:sz="8" w:space="0" w:color="999999"/>
              <w:bottom w:val="single" w:sz="8" w:space="0" w:color="999999"/>
              <w:right w:val="single" w:sz="8" w:space="0" w:color="999999"/>
            </w:tcBorders>
            <w:shd w:fill="E7E7E7" w:val="clear"/>
            <w:vAlign w:val="center"/>
          </w:tcPr>
          <w:p>
            <w:pPr>
              <w:pStyle w:val="TableContents"/>
              <w:bidi w:val="0"/>
              <w:spacing w:before="0" w:after="283"/>
              <w:jc w:val="left"/>
              <w:rPr>
                <w:b/>
                <w:sz w:val="20"/>
              </w:rPr>
            </w:pPr>
            <w:r>
              <w:rPr>
                <w:b/>
                <w:sz w:val="20"/>
              </w:rPr>
              <w:t>Guidance Metric</w:t>
            </w:r>
          </w:p>
        </w:tc>
        <w:tc>
          <w:tcPr>
            <w:tcW w:w="2420" w:type="dxa"/>
            <w:tcBorders>
              <w:top w:val="single" w:sz="8" w:space="0" w:color="999999"/>
              <w:bottom w:val="single" w:sz="8" w:space="0" w:color="999999"/>
              <w:right w:val="single" w:sz="8" w:space="0" w:color="999999"/>
            </w:tcBorders>
            <w:shd w:fill="E7E7E7" w:val="clear"/>
            <w:tcMar>
              <w:left w:w="0" w:type="dxa"/>
            </w:tcMar>
            <w:vAlign w:val="center"/>
          </w:tcPr>
          <w:p>
            <w:pPr>
              <w:pStyle w:val="TableContents"/>
              <w:bidi w:val="0"/>
              <w:spacing w:before="0" w:after="283"/>
              <w:jc w:val="right"/>
              <w:rPr>
                <w:b/>
                <w:sz w:val="20"/>
              </w:rPr>
            </w:pPr>
            <w:r>
              <w:rPr>
                <w:b/>
                <w:sz w:val="20"/>
              </w:rPr>
              <w:t>Q3 2026 Guidance</w:t>
            </w:r>
          </w:p>
        </w:tc>
      </w:tr>
      <w:tr>
        <w:trPr/>
        <w:tc>
          <w:tcPr>
            <w:tcW w:w="2615" w:type="dxa"/>
            <w:tcBorders>
              <w:left w:val="single" w:sz="8" w:space="0" w:color="999999"/>
              <w:bottom w:val="single" w:sz="8" w:space="0" w:color="999999"/>
              <w:right w:val="single" w:sz="8" w:space="0" w:color="999999"/>
            </w:tcBorders>
            <w:tcMar>
              <w:top w:w="0" w:type="dxa"/>
            </w:tcMar>
            <w:vAlign w:val="center"/>
          </w:tcPr>
          <w:p>
            <w:pPr>
              <w:pStyle w:val="TableContents"/>
              <w:bidi w:val="0"/>
              <w:spacing w:before="0" w:after="283"/>
              <w:jc w:val="left"/>
              <w:rPr>
                <w:sz w:val="20"/>
              </w:rPr>
            </w:pPr>
            <w:r>
              <w:rPr>
                <w:sz w:val="20"/>
              </w:rPr>
              <w:t>Revenue</w:t>
            </w:r>
          </w:p>
        </w:tc>
        <w:tc>
          <w:tcPr>
            <w:tcW w:w="2420" w:type="dxa"/>
            <w:tcBorders>
              <w:bottom w:val="single" w:sz="8" w:space="0" w:color="999999"/>
              <w:right w:val="single" w:sz="8" w:space="0" w:color="999999"/>
            </w:tcBorders>
            <w:tcMar>
              <w:top w:w="0" w:type="dxa"/>
              <w:left w:w="0" w:type="dxa"/>
            </w:tcMar>
            <w:vAlign w:val="center"/>
          </w:tcPr>
          <w:p>
            <w:pPr>
              <w:pStyle w:val="TableContents"/>
              <w:bidi w:val="0"/>
              <w:spacing w:before="0" w:after="283"/>
              <w:jc w:val="right"/>
              <w:rPr>
                <w:sz w:val="20"/>
              </w:rPr>
            </w:pPr>
            <w:r>
              <w:rPr>
                <w:sz w:val="20"/>
              </w:rPr>
              <w:t>$310 million – $340 million</w:t>
            </w:r>
          </w:p>
        </w:tc>
      </w:tr>
      <w:tr>
        <w:trPr/>
        <w:tc>
          <w:tcPr>
            <w:tcW w:w="2615" w:type="dxa"/>
            <w:tcBorders>
              <w:left w:val="single" w:sz="8" w:space="0" w:color="999999"/>
              <w:bottom w:val="single" w:sz="8" w:space="0" w:color="999999"/>
              <w:right w:val="single" w:sz="8" w:space="0" w:color="999999"/>
            </w:tcBorders>
            <w:tcMar>
              <w:top w:w="0" w:type="dxa"/>
            </w:tcMar>
            <w:vAlign w:val="center"/>
          </w:tcPr>
          <w:p>
            <w:pPr>
              <w:pStyle w:val="TableContents"/>
              <w:bidi w:val="0"/>
              <w:spacing w:before="0" w:after="283"/>
              <w:jc w:val="left"/>
              <w:rPr>
                <w:sz w:val="20"/>
              </w:rPr>
            </w:pPr>
            <w:r>
              <w:rPr>
                <w:sz w:val="20"/>
              </w:rPr>
              <w:t>Non-GAAP gross margin</w:t>
            </w:r>
          </w:p>
        </w:tc>
        <w:tc>
          <w:tcPr>
            <w:tcW w:w="2420" w:type="dxa"/>
            <w:tcBorders>
              <w:bottom w:val="single" w:sz="8" w:space="0" w:color="999999"/>
              <w:right w:val="single" w:sz="8" w:space="0" w:color="999999"/>
            </w:tcBorders>
            <w:tcMar>
              <w:top w:w="0" w:type="dxa"/>
              <w:left w:w="0" w:type="dxa"/>
            </w:tcMar>
            <w:vAlign w:val="center"/>
          </w:tcPr>
          <w:p>
            <w:pPr>
              <w:pStyle w:val="TableContents"/>
              <w:bidi w:val="0"/>
              <w:spacing w:before="0" w:after="283"/>
              <w:jc w:val="right"/>
              <w:rPr>
                <w:sz w:val="20"/>
              </w:rPr>
            </w:pPr>
            <w:r>
              <w:rPr>
                <w:sz w:val="20"/>
              </w:rPr>
              <w:t>22% – 26%</w:t>
            </w:r>
          </w:p>
        </w:tc>
      </w:tr>
      <w:tr>
        <w:trPr/>
        <w:tc>
          <w:tcPr>
            <w:tcW w:w="2615" w:type="dxa"/>
            <w:tcBorders>
              <w:left w:val="single" w:sz="8" w:space="0" w:color="999999"/>
              <w:bottom w:val="single" w:sz="8" w:space="0" w:color="999999"/>
              <w:right w:val="single" w:sz="8" w:space="0" w:color="999999"/>
            </w:tcBorders>
            <w:tcMar>
              <w:top w:w="0" w:type="dxa"/>
            </w:tcMar>
            <w:vAlign w:val="center"/>
          </w:tcPr>
          <w:p>
            <w:pPr>
              <w:pStyle w:val="TableContents"/>
              <w:bidi w:val="0"/>
              <w:spacing w:before="0" w:after="283"/>
              <w:jc w:val="left"/>
              <w:rPr>
                <w:sz w:val="20"/>
              </w:rPr>
            </w:pPr>
            <w:r>
              <w:rPr>
                <w:sz w:val="20"/>
              </w:rPr>
              <w:t>Non-GAAP operating expenses</w:t>
            </w:r>
          </w:p>
        </w:tc>
        <w:tc>
          <w:tcPr>
            <w:tcW w:w="2420" w:type="dxa"/>
            <w:tcBorders>
              <w:bottom w:val="single" w:sz="8" w:space="0" w:color="999999"/>
              <w:right w:val="single" w:sz="8" w:space="0" w:color="999999"/>
            </w:tcBorders>
            <w:tcMar>
              <w:top w:w="0" w:type="dxa"/>
              <w:left w:w="0" w:type="dxa"/>
            </w:tcMar>
            <w:vAlign w:val="center"/>
          </w:tcPr>
          <w:p>
            <w:pPr>
              <w:pStyle w:val="TableContents"/>
              <w:bidi w:val="0"/>
              <w:spacing w:before="0" w:after="283"/>
              <w:jc w:val="right"/>
              <w:rPr>
                <w:sz w:val="20"/>
              </w:rPr>
            </w:pPr>
            <w:r>
              <w:rPr>
                <w:sz w:val="20"/>
              </w:rPr>
              <w:t>$86 million – $91 million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*Non-GAAP gross margin and Non-GAAP operating expenses are non-GAAP financial measures, and these forward-looking measures have not been reconciled to the most comparable GAAP outlook because it is not possible to do so without unreasonable efforts due to the uncertainty and potential variability of reconciling items, which are dependent on future events and often outside of management’s control and which could be significant. Because such items cannot be reasonably predicted with the level of precision required, we are unable to provide outlook for the comparable GAAP measures. Forward-looking estimates of Non-GAAP gross margin and Non-GAAP operating expenses are made in a manner consistent with the relevant definitions and assumptions noted herein and in our filings with the SEC.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Conference Call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Company will host a conference call to discuss its results for the second quarter ended June 30, 2026 at 8:00 a.m. ET on Wednesday, August 5, 2026. The live call can be accessed by dialing +800-347-6865. For international callers, please dial +203-518-9757. The Conference ID is SEDG.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To avoid a delay in connecting to the call, please dial-in 10 minutes prior to the start time.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live webcast will also be available in the Investors Relations section of the Company's website at: http://investors.solaredge.com. A replay of the webcast will be available in the Investor Relations section of the Company's web site approximately two hours after the conclusion of the call and will remain available for approximately 30 calendar 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SolarEdge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SolarEdge Technologies is a global leader in renewable energy technology that applies world-class engineering and innovation to provide solar PV solutions for the residential and commercial segments. SolarEdge brings an optimized approach to generating, storing, managing and consuming energy. The company develops and produces PV inverters, Power Optimizers, energy management and optimization solutions, energy storage and grid services. SolarEdge's DC-optimized technology is installed in millions of sites in over 145 countries, and more than 60% of Fortune 100 companies have SolarEdge technology on their rooftops. SolarEdge is accelerating the transition towards distributed, sustainable energy networks which will optimize energy everywhere. SolarEdge is online at www.solaredge.com.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Use of Non-GAAP Financial Measures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To provide investors and others with additional information regarding SolarEdge’s results, SolarEdge has disclosed in this earnings release the following non-GAAP financial measures: non-GAAP revenue, non-GAAP operating income (loss), non-GAAP operating expenses, non-GAAP gross margin, non-GAAP net income (loss), non-GAAP net earnings (loss) per share, and non-GAAP net free cash flow. SolarEdge has provided a reconciliation of each non-GAAP financial measure used in this earnings release to the most directly comparable GAAP financial measure below. These non-GAAP financial measures differ from GAAP in that they exclude stock-based compensation, amortization and impairment of acquired intangible assets, restructuring and impairment charges, acquisition, disposition and other items, certain litigation and other contingencies, amortization of debt issuance cost, non-cash interest expense and non-cash revenue recognized from significant financing component, certain foreign currency exchange rates, gains and losses on investments, income and losses from equity method investments and discrete items that impacted our GAAP tax rate. Our non-GAAP financial measures also reflect the application of our non-GAAP tax rate.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SolarEdge’s management uses these non-GAAP financial measures to understand and compare operating results across accounting periods, for internal budgeting and forecasting purposes, for short- and long-term operating plans, to calculate bonus payments and to evaluate SolarEdge’s financial performance, the performance of its individual functional groups and the ability of operations to generate cash. Management believes these non-GAAP financial measures reflect SolarEdge’s ongoing business in a manner that allows for meaningful period-to-period comparisons and analysis of trends in SolarEdge’s business, as they exclude charges and gains that are not reflective of ongoing operating results. Management also believes that these non-GAAP financial measures provide useful information to investors and others in understanding and evaluating SolarEdge’s operating results and future prospects from the same perspective as management and in comparing financial results across accounting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use of non-GAAP financial measures has certain limitations because they do not reflect all items of income and expense that affect SolarEdge’s operations. These non-GAAP financial measures should be considered in addition to, not as a substitute for or in isolation from, measures prepared in accordance with GAAP and should not be considered measures of SolarEdge’s liquidity. Further, these non-GAAP measures may differ from the non-GAAP information used by other companies, including peer companies, and therefore comparability may be limited. Management encourages investors and others to review SolarEdge’s financial information in its entirety and not rely on a single financial measure.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 under the Private Securities Litigation Reform Act of 1995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Statements contained in this press release may contain forward-looking statements that are based on our management’s expectations, estimates, projections, beliefs and assumptions in accordance with information currently available to our management. This press release contains certain forward-looking statements within the meaning of Section 27A of the Securities Act of 1933, as amended, and Section 21E of the Securities Exchange Act of 1934, as amended. Forward-looking statements include information, among other things, concerning our possible or assumed future results of operations, return to positive free cash flow generation, future demands for solar energy solutions, business strategies, technology developments, new products and services, financing and investment plans; dividend policy; competitive position, industry and regulatory environment, general economic conditions; potential growth opportunities; cancellations and pushouts of existing backlog; installation rates; goodwill impairment; the effects of competition; tariff impacts and the impacts of the One Big Beautiful Bill Act. Forward-looking statements include statements that are not historical facts and can be identified by terms such as “anticipate,” “believe,” “could,” “seek,” “estimate,” “expect,” “intend,” “may,” “plan,” “potential,” “predict,” “project,” “should,” “will,” “would” or similar expressions and the negatives of those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Forward-looking statements inherently involve known and unknown risks, uncertainties and other factors that may cause our actual results, performance, or achievements to be materially different from any future results, performance or achievements expressed or implied by the forward-looking statements. Given these uncertainties, you should not place undue reliance on forward-looking statements. Also, forward-looking statements represent our management’s beliefs and assumptions only as of the date of this release. Important factors that could cause actual results to differ materially from our expectations include, but are not limited to: our ability to be profitable in the future; the rapidly evolving and competitive nature of the solar industry; changes in tax laws, tax treaties, and regulations or the interpretation of them, including the Inflation Reduction Act and the H.R.1; future demand for renewable energy including solar energy solutions; our ability to maintain a return to free cash flow positive generation; macroeconomic conditions in our domestic and international markets, as well as inflation concerns, rising interest rates and recessionary concerns; changes in the U.S. and global trade environments, including the imposition and/or increase of import tariffs or other restrictive trade measures; the retail price of electricity derived from the utility grid or alternative energy sources; our ability to forecast demand for our products accurately and to match production to such demand as well as our customers’ ability to forecast demand based on inventory levels; interest rates and supply of capital in the global financial markets in general and in the PV market specifically; competition, including introductions of power optimizer, inverter, EV chargers, batteries and PV system monitoring products by our competitors; the retail price of electricity derived from the utility grid or alternative energy sources; developments in alternative technologies or improvements in distributed solar energy generation; historic cyclicality of the solar industry and periodic downturns; product quality or performance problems in our products; changes in our geographic footprint or product and service offerings; our dependence upon a small number of outside contract manufacturers and limited or single source suppliers; delays, disruptions, and quality control problems in manufacturing; shortages, delays, price changes, or cessation of operations or production affecting our suppliers of key components; capacity constraints, delivery schedules, manufacturing yields, and costs of our contract manufacturers and availability of components; changing political, geopolitical conditions, and the conditions of the global energy market; performance of distributors and large installers in selling our products; consolidation in the solar industry among our customers and distributors; our ability to implement our new Enterprise Resource Planning ("ERP") system; our ability to successfully operate our global operations with a reduced work force; our ability to recognize expected benefits from restructuring plans; any unauthorized access to, disclosure, or theft of confidential or personal information or unauthorized access to our network or other similar cyber incidents; attempts by third parties, our employees, or our vendors might gain unauthorized access to our network or seek to compromise our products and services; emerging issues related to the development and use of artificial intelligence; loss of key executives, and our ability to retain key personnel and attract additional qualified personnel; disruption to our business operations due to the evolving conflict in Israel and other conditions in Israel that affect our operations; tax benefits that are available to us under Israeli law require us to meet various conditions and may be terminated or reduced in the future; difficulty to enforce a judgment of a U.S. court against our officers and directors, to assert U.S. securities laws claims in Israel; our dependence on ocean transportation to timely deliver our products in a cost-effective manner; fluctuations in global currency exchange rates; the impact of evolving legal and regulatory requirements, including corporate social responsibility and sustainability requirements; existing and future responses to and effects of pandemics, epidemics or other health crises; reduction, elimination or expiration of government subsidies and economic incentives for on-grid solar electricity applications; changes to net metering policies may reduce demand for electricity from PV systems; stringent and changing data privacy and security laws, rules, regulations and other obligations; federal, state, and local regulations governing the electric utility industry with respect to solar energy; business practices and regulatory compliance of our raw material suppliers; our ability to maintain our brand and to protect and defend our intellectual property; volatility of our stock price; our customers’ financial stability, creditworthiness, and debt leverage ratio; our ability to effectively design, launch, market, and sell new generations of our products and services; our ability to retain, and events affecting, our major customers; our ability to service our debt; impairment of our goodwill or other long-lived and intangible assets; our liquidity and ability to service our debt; and the other factors set forth under “Item 1A. Risk Factors” in our Annual Report on Form 10-K for the year ended December 31, 2025, filed on February 25, 2026, in subsequent Quarterly Reports on Form 10Q and in other documents we file from time to time with the SEC that disclose risks and uncertainties that may affect our business. The preceding list is not intended to be an exhaustive list of all of our forward-looking statements. You should not rely upon forward-looking statements as predictions of future events. Although we believe that the expectations reflected in the forward-looking statements are reasonable, we cannot guarantee that future results, levels of activity, performance and events and circumstances reflected in the forward-looking statements will be achieved or will occur. Statements in this press release speak only as of the date they were made. The Company undertakes no duty or obligation to update any forward-looking statements contained in this release, whether as a result of new information, future events or changes in its expectations or otherwise, except as may be required by applicable law, regulation or other competent legal authority.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SolarEdge Technologies, Inc.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Maoz Sigron, Chief Financial Officer</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investors@solaredge.com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Sapphire Investor Relations, LLC</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Erica Mannion and Michael Funari</w:t>
      </w:r>
    </w:p>
    <w:p>
      <w:pPr>
        <w:pStyle w:val="TextBody"/>
        <w:bidi w:val="0"/>
        <w:spacing w:before="0" w:after="0"/>
        <w:ind w:left="0" w:right="0" w:hanging="0"/>
        <w:jc w:val="left"/>
        <w:rPr>
          <w:rFonts w:ascii="Times New Roman;Times;Serif" w:hAnsi="Times New Roman;Times;Serif"/>
          <w:b w:val="false"/>
          <w:i w:val="false"/>
          <w:caps w:val="false"/>
          <w:smallCaps w:val="false"/>
          <w:sz w:val="20"/>
          <w:u w:val="single"/>
        </w:rPr>
      </w:pPr>
      <w:r>
        <w:rPr>
          <w:rFonts w:ascii="Times New Roman;Times;Serif" w:hAnsi="Times New Roman;Times;Serif"/>
          <w:b w:val="false"/>
          <w:i w:val="false"/>
          <w:caps w:val="false"/>
          <w:smallCaps w:val="false"/>
          <w:sz w:val="20"/>
          <w:u w:val="single"/>
        </w:rPr>
        <w:t>investors@solaredge.com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SOLAREDGE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LOSS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8531" w:type="dxa"/>
        <w:jc w:val="left"/>
        <w:tblInd w:w="0" w:type="dxa"/>
        <w:tblLayout w:type="fixed"/>
        <w:tblCellMar>
          <w:top w:w="0" w:type="dxa"/>
          <w:left w:w="0" w:type="dxa"/>
          <w:bottom w:w="0" w:type="dxa"/>
          <w:right w:w="0" w:type="dxa"/>
        </w:tblCellMar>
      </w:tblPr>
      <w:tblGrid>
        <w:gridCol w:w="3890"/>
        <w:gridCol w:w="60"/>
        <w:gridCol w:w="146"/>
        <w:gridCol w:w="837"/>
        <w:gridCol w:w="99"/>
        <w:gridCol w:w="62"/>
        <w:gridCol w:w="146"/>
        <w:gridCol w:w="916"/>
        <w:gridCol w:w="95"/>
        <w:gridCol w:w="60"/>
        <w:gridCol w:w="140"/>
        <w:gridCol w:w="800"/>
        <w:gridCol w:w="95"/>
        <w:gridCol w:w="60"/>
        <w:gridCol w:w="140"/>
        <w:gridCol w:w="875"/>
        <w:gridCol w:w="110"/>
      </w:tblGrid>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206" w:type="dxa"/>
            <w:gridSpan w:val="6"/>
            <w:tcBorders>
              <w:bottom w:val="single" w:sz="8" w:space="0" w:color="000000"/>
            </w:tcBorders>
            <w:tcMar>
              <w:bottom w:w="28" w:type="dxa"/>
            </w:tcMar>
            <w:vAlign w:val="center"/>
          </w:tcPr>
          <w:p>
            <w:pPr>
              <w:pStyle w:val="TableContents"/>
              <w:bidi w:val="0"/>
              <w:spacing w:before="0" w:after="283"/>
              <w:jc w:val="center"/>
              <w:rPr>
                <w:b/>
              </w:rPr>
            </w:pPr>
            <w:r>
              <w:rPr>
                <w:b/>
              </w:rPr>
              <w:t>Three Months Ended</w:t>
              <w:br/>
              <w:t>June 30,</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1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w:t>
              <w:br/>
              <w:t>June 30,</w:t>
            </w:r>
          </w:p>
        </w:tc>
        <w:tc>
          <w:tcPr>
            <w:tcW w:w="110" w:type="dxa"/>
            <w:tcBorders/>
            <w:vAlign w:val="center"/>
          </w:tcPr>
          <w:p>
            <w:pPr>
              <w:pStyle w:val="TableContents"/>
              <w:bidi w:val="0"/>
              <w:spacing w:before="0" w:after="283"/>
              <w:jc w:val="left"/>
              <w:rPr/>
            </w:pPr>
            <w:r>
              <w:rPr/>
              <w:t> </w:t>
            </w:r>
          </w:p>
        </w:tc>
      </w:tr>
      <w:tr>
        <w:trPr/>
        <w:tc>
          <w:tcPr>
            <w:tcW w:w="38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3"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9"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jc w:val="left"/>
              <w:rPr/>
            </w:pPr>
            <w:r>
              <w:rPr/>
              <w:t> </w:t>
            </w:r>
          </w:p>
        </w:tc>
        <w:tc>
          <w:tcPr>
            <w:tcW w:w="106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0" w:type="dxa"/>
            <w:tcBorders/>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Revenues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r>
              <w:rPr/>
              <w:t>346,245</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w:t>
            </w:r>
          </w:p>
        </w:tc>
        <w:tc>
          <w:tcPr>
            <w:tcW w:w="916" w:type="dxa"/>
            <w:tcBorders/>
            <w:shd w:fill="CCEEFF" w:val="clear"/>
            <w:vAlign w:val="center"/>
          </w:tcPr>
          <w:p>
            <w:pPr>
              <w:pStyle w:val="TableContents"/>
              <w:bidi w:val="0"/>
              <w:spacing w:before="0" w:after="283"/>
              <w:jc w:val="right"/>
              <w:rPr/>
            </w:pPr>
            <w:r>
              <w:rPr/>
              <w:t>289,429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656,746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508,909</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Cost of revenues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pPr>
            <w:r>
              <w:rPr/>
              <w:t>251,093</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257,298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493,313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459,242</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Gross profit</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CCEEFF" w:val="clear"/>
            <w:tcMar>
              <w:bottom w:w="28" w:type="dxa"/>
            </w:tcMar>
            <w:vAlign w:val="center"/>
          </w:tcPr>
          <w:p>
            <w:pPr>
              <w:pStyle w:val="TableContents"/>
              <w:bidi w:val="0"/>
              <w:spacing w:before="0" w:after="283"/>
              <w:jc w:val="right"/>
              <w:rPr/>
            </w:pPr>
            <w:r>
              <w:rPr/>
              <w:t>95,152</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32,131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163,433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49,667</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Operating expenses: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 </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Research and development, net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52,751</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53,386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102,906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115,383</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Sales and marketing</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27,265</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28,725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54,714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60,382</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General and administrative</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24,539</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19,789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60,961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49,972</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Other operating expense, net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pPr>
            <w:r>
              <w:rPr/>
              <w:t>6,643</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45,724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15,941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42,149</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u w:val="single"/>
              </w:rPr>
              <w:t>Total</w:t>
            </w:r>
            <w:r>
              <w:rPr/>
              <w:t xml:space="preserve"> operating expenses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CCEEFF" w:val="clear"/>
            <w:tcMar>
              <w:bottom w:w="28" w:type="dxa"/>
            </w:tcMar>
            <w:vAlign w:val="center"/>
          </w:tcPr>
          <w:p>
            <w:pPr>
              <w:pStyle w:val="TableContents"/>
              <w:bidi w:val="0"/>
              <w:spacing w:before="0" w:after="283"/>
              <w:jc w:val="right"/>
              <w:rPr/>
            </w:pPr>
            <w:r>
              <w:rPr/>
              <w:t>111,198</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147,624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234,522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267,886</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Operating loss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(16,046</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(115,493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(71,089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(218,219</w:t>
            </w:r>
          </w:p>
        </w:tc>
        <w:tc>
          <w:tcPr>
            <w:tcW w:w="110"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Financial income (expense), net</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(12,378</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(7,323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(13,415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2,745</w:t>
            </w:r>
          </w:p>
        </w:tc>
        <w:tc>
          <w:tcPr>
            <w:tcW w:w="110" w:type="dxa"/>
            <w:tcBorders/>
            <w:shd w:fill="CCEEFF" w:val="clear"/>
            <w:vAlign w:val="center"/>
          </w:tcPr>
          <w:p>
            <w:pPr>
              <w:pStyle w:val="TableContents"/>
              <w:bidi w:val="0"/>
              <w:spacing w:before="0" w:after="283"/>
              <w:jc w:val="left"/>
              <w:rPr/>
            </w:pPr>
            <w:r>
              <w:rPr/>
              <w:t> </w:t>
            </w:r>
          </w:p>
        </w:tc>
      </w:tr>
      <w:tr>
        <w:trPr/>
        <w:tc>
          <w:tcPr>
            <w:tcW w:w="3890" w:type="dxa"/>
            <w:tcBorders/>
            <w:shd w:fill="FFFFFF" w:val="clear"/>
            <w:vAlign w:val="center"/>
          </w:tcPr>
          <w:p>
            <w:pPr>
              <w:pStyle w:val="TableContents"/>
              <w:bidi w:val="0"/>
              <w:spacing w:before="0" w:after="283"/>
              <w:jc w:val="left"/>
              <w:rPr/>
            </w:pPr>
            <w:r>
              <w:rPr/>
              <w:t>Other income, net</w:t>
            </w:r>
          </w:p>
        </w:tc>
        <w:tc>
          <w:tcPr>
            <w:tcW w:w="60"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9"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4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FFFFFF" w:val="clear"/>
            <w:tcMar>
              <w:bottom w:w="28" w:type="dxa"/>
            </w:tcMar>
            <w:vAlign w:val="center"/>
          </w:tcPr>
          <w:p>
            <w:pPr>
              <w:pStyle w:val="TableContents"/>
              <w:bidi w:val="0"/>
              <w:spacing w:before="0" w:after="283"/>
              <w:jc w:val="right"/>
              <w:rPr/>
            </w:pPr>
            <w:r>
              <w:rPr/>
              <w:t>4,017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4,165</w:t>
            </w:r>
          </w:p>
        </w:tc>
        <w:tc>
          <w:tcPr>
            <w:tcW w:w="110" w:type="dxa"/>
            <w:tcBorders/>
            <w:shd w:fill="FFFFFF" w:val="clear"/>
            <w:vAlign w:val="center"/>
          </w:tcPr>
          <w:p>
            <w:pPr>
              <w:pStyle w:val="TableContents"/>
              <w:bidi w:val="0"/>
              <w:spacing w:before="0" w:after="283"/>
              <w:jc w:val="left"/>
              <w:rPr/>
            </w:pPr>
            <w:r>
              <w:rPr/>
              <w:t> </w:t>
            </w:r>
          </w:p>
        </w:tc>
      </w:tr>
      <w:tr>
        <w:trPr/>
        <w:tc>
          <w:tcPr>
            <w:tcW w:w="3890" w:type="dxa"/>
            <w:tcBorders/>
            <w:shd w:fill="CCEEFF" w:val="clear"/>
            <w:vAlign w:val="center"/>
          </w:tcPr>
          <w:p>
            <w:pPr>
              <w:pStyle w:val="TableContents"/>
              <w:bidi w:val="0"/>
              <w:spacing w:before="0" w:after="283"/>
              <w:jc w:val="left"/>
              <w:rPr/>
            </w:pPr>
            <w:r>
              <w:rPr/>
              <w:t>Loss before income taxes</w:t>
            </w:r>
          </w:p>
        </w:tc>
        <w:tc>
          <w:tcPr>
            <w:tcW w:w="60"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right"/>
              <w:rPr/>
            </w:pPr>
            <w:r>
              <w:rPr/>
              <w:t>(28,424</w:t>
            </w:r>
          </w:p>
        </w:tc>
        <w:tc>
          <w:tcPr>
            <w:tcW w:w="99" w:type="dxa"/>
            <w:tcBorders/>
            <w:shd w:fill="CCEEFF" w:val="clear"/>
            <w:vAlign w:val="center"/>
          </w:tcPr>
          <w:p>
            <w:pPr>
              <w:pStyle w:val="TableContents"/>
              <w:bidi w:val="0"/>
              <w:spacing w:before="0" w:after="283"/>
              <w:jc w:val="left"/>
              <w:rPr/>
            </w:pPr>
            <w:r>
              <w:rPr/>
              <w:t>)</w:t>
            </w:r>
          </w:p>
        </w:tc>
        <w:tc>
          <w:tcPr>
            <w:tcW w:w="62" w:type="dxa"/>
            <w:tcBorders/>
            <w:shd w:fill="CCEEFF" w:val="clear"/>
            <w:vAlign w:val="center"/>
          </w:tcPr>
          <w:p>
            <w:pPr>
              <w:pStyle w:val="TableContents"/>
              <w:bidi w:val="0"/>
              <w:spacing w:before="0" w:after="283"/>
              <w:jc w:val="left"/>
              <w:rPr/>
            </w:pPr>
            <w:r>
              <w:rPr/>
              <w:t> </w:t>
            </w:r>
          </w:p>
        </w:tc>
        <w:tc>
          <w:tcPr>
            <w:tcW w:w="146" w:type="dxa"/>
            <w:tcBorders/>
            <w:shd w:fill="CCEEFF" w:val="clear"/>
            <w:vAlign w:val="center"/>
          </w:tcPr>
          <w:p>
            <w:pPr>
              <w:pStyle w:val="TableContents"/>
              <w:bidi w:val="0"/>
              <w:spacing w:before="0" w:after="283"/>
              <w:jc w:val="left"/>
              <w:rPr/>
            </w:pPr>
            <w:r>
              <w:rPr/>
              <w:t> </w:t>
            </w:r>
          </w:p>
        </w:tc>
        <w:tc>
          <w:tcPr>
            <w:tcW w:w="916" w:type="dxa"/>
            <w:tcBorders/>
            <w:shd w:fill="CCEEFF" w:val="clear"/>
            <w:vAlign w:val="center"/>
          </w:tcPr>
          <w:p>
            <w:pPr>
              <w:pStyle w:val="TableContents"/>
              <w:bidi w:val="0"/>
              <w:spacing w:before="0" w:after="283"/>
              <w:jc w:val="right"/>
              <w:rPr/>
            </w:pPr>
            <w:r>
              <w:rPr/>
              <w:t>(118,799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(84,504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(211,309</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Income taxes</w:t>
            </w:r>
          </w:p>
        </w:tc>
        <w:tc>
          <w:tcPr>
            <w:tcW w:w="60"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837" w:type="dxa"/>
            <w:tcBorders/>
            <w:shd w:fill="FFFFFF" w:val="clear"/>
            <w:vAlign w:val="center"/>
          </w:tcPr>
          <w:p>
            <w:pPr>
              <w:pStyle w:val="TableContents"/>
              <w:bidi w:val="0"/>
              <w:spacing w:before="0" w:after="283"/>
              <w:jc w:val="right"/>
              <w:rPr/>
            </w:pPr>
            <w:r>
              <w:rPr/>
              <w:t>(2,329</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shd w:fill="FFFFFF" w:val="clear"/>
            <w:vAlign w:val="center"/>
          </w:tcPr>
          <w:p>
            <w:pPr>
              <w:pStyle w:val="TableContents"/>
              <w:bidi w:val="0"/>
              <w:spacing w:before="0" w:after="283"/>
              <w:jc w:val="left"/>
              <w:rPr/>
            </w:pPr>
            <w:r>
              <w:rPr/>
              <w:t> </w:t>
            </w:r>
          </w:p>
        </w:tc>
        <w:tc>
          <w:tcPr>
            <w:tcW w:w="916" w:type="dxa"/>
            <w:tcBorders/>
            <w:shd w:fill="FFFFFF" w:val="clear"/>
            <w:vAlign w:val="center"/>
          </w:tcPr>
          <w:p>
            <w:pPr>
              <w:pStyle w:val="TableContents"/>
              <w:bidi w:val="0"/>
              <w:spacing w:before="0" w:after="283"/>
              <w:jc w:val="right"/>
              <w:rPr/>
            </w:pPr>
            <w:r>
              <w:rPr/>
              <w:t>(5,657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(3,615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(11,383</w:t>
            </w:r>
          </w:p>
        </w:tc>
        <w:tc>
          <w:tcPr>
            <w:tcW w:w="110" w:type="dxa"/>
            <w:tcBorders/>
            <w:shd w:fill="FFFFFF" w:val="clear"/>
            <w:vAlign w:val="center"/>
          </w:tcPr>
          <w:p>
            <w:pPr>
              <w:pStyle w:val="TableContents"/>
              <w:bidi w:val="0"/>
              <w:spacing w:before="0" w:after="283"/>
              <w:jc w:val="left"/>
              <w:rPr/>
            </w:pPr>
            <w:r>
              <w:rPr/>
              <w:t>)</w:t>
            </w:r>
          </w:p>
        </w:tc>
      </w:tr>
      <w:tr>
        <w:trPr/>
        <w:tc>
          <w:tcPr>
            <w:tcW w:w="3890" w:type="dxa"/>
            <w:tcBorders/>
            <w:shd w:fill="CCEEFF" w:val="clear"/>
            <w:vAlign w:val="center"/>
          </w:tcPr>
          <w:p>
            <w:pPr>
              <w:pStyle w:val="TableContents"/>
              <w:bidi w:val="0"/>
              <w:spacing w:before="0" w:after="283"/>
              <w:jc w:val="left"/>
              <w:rPr/>
            </w:pPr>
            <w:r>
              <w:rPr/>
              <w:t>Net loss from equity method investments</w:t>
            </w:r>
          </w:p>
        </w:tc>
        <w:tc>
          <w:tcPr>
            <w:tcW w:w="60"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7"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9"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jc w:val="left"/>
              <w:rPr/>
            </w:pPr>
            <w:r>
              <w:rPr/>
              <w:t> </w:t>
            </w:r>
          </w:p>
        </w:tc>
        <w:tc>
          <w:tcPr>
            <w:tcW w:w="146"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6" w:type="dxa"/>
            <w:tcBorders>
              <w:bottom w:val="single" w:sz="8" w:space="0" w:color="000000"/>
            </w:tcBorders>
            <w:shd w:fill="CCEEFF" w:val="clear"/>
            <w:tcMar>
              <w:bottom w:w="28" w:type="dxa"/>
            </w:tcMar>
            <w:vAlign w:val="center"/>
          </w:tcPr>
          <w:p>
            <w:pPr>
              <w:pStyle w:val="TableContents"/>
              <w:bidi w:val="0"/>
              <w:spacing w:before="0" w:after="283"/>
              <w:jc w:val="right"/>
              <w:rPr/>
            </w:pPr>
            <w:r>
              <w:rPr/>
              <w:t>(288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(575</w:t>
            </w:r>
          </w:p>
        </w:tc>
        <w:tc>
          <w:tcPr>
            <w:tcW w:w="110" w:type="dxa"/>
            <w:tcBorders/>
            <w:shd w:fill="CCEEFF" w:val="clear"/>
            <w:vAlign w:val="center"/>
          </w:tcPr>
          <w:p>
            <w:pPr>
              <w:pStyle w:val="TableContents"/>
              <w:bidi w:val="0"/>
              <w:spacing w:before="0" w:after="283"/>
              <w:jc w:val="left"/>
              <w:rPr/>
            </w:pPr>
            <w:r>
              <w:rPr/>
              <w:t>)</w:t>
            </w:r>
          </w:p>
        </w:tc>
      </w:tr>
      <w:tr>
        <w:trPr/>
        <w:tc>
          <w:tcPr>
            <w:tcW w:w="3890"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7" w:type="dxa"/>
            <w:tcBorders>
              <w:bottom w:val="double" w:sz="6" w:space="0" w:color="000000"/>
            </w:tcBorders>
            <w:shd w:fill="FFFFFF" w:val="clear"/>
            <w:tcMar>
              <w:bottom w:w="28" w:type="dxa"/>
            </w:tcMar>
            <w:vAlign w:val="center"/>
          </w:tcPr>
          <w:p>
            <w:pPr>
              <w:pStyle w:val="TableContents"/>
              <w:bidi w:val="0"/>
              <w:spacing w:before="0" w:after="283"/>
              <w:jc w:val="right"/>
              <w:rPr/>
            </w:pPr>
            <w:r>
              <w:rPr/>
              <w:t>(30,753</w:t>
            </w:r>
          </w:p>
        </w:tc>
        <w:tc>
          <w:tcPr>
            <w:tcW w:w="99" w:type="dxa"/>
            <w:tcBorders/>
            <w:shd w:fill="FFFFFF" w:val="clear"/>
            <w:vAlign w:val="center"/>
          </w:tcPr>
          <w:p>
            <w:pPr>
              <w:pStyle w:val="TableContents"/>
              <w:bidi w:val="0"/>
              <w:spacing w:before="0" w:after="283"/>
              <w:jc w:val="left"/>
              <w:rPr/>
            </w:pPr>
            <w:r>
              <w:rPr/>
              <w:t>)</w:t>
            </w:r>
          </w:p>
        </w:tc>
        <w:tc>
          <w:tcPr>
            <w:tcW w:w="62" w:type="dxa"/>
            <w:tcBorders/>
            <w:shd w:fill="FFFFFF" w:val="clear"/>
            <w:vAlign w:val="center"/>
          </w:tcPr>
          <w:p>
            <w:pPr>
              <w:pStyle w:val="TableContents"/>
              <w:bidi w:val="0"/>
              <w:spacing w:before="0" w:after="283"/>
              <w:jc w:val="left"/>
              <w:rPr/>
            </w:pPr>
            <w:r>
              <w:rPr/>
              <w:t> </w:t>
            </w:r>
          </w:p>
        </w:tc>
        <w:tc>
          <w:tcPr>
            <w:tcW w:w="146"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6" w:type="dxa"/>
            <w:tcBorders>
              <w:bottom w:val="double" w:sz="6" w:space="0" w:color="000000"/>
            </w:tcBorders>
            <w:shd w:fill="FFFFFF" w:val="clear"/>
            <w:tcMar>
              <w:bottom w:w="28" w:type="dxa"/>
            </w:tcMar>
            <w:vAlign w:val="center"/>
          </w:tcPr>
          <w:p>
            <w:pPr>
              <w:pStyle w:val="TableContents"/>
              <w:bidi w:val="0"/>
              <w:spacing w:before="0" w:after="283"/>
              <w:jc w:val="right"/>
              <w:rPr/>
            </w:pPr>
            <w:r>
              <w:rPr/>
              <w:t>(124,744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FFFFFF" w:val="clear"/>
            <w:tcMar>
              <w:bottom w:w="28" w:type="dxa"/>
            </w:tcMar>
            <w:vAlign w:val="center"/>
          </w:tcPr>
          <w:p>
            <w:pPr>
              <w:pStyle w:val="TableContents"/>
              <w:bidi w:val="0"/>
              <w:spacing w:before="0" w:after="283"/>
              <w:jc w:val="right"/>
              <w:rPr/>
            </w:pPr>
            <w:r>
              <w:rPr/>
              <w:t>(88,119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(223,267</w:t>
            </w:r>
          </w:p>
        </w:tc>
        <w:tc>
          <w:tcPr>
            <w:tcW w:w="110" w:type="dxa"/>
            <w:tcBorders/>
            <w:shd w:fill="FFFF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SOLAREDGE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BALANCE SHEETS (Unaudited)</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 thousands, except per share data)</w:t>
      </w:r>
    </w:p>
    <w:p>
      <w:pPr>
        <w:pStyle w:val="TextBody"/>
        <w:bidi w:val="0"/>
        <w:spacing w:before="0" w:after="0"/>
        <w:ind w:left="0" w:right="0" w:hanging="0"/>
        <w:jc w:val="center"/>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392"/>
        <w:gridCol w:w="60"/>
        <w:gridCol w:w="140"/>
        <w:gridCol w:w="1055"/>
        <w:gridCol w:w="95"/>
        <w:gridCol w:w="60"/>
        <w:gridCol w:w="151"/>
        <w:gridCol w:w="1141"/>
        <w:gridCol w:w="111"/>
      </w:tblGrid>
      <w:tr>
        <w:trPr/>
        <w:tc>
          <w:tcPr>
            <w:tcW w:w="739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 xml:space="preserve">June 30, </w:t>
            </w:r>
          </w:p>
          <w:p>
            <w:pPr>
              <w:pStyle w:val="TableContents"/>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92" w:type="dxa"/>
            <w:gridSpan w:val="2"/>
            <w:tcBorders>
              <w:bottom w:val="single" w:sz="8" w:space="0" w:color="000000"/>
            </w:tcBorders>
            <w:tcMar>
              <w:bottom w:w="28" w:type="dxa"/>
            </w:tcMar>
            <w:vAlign w:val="center"/>
          </w:tcPr>
          <w:p>
            <w:pPr>
              <w:pStyle w:val="TableContents"/>
              <w:bidi w:val="0"/>
              <w:spacing w:before="0" w:after="283"/>
              <w:jc w:val="center"/>
              <w:rPr>
                <w:b/>
              </w:rPr>
            </w:pPr>
            <w:r>
              <w:rPr>
                <w:b/>
              </w:rPr>
              <w:t xml:space="preserve">December 31, </w:t>
              <w:br/>
              <w:t>2025</w:t>
            </w:r>
          </w:p>
        </w:tc>
        <w:tc>
          <w:tcPr>
            <w:tcW w:w="111" w:type="dxa"/>
            <w:tcBorders/>
            <w:vAlign w:val="center"/>
          </w:tcPr>
          <w:p>
            <w:pPr>
              <w:pStyle w:val="TableContents"/>
              <w:bidi w:val="0"/>
              <w:spacing w:before="0" w:after="283"/>
              <w:jc w:val="left"/>
              <w:rPr/>
            </w:pPr>
            <w:r>
              <w:rPr/>
              <w:t> </w:t>
            </w:r>
          </w:p>
        </w:tc>
      </w:tr>
      <w:tr>
        <w:trPr/>
        <w:tc>
          <w:tcPr>
            <w:tcW w:w="7392" w:type="dxa"/>
            <w:tcBorders/>
            <w:shd w:fill="CCEEFF" w:val="clear"/>
            <w:vAlign w:val="center"/>
          </w:tcPr>
          <w:p>
            <w:pPr>
              <w:pStyle w:val="TableContents"/>
              <w:bidi w:val="0"/>
              <w:spacing w:before="0" w:after="283"/>
              <w:jc w:val="left"/>
              <w:rPr/>
            </w:pPr>
            <w:r>
              <w:rPr/>
              <w:t>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392" w:type="dxa"/>
            <w:tcBorders/>
            <w:shd w:fill="FFFFFF" w:val="clear"/>
            <w:vAlign w:val="center"/>
          </w:tcPr>
          <w:p>
            <w:pPr>
              <w:pStyle w:val="TableContents"/>
              <w:bidi w:val="0"/>
              <w:spacing w:before="0" w:after="283"/>
              <w:jc w:val="left"/>
              <w:rPr/>
            </w:pPr>
            <w:r>
              <w:rPr/>
              <w:t>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392" w:type="dxa"/>
            <w:tcBorders/>
            <w:shd w:fill="CCEEFF" w:val="clear"/>
            <w:vAlign w:val="center"/>
          </w:tcPr>
          <w:p>
            <w:pPr>
              <w:pStyle w:val="TableContents"/>
              <w:bidi w:val="0"/>
              <w:spacing w:before="0" w:after="283"/>
              <w:jc w:val="left"/>
              <w:rPr/>
            </w:pPr>
            <w:r>
              <w:rPr/>
              <w:t>Cash and cash equivalents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527,257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w:t>
            </w:r>
          </w:p>
        </w:tc>
        <w:tc>
          <w:tcPr>
            <w:tcW w:w="1141" w:type="dxa"/>
            <w:tcBorders/>
            <w:shd w:fill="CCEEFF" w:val="clear"/>
            <w:vAlign w:val="center"/>
          </w:tcPr>
          <w:p>
            <w:pPr>
              <w:pStyle w:val="TableContents"/>
              <w:bidi w:val="0"/>
              <w:spacing w:before="0" w:after="283"/>
              <w:jc w:val="right"/>
              <w:rPr/>
            </w:pPr>
            <w:r>
              <w:rPr/>
              <w:t>455,075</w:t>
            </w:r>
          </w:p>
        </w:tc>
        <w:tc>
          <w:tcPr>
            <w:tcW w:w="111" w:type="dxa"/>
            <w:tcBorders/>
            <w:shd w:fill="CCEEFF" w:val="clear"/>
            <w:vAlign w:val="center"/>
          </w:tcPr>
          <w:p>
            <w:pPr>
              <w:pStyle w:val="TableContents"/>
              <w:bidi w:val="0"/>
              <w:spacing w:before="0" w:after="283"/>
              <w:jc w:val="left"/>
              <w:rPr/>
            </w:pPr>
            <w:r>
              <w:rPr/>
              <w:t> </w:t>
            </w:r>
          </w:p>
        </w:tc>
      </w:tr>
      <w:tr>
        <w:trPr/>
        <w:tc>
          <w:tcPr>
            <w:tcW w:w="7392" w:type="dxa"/>
            <w:tcBorders/>
            <w:shd w:fill="FFFFFF" w:val="clear"/>
            <w:vAlign w:val="center"/>
          </w:tcPr>
          <w:p>
            <w:pPr>
              <w:pStyle w:val="TableContents"/>
              <w:bidi w:val="0"/>
              <w:spacing w:before="0" w:after="283"/>
              <w:jc w:val="left"/>
              <w:rPr/>
            </w:pPr>
            <w:r>
              <w:rPr/>
              <w:t>Restricted cash</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54,660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84,771</w:t>
            </w:r>
          </w:p>
        </w:tc>
        <w:tc>
          <w:tcPr>
            <w:tcW w:w="111" w:type="dxa"/>
            <w:tcBorders/>
            <w:shd w:fill="FFFFFF" w:val="clear"/>
            <w:vAlign w:val="center"/>
          </w:tcPr>
          <w:p>
            <w:pPr>
              <w:pStyle w:val="TableContents"/>
              <w:bidi w:val="0"/>
              <w:spacing w:before="0" w:after="283"/>
              <w:jc w:val="left"/>
              <w:rPr/>
            </w:pPr>
            <w:r>
              <w:rPr/>
              <w:t> </w:t>
            </w:r>
          </w:p>
        </w:tc>
      </w:tr>
      <w:tr>
        <w:trPr/>
        <w:tc>
          <w:tcPr>
            <w:tcW w:w="7392" w:type="dxa"/>
            <w:tcBorders/>
            <w:shd w:fill="CCEEFF" w:val="clear"/>
            <w:vAlign w:val="center"/>
          </w:tcPr>
          <w:p>
            <w:pPr>
              <w:pStyle w:val="TableContents"/>
              <w:bidi w:val="0"/>
              <w:spacing w:before="0" w:after="283"/>
              <w:jc w:val="left"/>
              <w:rPr/>
            </w:pPr>
            <w:r>
              <w:rPr/>
              <w:t>Marketable securities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19,685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38,097</w:t>
            </w:r>
          </w:p>
        </w:tc>
        <w:tc>
          <w:tcPr>
            <w:tcW w:w="111" w:type="dxa"/>
            <w:tcBorders/>
            <w:shd w:fill="CCEEFF" w:val="clear"/>
            <w:vAlign w:val="center"/>
          </w:tcPr>
          <w:p>
            <w:pPr>
              <w:pStyle w:val="TableContents"/>
              <w:bidi w:val="0"/>
              <w:spacing w:before="0" w:after="283"/>
              <w:jc w:val="left"/>
              <w:rPr/>
            </w:pPr>
            <w:r>
              <w:rPr/>
              <w:t> </w:t>
            </w:r>
          </w:p>
        </w:tc>
      </w:tr>
      <w:tr>
        <w:trPr/>
        <w:tc>
          <w:tcPr>
            <w:tcW w:w="7392" w:type="dxa"/>
            <w:tcBorders/>
            <w:shd w:fill="FFFFFF" w:val="clear"/>
            <w:vAlign w:val="center"/>
          </w:tcPr>
          <w:p>
            <w:pPr>
              <w:pStyle w:val="TableContents"/>
              <w:bidi w:val="0"/>
              <w:spacing w:before="0" w:after="283"/>
              <w:jc w:val="left"/>
              <w:rPr/>
            </w:pPr>
            <w:r>
              <w:rPr/>
              <w:t>Trade receivables, net of allowances of $28,909 and $17,224, respectively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211,874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267,441</w:t>
            </w:r>
          </w:p>
        </w:tc>
        <w:tc>
          <w:tcPr>
            <w:tcW w:w="111" w:type="dxa"/>
            <w:tcBorders/>
            <w:shd w:fill="FFFFFF" w:val="clear"/>
            <w:vAlign w:val="center"/>
          </w:tcPr>
          <w:p>
            <w:pPr>
              <w:pStyle w:val="TableContents"/>
              <w:bidi w:val="0"/>
              <w:spacing w:before="0" w:after="283"/>
              <w:jc w:val="left"/>
              <w:rPr/>
            </w:pPr>
            <w:r>
              <w:rPr/>
              <w:t> </w:t>
            </w:r>
          </w:p>
        </w:tc>
      </w:tr>
      <w:tr>
        <w:trPr/>
        <w:tc>
          <w:tcPr>
            <w:tcW w:w="7392" w:type="dxa"/>
            <w:tcBorders/>
            <w:shd w:fill="CCEEFF" w:val="clear"/>
            <w:vAlign w:val="center"/>
          </w:tcPr>
          <w:p>
            <w:pPr>
              <w:pStyle w:val="TableContents"/>
              <w:bidi w:val="0"/>
              <w:spacing w:before="0" w:after="283"/>
              <w:jc w:val="left"/>
              <w:rPr/>
            </w:pPr>
            <w:r>
              <w:rPr/>
              <w:t>Inventories,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599,817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552,632</w:t>
            </w:r>
          </w:p>
        </w:tc>
        <w:tc>
          <w:tcPr>
            <w:tcW w:w="111" w:type="dxa"/>
            <w:tcBorders/>
            <w:shd w:fill="CCEEFF" w:val="clear"/>
            <w:vAlign w:val="center"/>
          </w:tcPr>
          <w:p>
            <w:pPr>
              <w:pStyle w:val="TableContents"/>
              <w:bidi w:val="0"/>
              <w:spacing w:before="0" w:after="283"/>
              <w:jc w:val="left"/>
              <w:rPr/>
            </w:pPr>
            <w:r>
              <w:rPr/>
              <w:t> </w:t>
            </w:r>
          </w:p>
        </w:tc>
      </w:tr>
      <w:tr>
        <w:trPr/>
        <w:tc>
          <w:tcPr>
            <w:tcW w:w="7392" w:type="dxa"/>
            <w:tcBorders/>
            <w:shd w:fill="FFFFFF" w:val="clear"/>
            <w:vAlign w:val="center"/>
          </w:tcPr>
          <w:p>
            <w:pPr>
              <w:pStyle w:val="TableContents"/>
              <w:bidi w:val="0"/>
              <w:spacing w:before="0" w:after="283"/>
              <w:jc w:val="left"/>
              <w:rPr/>
            </w:pPr>
            <w:r>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454,844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pPr>
            <w:r>
              <w:rPr/>
              <w:t>341,831</w:t>
            </w:r>
          </w:p>
        </w:tc>
        <w:tc>
          <w:tcPr>
            <w:tcW w:w="111" w:type="dxa"/>
            <w:tcBorders/>
            <w:shd w:fill="FFFFFF" w:val="clear"/>
            <w:vAlign w:val="center"/>
          </w:tcPr>
          <w:p>
            <w:pPr>
              <w:pStyle w:val="TableContents"/>
              <w:bidi w:val="0"/>
              <w:spacing w:before="0" w:after="283"/>
              <w:jc w:val="left"/>
              <w:rPr/>
            </w:pPr>
            <w:r>
              <w:rPr/>
              <w:t> </w:t>
            </w:r>
          </w:p>
        </w:tc>
      </w:tr>
      <w:tr>
        <w:trPr/>
        <w:tc>
          <w:tcPr>
            <w:tcW w:w="7392" w:type="dxa"/>
            <w:tcBorders/>
            <w:shd w:fill="CCEEFF" w:val="clear"/>
            <w:vAlign w:val="center"/>
          </w:tcPr>
          <w:p>
            <w:pPr>
              <w:pStyle w:val="TableContents"/>
              <w:bidi w:val="0"/>
              <w:spacing w:before="0" w:after="283"/>
              <w:jc w:val="left"/>
              <w:rPr/>
            </w:pPr>
            <w:r>
              <w:rPr>
                <w:u w:val="single"/>
              </w:rPr>
              <w:t>Total</w:t>
            </w:r>
            <w:r>
              <w:rPr/>
              <w:t xml:space="preserve"> current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1,868,137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pPr>
            <w:r>
              <w:rPr/>
              <w:t>1,739,847</w:t>
            </w:r>
          </w:p>
        </w:tc>
        <w:tc>
          <w:tcPr>
            <w:tcW w:w="111" w:type="dxa"/>
            <w:tcBorders/>
            <w:shd w:fill="CCEEFF" w:val="clear"/>
            <w:vAlign w:val="center"/>
          </w:tcPr>
          <w:p>
            <w:pPr>
              <w:pStyle w:val="TableContents"/>
              <w:bidi w:val="0"/>
              <w:spacing w:before="0" w:after="283"/>
              <w:jc w:val="left"/>
              <w:rPr/>
            </w:pPr>
            <w:r>
              <w:rPr/>
              <w:t> </w:t>
            </w:r>
          </w:p>
        </w:tc>
      </w:tr>
      <w:tr>
        <w:trPr/>
        <w:tc>
          <w:tcPr>
            <w:tcW w:w="7392" w:type="dxa"/>
            <w:tcBorders/>
            <w:shd w:fill="FFFFFF" w:val="clear"/>
            <w:vAlign w:val="center"/>
          </w:tcPr>
          <w:p>
            <w:pPr>
              <w:pStyle w:val="TableContents"/>
              <w:bidi w:val="0"/>
              <w:spacing w:before="0" w:after="283"/>
              <w:jc w:val="left"/>
              <w:rPr/>
            </w:pPr>
            <w:r>
              <w:rPr/>
              <w:t>LONG-TERM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392" w:type="dxa"/>
            <w:tcBorders/>
            <w:shd w:fill="CCEEFF" w:val="clear"/>
            <w:vAlign w:val="center"/>
          </w:tcPr>
          <w:p>
            <w:pPr>
              <w:pStyle w:val="TableContents"/>
              <w:bidi w:val="0"/>
              <w:spacing w:before="0" w:after="283"/>
              <w:jc w:val="left"/>
              <w:rPr/>
            </w:pPr>
            <w:r>
              <w:rPr/>
              <w:t>   </w:t>
            </w:r>
            <w:r>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253,942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269,351</w:t>
            </w:r>
          </w:p>
        </w:tc>
        <w:tc>
          <w:tcPr>
            <w:tcW w:w="111" w:type="dxa"/>
            <w:tcBorders/>
            <w:shd w:fill="CCEEFF" w:val="clear"/>
            <w:vAlign w:val="center"/>
          </w:tcPr>
          <w:p>
            <w:pPr>
              <w:pStyle w:val="TableContents"/>
              <w:bidi w:val="0"/>
              <w:spacing w:before="0" w:after="283"/>
              <w:jc w:val="left"/>
              <w:rPr/>
            </w:pPr>
            <w:r>
              <w:rPr/>
              <w:t> </w:t>
            </w:r>
          </w:p>
        </w:tc>
      </w:tr>
      <w:tr>
        <w:trPr/>
        <w:tc>
          <w:tcPr>
            <w:tcW w:w="7392" w:type="dxa"/>
            <w:tcBorders/>
            <w:shd w:fill="FFFFFF" w:val="clear"/>
            <w:vAlign w:val="center"/>
          </w:tcPr>
          <w:p>
            <w:pPr>
              <w:pStyle w:val="TableContents"/>
              <w:bidi w:val="0"/>
              <w:spacing w:before="0" w:after="283"/>
              <w:jc w:val="left"/>
              <w:rPr/>
            </w:pPr>
            <w:r>
              <w:rPr/>
              <w:t>   </w:t>
            </w:r>
            <w:r>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49,879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48,178</w:t>
            </w:r>
          </w:p>
        </w:tc>
        <w:tc>
          <w:tcPr>
            <w:tcW w:w="111" w:type="dxa"/>
            <w:tcBorders/>
            <w:shd w:fill="FFFFFF" w:val="clear"/>
            <w:vAlign w:val="center"/>
          </w:tcPr>
          <w:p>
            <w:pPr>
              <w:pStyle w:val="TableContents"/>
              <w:bidi w:val="0"/>
              <w:spacing w:before="0" w:after="283"/>
              <w:jc w:val="left"/>
              <w:rPr/>
            </w:pPr>
            <w:r>
              <w:rPr/>
              <w:t> </w:t>
            </w:r>
          </w:p>
        </w:tc>
      </w:tr>
      <w:tr>
        <w:trPr/>
        <w:tc>
          <w:tcPr>
            <w:tcW w:w="7392" w:type="dxa"/>
            <w:tcBorders/>
            <w:shd w:fill="CCEEFF" w:val="clear"/>
            <w:vAlign w:val="center"/>
          </w:tcPr>
          <w:p>
            <w:pPr>
              <w:pStyle w:val="TableContents"/>
              <w:bidi w:val="0"/>
              <w:spacing w:before="0" w:after="283"/>
              <w:jc w:val="left"/>
              <w:rPr/>
            </w:pPr>
            <w:r>
              <w:rPr/>
              <w:t>Intangible assets,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5,780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7,129</w:t>
            </w:r>
          </w:p>
        </w:tc>
        <w:tc>
          <w:tcPr>
            <w:tcW w:w="111" w:type="dxa"/>
            <w:tcBorders/>
            <w:shd w:fill="CCEEFF" w:val="clear"/>
            <w:vAlign w:val="center"/>
          </w:tcPr>
          <w:p>
            <w:pPr>
              <w:pStyle w:val="TableContents"/>
              <w:bidi w:val="0"/>
              <w:spacing w:before="0" w:after="283"/>
              <w:jc w:val="left"/>
              <w:rPr/>
            </w:pPr>
            <w:r>
              <w:rPr/>
              <w:t> </w:t>
            </w:r>
          </w:p>
        </w:tc>
      </w:tr>
      <w:tr>
        <w:trPr/>
        <w:tc>
          <w:tcPr>
            <w:tcW w:w="7392" w:type="dxa"/>
            <w:tcBorders/>
            <w:shd w:fill="FFFFFF" w:val="clear"/>
            <w:vAlign w:val="center"/>
          </w:tcPr>
          <w:p>
            <w:pPr>
              <w:pStyle w:val="TableContents"/>
              <w:bidi w:val="0"/>
              <w:spacing w:before="0" w:after="283"/>
              <w:jc w:val="left"/>
              <w:rPr/>
            </w:pPr>
            <w:r>
              <w:rPr/>
              <w:t>Goodwill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49,846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50,123</w:t>
            </w:r>
          </w:p>
        </w:tc>
        <w:tc>
          <w:tcPr>
            <w:tcW w:w="111" w:type="dxa"/>
            <w:tcBorders/>
            <w:shd w:fill="FFFFFF" w:val="clear"/>
            <w:vAlign w:val="center"/>
          </w:tcPr>
          <w:p>
            <w:pPr>
              <w:pStyle w:val="TableContents"/>
              <w:bidi w:val="0"/>
              <w:spacing w:before="0" w:after="283"/>
              <w:jc w:val="left"/>
              <w:rPr/>
            </w:pPr>
            <w:r>
              <w:rPr/>
              <w:t> </w:t>
            </w:r>
          </w:p>
        </w:tc>
      </w:tr>
      <w:tr>
        <w:trPr/>
        <w:tc>
          <w:tcPr>
            <w:tcW w:w="7392" w:type="dxa"/>
            <w:tcBorders/>
            <w:shd w:fill="CCEEFF" w:val="clear"/>
            <w:vAlign w:val="center"/>
          </w:tcPr>
          <w:p>
            <w:pPr>
              <w:pStyle w:val="TableContents"/>
              <w:bidi w:val="0"/>
              <w:spacing w:before="0" w:after="283"/>
              <w:jc w:val="left"/>
              <w:rPr/>
            </w:pPr>
            <w:r>
              <w:rPr/>
              <w:t>   </w:t>
            </w:r>
            <w:r>
              <w:rPr/>
              <w:t>Other long-term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75,946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pPr>
            <w:r>
              <w:rPr/>
              <w:t>67,566</w:t>
            </w:r>
          </w:p>
        </w:tc>
        <w:tc>
          <w:tcPr>
            <w:tcW w:w="111" w:type="dxa"/>
            <w:tcBorders/>
            <w:shd w:fill="CCEEFF" w:val="clear"/>
            <w:vAlign w:val="center"/>
          </w:tcPr>
          <w:p>
            <w:pPr>
              <w:pStyle w:val="TableContents"/>
              <w:bidi w:val="0"/>
              <w:spacing w:before="0" w:after="283"/>
              <w:jc w:val="left"/>
              <w:rPr/>
            </w:pPr>
            <w:r>
              <w:rPr/>
              <w:t> </w:t>
            </w:r>
          </w:p>
        </w:tc>
      </w:tr>
      <w:tr>
        <w:trPr/>
        <w:tc>
          <w:tcPr>
            <w:tcW w:w="7392" w:type="dxa"/>
            <w:tcBorders/>
            <w:shd w:fill="FFFFFF" w:val="clear"/>
            <w:vAlign w:val="center"/>
          </w:tcPr>
          <w:p>
            <w:pPr>
              <w:pStyle w:val="TableContents"/>
              <w:bidi w:val="0"/>
              <w:spacing w:before="0" w:after="283"/>
              <w:jc w:val="left"/>
              <w:rPr/>
            </w:pPr>
            <w:r>
              <w:rPr>
                <w:u w:val="single"/>
              </w:rPr>
              <w:t>Total</w:t>
            </w:r>
            <w:r>
              <w:rPr/>
              <w:t xml:space="preserve"> long-term assets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435,393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pPr>
            <w:r>
              <w:rPr/>
              <w:t>442,347</w:t>
            </w:r>
          </w:p>
        </w:tc>
        <w:tc>
          <w:tcPr>
            <w:tcW w:w="111" w:type="dxa"/>
            <w:tcBorders/>
            <w:shd w:fill="FFFFFF" w:val="clear"/>
            <w:vAlign w:val="center"/>
          </w:tcPr>
          <w:p>
            <w:pPr>
              <w:pStyle w:val="TableContents"/>
              <w:bidi w:val="0"/>
              <w:spacing w:before="0" w:after="283"/>
              <w:jc w:val="left"/>
              <w:rPr/>
            </w:pPr>
            <w:r>
              <w:rPr/>
              <w:t> </w:t>
            </w:r>
          </w:p>
        </w:tc>
      </w:tr>
      <w:tr>
        <w:trPr/>
        <w:tc>
          <w:tcPr>
            <w:tcW w:w="7392" w:type="dxa"/>
            <w:tcBorders/>
            <w:shd w:fill="CCEEFF" w:val="clear"/>
            <w:vAlign w:val="center"/>
          </w:tcPr>
          <w:p>
            <w:pPr>
              <w:pStyle w:val="TableContents"/>
              <w:bidi w:val="0"/>
              <w:spacing w:before="0" w:after="283"/>
              <w:jc w:val="left"/>
              <w:rPr/>
            </w:pPr>
            <w:r>
              <w:rPr>
                <w:u w:val="single"/>
              </w:rPr>
              <w:t>Total</w:t>
            </w:r>
            <w:r>
              <w:rPr/>
              <w:t xml:space="preserve"> assets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2,303,530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double" w:sz="6" w:space="0" w:color="000000"/>
            </w:tcBorders>
            <w:shd w:fill="CCEEFF" w:val="clear"/>
            <w:tcMar>
              <w:bottom w:w="28" w:type="dxa"/>
            </w:tcMar>
            <w:vAlign w:val="center"/>
          </w:tcPr>
          <w:p>
            <w:pPr>
              <w:pStyle w:val="TableContents"/>
              <w:bidi w:val="0"/>
              <w:spacing w:before="0" w:after="283"/>
              <w:jc w:val="right"/>
              <w:rPr/>
            </w:pPr>
            <w:r>
              <w:rPr/>
              <w:t>2,182,194</w:t>
            </w:r>
          </w:p>
        </w:tc>
        <w:tc>
          <w:tcPr>
            <w:tcW w:w="111" w:type="dxa"/>
            <w:tcBorders/>
            <w:shd w:fill="CCEEFF" w:val="clear"/>
            <w:vAlign w:val="center"/>
          </w:tcPr>
          <w:p>
            <w:pPr>
              <w:pStyle w:val="TableContents"/>
              <w:bidi w:val="0"/>
              <w:spacing w:before="0" w:after="283"/>
              <w:jc w:val="left"/>
              <w:rPr/>
            </w:pPr>
            <w:r>
              <w:rPr/>
              <w:t> </w:t>
            </w:r>
          </w:p>
        </w:tc>
      </w:tr>
      <w:tr>
        <w:trPr/>
        <w:tc>
          <w:tcPr>
            <w:tcW w:w="7392" w:type="dxa"/>
            <w:tcBorders/>
            <w:shd w:fill="FFFFFF" w:val="clear"/>
            <w:vAlign w:val="center"/>
          </w:tcPr>
          <w:p>
            <w:pPr>
              <w:pStyle w:val="TableContents"/>
              <w:bidi w:val="0"/>
              <w:spacing w:before="0" w:after="283"/>
              <w:jc w:val="left"/>
              <w:rPr/>
            </w:pPr>
            <w:r>
              <w:rPr/>
              <w:t> </w:t>
            </w:r>
            <w:r>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392" w:type="dxa"/>
            <w:tcBorders/>
            <w:shd w:fill="CCEEFF" w:val="clear"/>
            <w:vAlign w:val="center"/>
          </w:tcPr>
          <w:p>
            <w:pPr>
              <w:pStyle w:val="TableContents"/>
              <w:bidi w:val="0"/>
              <w:spacing w:before="0" w:after="283"/>
              <w:jc w:val="left"/>
              <w:rPr/>
            </w:pPr>
            <w:r>
              <w:rPr/>
              <w:t>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r>
      <w:tr>
        <w:trPr/>
        <w:tc>
          <w:tcPr>
            <w:tcW w:w="7392" w:type="dxa"/>
            <w:tcBorders/>
            <w:shd w:fill="FFFFFF" w:val="clear"/>
            <w:vAlign w:val="center"/>
          </w:tcPr>
          <w:p>
            <w:pPr>
              <w:pStyle w:val="TableContents"/>
              <w:bidi w:val="0"/>
              <w:spacing w:before="0" w:after="283"/>
              <w:jc w:val="left"/>
              <w:rPr/>
            </w:pPr>
            <w:r>
              <w:rPr/>
              <w:t>Trade payables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460,141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271,983</w:t>
            </w:r>
          </w:p>
        </w:tc>
        <w:tc>
          <w:tcPr>
            <w:tcW w:w="111" w:type="dxa"/>
            <w:tcBorders/>
            <w:shd w:fill="FFFFFF" w:val="clear"/>
            <w:vAlign w:val="center"/>
          </w:tcPr>
          <w:p>
            <w:pPr>
              <w:pStyle w:val="TableContents"/>
              <w:bidi w:val="0"/>
              <w:spacing w:before="0" w:after="283"/>
              <w:jc w:val="left"/>
              <w:rPr/>
            </w:pPr>
            <w:r>
              <w:rPr/>
              <w:t> </w:t>
            </w:r>
          </w:p>
        </w:tc>
      </w:tr>
      <w:tr>
        <w:trPr/>
        <w:tc>
          <w:tcPr>
            <w:tcW w:w="7392" w:type="dxa"/>
            <w:tcBorders/>
            <w:shd w:fill="CCEEFF" w:val="clear"/>
            <w:vAlign w:val="center"/>
          </w:tcPr>
          <w:p>
            <w:pPr>
              <w:pStyle w:val="TableContents"/>
              <w:bidi w:val="0"/>
              <w:spacing w:before="0" w:after="283"/>
              <w:jc w:val="left"/>
              <w:rPr/>
            </w:pPr>
            <w:r>
              <w:rPr/>
              <w:t>Employees and payroll accruals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66,098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73,992</w:t>
            </w:r>
          </w:p>
        </w:tc>
        <w:tc>
          <w:tcPr>
            <w:tcW w:w="111" w:type="dxa"/>
            <w:tcBorders/>
            <w:shd w:fill="CCEEFF" w:val="clear"/>
            <w:vAlign w:val="center"/>
          </w:tcPr>
          <w:p>
            <w:pPr>
              <w:pStyle w:val="TableContents"/>
              <w:bidi w:val="0"/>
              <w:spacing w:before="0" w:after="283"/>
              <w:jc w:val="left"/>
              <w:rPr/>
            </w:pPr>
            <w:r>
              <w:rPr/>
              <w:t> </w:t>
            </w:r>
          </w:p>
        </w:tc>
      </w:tr>
      <w:tr>
        <w:trPr/>
        <w:tc>
          <w:tcPr>
            <w:tcW w:w="7392" w:type="dxa"/>
            <w:tcBorders/>
            <w:shd w:fill="FFFFFF" w:val="clear"/>
            <w:vAlign w:val="center"/>
          </w:tcPr>
          <w:p>
            <w:pPr>
              <w:pStyle w:val="TableContents"/>
              <w:bidi w:val="0"/>
              <w:spacing w:before="0" w:after="283"/>
              <w:jc w:val="left"/>
              <w:rPr/>
            </w:pPr>
            <w:r>
              <w:rPr/>
              <w:t>Warranty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69,918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89,330</w:t>
            </w:r>
          </w:p>
        </w:tc>
        <w:tc>
          <w:tcPr>
            <w:tcW w:w="111" w:type="dxa"/>
            <w:tcBorders/>
            <w:shd w:fill="FFFFFF" w:val="clear"/>
            <w:vAlign w:val="center"/>
          </w:tcPr>
          <w:p>
            <w:pPr>
              <w:pStyle w:val="TableContents"/>
              <w:bidi w:val="0"/>
              <w:spacing w:before="0" w:after="283"/>
              <w:jc w:val="left"/>
              <w:rPr/>
            </w:pPr>
            <w:r>
              <w:rPr/>
              <w:t> </w:t>
            </w:r>
          </w:p>
        </w:tc>
      </w:tr>
      <w:tr>
        <w:trPr/>
        <w:tc>
          <w:tcPr>
            <w:tcW w:w="7392" w:type="dxa"/>
            <w:tcBorders/>
            <w:shd w:fill="CCEEFF" w:val="clear"/>
            <w:vAlign w:val="center"/>
          </w:tcPr>
          <w:p>
            <w:pPr>
              <w:pStyle w:val="TableContents"/>
              <w:bidi w:val="0"/>
              <w:spacing w:before="0" w:after="283"/>
              <w:jc w:val="left"/>
              <w:rPr/>
            </w:pPr>
            <w:r>
              <w:rPr/>
              <w:t>Deferred revenues and customers advances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49,326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70,371</w:t>
            </w:r>
          </w:p>
        </w:tc>
        <w:tc>
          <w:tcPr>
            <w:tcW w:w="111" w:type="dxa"/>
            <w:tcBorders/>
            <w:shd w:fill="CCEEFF" w:val="clear"/>
            <w:vAlign w:val="center"/>
          </w:tcPr>
          <w:p>
            <w:pPr>
              <w:pStyle w:val="TableContents"/>
              <w:bidi w:val="0"/>
              <w:spacing w:before="0" w:after="283"/>
              <w:jc w:val="left"/>
              <w:rPr/>
            </w:pPr>
            <w:r>
              <w:rPr/>
              <w:t> </w:t>
            </w:r>
          </w:p>
        </w:tc>
      </w:tr>
      <w:tr>
        <w:trPr/>
        <w:tc>
          <w:tcPr>
            <w:tcW w:w="7392" w:type="dxa"/>
            <w:tcBorders/>
            <w:shd w:fill="FFFFFF" w:val="clear"/>
            <w:vAlign w:val="center"/>
          </w:tcPr>
          <w:p>
            <w:pPr>
              <w:pStyle w:val="TableContents"/>
              <w:bidi w:val="0"/>
              <w:spacing w:before="0" w:after="283"/>
              <w:jc w:val="left"/>
              <w:rPr/>
            </w:pPr>
            <w:r>
              <w:rPr/>
              <w:t>Accrued expenses and other current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274,842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pPr>
            <w:r>
              <w:rPr/>
              <w:t>297,819</w:t>
            </w:r>
          </w:p>
        </w:tc>
        <w:tc>
          <w:tcPr>
            <w:tcW w:w="111" w:type="dxa"/>
            <w:tcBorders/>
            <w:shd w:fill="FFFFFF" w:val="clear"/>
            <w:vAlign w:val="center"/>
          </w:tcPr>
          <w:p>
            <w:pPr>
              <w:pStyle w:val="TableContents"/>
              <w:bidi w:val="0"/>
              <w:spacing w:before="0" w:after="283"/>
              <w:jc w:val="left"/>
              <w:rPr/>
            </w:pPr>
            <w:r>
              <w:rPr/>
              <w:t> </w:t>
            </w:r>
          </w:p>
        </w:tc>
      </w:tr>
      <w:tr>
        <w:trPr/>
        <w:tc>
          <w:tcPr>
            <w:tcW w:w="7392" w:type="dxa"/>
            <w:tcBorders/>
            <w:shd w:fill="CCEEFF" w:val="clear"/>
            <w:vAlign w:val="center"/>
          </w:tcPr>
          <w:p>
            <w:pPr>
              <w:pStyle w:val="TableContents"/>
              <w:bidi w:val="0"/>
              <w:spacing w:before="0" w:after="283"/>
              <w:jc w:val="left"/>
              <w:rPr/>
            </w:pPr>
            <w:r>
              <w:rPr>
                <w:u w:val="single"/>
              </w:rPr>
              <w:t>Total</w:t>
            </w:r>
            <w:r>
              <w:rPr/>
              <w:t xml:space="preserve"> current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920,325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pPr>
            <w:r>
              <w:rPr/>
              <w:t>803,495</w:t>
            </w:r>
          </w:p>
        </w:tc>
        <w:tc>
          <w:tcPr>
            <w:tcW w:w="111" w:type="dxa"/>
            <w:tcBorders/>
            <w:shd w:fill="CCEEFF" w:val="clear"/>
            <w:vAlign w:val="center"/>
          </w:tcPr>
          <w:p>
            <w:pPr>
              <w:pStyle w:val="TableContents"/>
              <w:bidi w:val="0"/>
              <w:spacing w:before="0" w:after="283"/>
              <w:jc w:val="left"/>
              <w:rPr/>
            </w:pPr>
            <w:r>
              <w:rPr/>
              <w:t> </w:t>
            </w:r>
          </w:p>
        </w:tc>
      </w:tr>
      <w:tr>
        <w:trPr/>
        <w:tc>
          <w:tcPr>
            <w:tcW w:w="7392" w:type="dxa"/>
            <w:tcBorders/>
            <w:shd w:fill="FFFFFF" w:val="clear"/>
            <w:vAlign w:val="center"/>
          </w:tcPr>
          <w:p>
            <w:pPr>
              <w:pStyle w:val="TableContents"/>
              <w:bidi w:val="0"/>
              <w:spacing w:before="0" w:after="283"/>
              <w:jc w:val="left"/>
              <w:rPr/>
            </w:pPr>
            <w:r>
              <w:rPr/>
              <w:t>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392" w:type="dxa"/>
            <w:tcBorders/>
            <w:shd w:fill="CCEEFF" w:val="clear"/>
            <w:vAlign w:val="center"/>
          </w:tcPr>
          <w:p>
            <w:pPr>
              <w:pStyle w:val="TableContents"/>
              <w:bidi w:val="0"/>
              <w:spacing w:before="0" w:after="283"/>
              <w:jc w:val="left"/>
              <w:rPr/>
            </w:pPr>
            <w:r>
              <w:rPr/>
              <w:t>Convertible senior notes, net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332,332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331,561</w:t>
            </w:r>
          </w:p>
        </w:tc>
        <w:tc>
          <w:tcPr>
            <w:tcW w:w="111" w:type="dxa"/>
            <w:tcBorders/>
            <w:shd w:fill="CCEEFF" w:val="clear"/>
            <w:vAlign w:val="center"/>
          </w:tcPr>
          <w:p>
            <w:pPr>
              <w:pStyle w:val="TableContents"/>
              <w:bidi w:val="0"/>
              <w:spacing w:before="0" w:after="283"/>
              <w:jc w:val="left"/>
              <w:rPr/>
            </w:pPr>
            <w:r>
              <w:rPr/>
              <w:t> </w:t>
            </w:r>
          </w:p>
        </w:tc>
      </w:tr>
      <w:tr>
        <w:trPr/>
        <w:tc>
          <w:tcPr>
            <w:tcW w:w="7392" w:type="dxa"/>
            <w:tcBorders/>
            <w:shd w:fill="FFFFFF" w:val="clear"/>
            <w:vAlign w:val="center"/>
          </w:tcPr>
          <w:p>
            <w:pPr>
              <w:pStyle w:val="TableContents"/>
              <w:bidi w:val="0"/>
              <w:spacing w:before="0" w:after="283"/>
              <w:jc w:val="left"/>
              <w:rPr/>
            </w:pPr>
            <w:r>
              <w:rPr/>
              <w:t>Warranty obligations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238,979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268,559</w:t>
            </w:r>
          </w:p>
        </w:tc>
        <w:tc>
          <w:tcPr>
            <w:tcW w:w="111" w:type="dxa"/>
            <w:tcBorders/>
            <w:shd w:fill="FFFFFF" w:val="clear"/>
            <w:vAlign w:val="center"/>
          </w:tcPr>
          <w:p>
            <w:pPr>
              <w:pStyle w:val="TableContents"/>
              <w:bidi w:val="0"/>
              <w:spacing w:before="0" w:after="283"/>
              <w:jc w:val="left"/>
              <w:rPr/>
            </w:pPr>
            <w:r>
              <w:rPr/>
              <w:t> </w:t>
            </w:r>
          </w:p>
        </w:tc>
      </w:tr>
      <w:tr>
        <w:trPr/>
        <w:tc>
          <w:tcPr>
            <w:tcW w:w="7392" w:type="dxa"/>
            <w:tcBorders/>
            <w:shd w:fill="CCEEFF" w:val="clear"/>
            <w:vAlign w:val="center"/>
          </w:tcPr>
          <w:p>
            <w:pPr>
              <w:pStyle w:val="TableContents"/>
              <w:bidi w:val="0"/>
              <w:spacing w:before="0" w:after="283"/>
              <w:jc w:val="left"/>
              <w:rPr/>
            </w:pPr>
            <w:r>
              <w:rPr/>
              <w:t>Deferred revenues and customers advances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327,684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293,328</w:t>
            </w:r>
          </w:p>
        </w:tc>
        <w:tc>
          <w:tcPr>
            <w:tcW w:w="111" w:type="dxa"/>
            <w:tcBorders/>
            <w:shd w:fill="CCEEFF" w:val="clear"/>
            <w:vAlign w:val="center"/>
          </w:tcPr>
          <w:p>
            <w:pPr>
              <w:pStyle w:val="TableContents"/>
              <w:bidi w:val="0"/>
              <w:spacing w:before="0" w:after="283"/>
              <w:jc w:val="left"/>
              <w:rPr/>
            </w:pPr>
            <w:r>
              <w:rPr/>
              <w:t> </w:t>
            </w:r>
          </w:p>
        </w:tc>
      </w:tr>
      <w:tr>
        <w:trPr/>
        <w:tc>
          <w:tcPr>
            <w:tcW w:w="7392" w:type="dxa"/>
            <w:tcBorders/>
            <w:shd w:fill="FFFFFF" w:val="clear"/>
            <w:vAlign w:val="center"/>
          </w:tcPr>
          <w:p>
            <w:pPr>
              <w:pStyle w:val="TableContents"/>
              <w:bidi w:val="0"/>
              <w:spacing w:before="0" w:after="283"/>
              <w:jc w:val="left"/>
              <w:rPr/>
            </w:pPr>
            <w:r>
              <w:rPr/>
              <w:t>Finance lease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19,171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18,558</w:t>
            </w:r>
          </w:p>
        </w:tc>
        <w:tc>
          <w:tcPr>
            <w:tcW w:w="111" w:type="dxa"/>
            <w:tcBorders/>
            <w:shd w:fill="FFFFFF" w:val="clear"/>
            <w:vAlign w:val="center"/>
          </w:tcPr>
          <w:p>
            <w:pPr>
              <w:pStyle w:val="TableContents"/>
              <w:bidi w:val="0"/>
              <w:spacing w:before="0" w:after="283"/>
              <w:jc w:val="left"/>
              <w:rPr/>
            </w:pPr>
            <w:r>
              <w:rPr/>
              <w:t> </w:t>
            </w:r>
          </w:p>
        </w:tc>
      </w:tr>
      <w:tr>
        <w:trPr/>
        <w:tc>
          <w:tcPr>
            <w:tcW w:w="7392"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42,377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36,648</w:t>
            </w:r>
          </w:p>
        </w:tc>
        <w:tc>
          <w:tcPr>
            <w:tcW w:w="111" w:type="dxa"/>
            <w:tcBorders/>
            <w:shd w:fill="CCEEFF" w:val="clear"/>
            <w:vAlign w:val="center"/>
          </w:tcPr>
          <w:p>
            <w:pPr>
              <w:pStyle w:val="TableContents"/>
              <w:bidi w:val="0"/>
              <w:spacing w:before="0" w:after="283"/>
              <w:jc w:val="left"/>
              <w:rPr/>
            </w:pPr>
            <w:r>
              <w:rPr/>
              <w:t> </w:t>
            </w:r>
          </w:p>
        </w:tc>
      </w:tr>
      <w:tr>
        <w:trPr/>
        <w:tc>
          <w:tcPr>
            <w:tcW w:w="7392" w:type="dxa"/>
            <w:tcBorders/>
            <w:shd w:fill="FFFFFF" w:val="clear"/>
            <w:vAlign w:val="center"/>
          </w:tcPr>
          <w:p>
            <w:pPr>
              <w:pStyle w:val="TableContents"/>
              <w:bidi w:val="0"/>
              <w:spacing w:before="0" w:after="283"/>
              <w:jc w:val="left"/>
              <w:rPr/>
            </w:pPr>
            <w:r>
              <w:rPr/>
              <w:t>Other long-term liabilities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10,577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pPr>
            <w:r>
              <w:rPr/>
              <w:t>2,581</w:t>
            </w:r>
          </w:p>
        </w:tc>
        <w:tc>
          <w:tcPr>
            <w:tcW w:w="111" w:type="dxa"/>
            <w:tcBorders/>
            <w:shd w:fill="FFFFFF" w:val="clear"/>
            <w:vAlign w:val="center"/>
          </w:tcPr>
          <w:p>
            <w:pPr>
              <w:pStyle w:val="TableContents"/>
              <w:bidi w:val="0"/>
              <w:spacing w:before="0" w:after="283"/>
              <w:jc w:val="left"/>
              <w:rPr/>
            </w:pPr>
            <w:r>
              <w:rPr/>
              <w:t> </w:t>
            </w:r>
          </w:p>
        </w:tc>
      </w:tr>
      <w:tr>
        <w:trPr/>
        <w:tc>
          <w:tcPr>
            <w:tcW w:w="7392" w:type="dxa"/>
            <w:tcBorders/>
            <w:shd w:fill="CCEEFF" w:val="clear"/>
            <w:vAlign w:val="center"/>
          </w:tcPr>
          <w:p>
            <w:pPr>
              <w:pStyle w:val="TableContents"/>
              <w:bidi w:val="0"/>
              <w:spacing w:before="0" w:after="283"/>
              <w:jc w:val="left"/>
              <w:rPr/>
            </w:pPr>
            <w:r>
              <w:rPr>
                <w:u w:val="single"/>
              </w:rPr>
              <w:t>Total</w:t>
            </w:r>
            <w:r>
              <w:rPr/>
              <w:t xml:space="preserve"> long-term liabilities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971,120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pPr>
            <w:r>
              <w:rPr/>
              <w:t>951,235</w:t>
            </w:r>
          </w:p>
        </w:tc>
        <w:tc>
          <w:tcPr>
            <w:tcW w:w="111" w:type="dxa"/>
            <w:tcBorders/>
            <w:shd w:fill="CCEEFF" w:val="clear"/>
            <w:vAlign w:val="center"/>
          </w:tcPr>
          <w:p>
            <w:pPr>
              <w:pStyle w:val="TableContents"/>
              <w:bidi w:val="0"/>
              <w:spacing w:before="0" w:after="283"/>
              <w:jc w:val="left"/>
              <w:rPr/>
            </w:pPr>
            <w:r>
              <w:rPr/>
              <w:t> </w:t>
            </w:r>
          </w:p>
        </w:tc>
      </w:tr>
      <w:tr>
        <w:trPr/>
        <w:tc>
          <w:tcPr>
            <w:tcW w:w="7392" w:type="dxa"/>
            <w:tcBorders/>
            <w:shd w:fill="FFFFFF" w:val="clear"/>
            <w:vAlign w:val="center"/>
          </w:tcPr>
          <w:p>
            <w:pPr>
              <w:pStyle w:val="TableContents"/>
              <w:bidi w:val="0"/>
              <w:spacing w:before="0" w:after="283"/>
              <w:jc w:val="left"/>
              <w:rPr/>
            </w:pPr>
            <w:r>
              <w:rPr/>
              <w:t>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r>
      <w:tr>
        <w:trPr/>
        <w:tc>
          <w:tcPr>
            <w:tcW w:w="7392" w:type="dxa"/>
            <w:tcBorders/>
            <w:shd w:fill="CCEEFF" w:val="clear"/>
            <w:vAlign w:val="center"/>
          </w:tcPr>
          <w:p>
            <w:pPr>
              <w:pStyle w:val="TableContents"/>
              <w:bidi w:val="0"/>
              <w:spacing w:before="0" w:after="283"/>
              <w:jc w:val="left"/>
              <w:rPr/>
            </w:pPr>
            <w:r>
              <w:rPr/>
              <w:t>Common stock of $0.0001 par value - Authorized: 125,000,000; Issued and outstanding: 61,512,619 and 60,360,154 shares as of June 30, 2026 and December 31, 2025, respectively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6</w:t>
            </w:r>
          </w:p>
        </w:tc>
        <w:tc>
          <w:tcPr>
            <w:tcW w:w="111" w:type="dxa"/>
            <w:tcBorders/>
            <w:shd w:fill="CCEEFF" w:val="clear"/>
            <w:vAlign w:val="center"/>
          </w:tcPr>
          <w:p>
            <w:pPr>
              <w:pStyle w:val="TableContents"/>
              <w:bidi w:val="0"/>
              <w:spacing w:before="0" w:after="283"/>
              <w:jc w:val="left"/>
              <w:rPr/>
            </w:pPr>
            <w:r>
              <w:rPr/>
              <w:t> </w:t>
            </w:r>
          </w:p>
        </w:tc>
      </w:tr>
      <w:tr>
        <w:trPr/>
        <w:tc>
          <w:tcPr>
            <w:tcW w:w="7392" w:type="dxa"/>
            <w:tcBorders/>
            <w:shd w:fill="FFFFFF" w:val="clear"/>
            <w:vAlign w:val="center"/>
          </w:tcPr>
          <w:p>
            <w:pPr>
              <w:pStyle w:val="TableContents"/>
              <w:bidi w:val="0"/>
              <w:spacing w:before="0" w:after="283"/>
              <w:jc w:val="left"/>
              <w:rPr/>
            </w:pPr>
            <w:r>
              <w:rPr/>
              <w:t>Additional paid-in capital</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1,925,024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shd w:fill="FFFFFF" w:val="clear"/>
            <w:vAlign w:val="center"/>
          </w:tcPr>
          <w:p>
            <w:pPr>
              <w:pStyle w:val="TableContents"/>
              <w:bidi w:val="0"/>
              <w:spacing w:before="0" w:after="283"/>
              <w:jc w:val="left"/>
              <w:rPr/>
            </w:pPr>
            <w:r>
              <w:rPr/>
              <w:t> </w:t>
            </w:r>
          </w:p>
        </w:tc>
        <w:tc>
          <w:tcPr>
            <w:tcW w:w="1141" w:type="dxa"/>
            <w:tcBorders/>
            <w:shd w:fill="FFFFFF" w:val="clear"/>
            <w:vAlign w:val="center"/>
          </w:tcPr>
          <w:p>
            <w:pPr>
              <w:pStyle w:val="TableContents"/>
              <w:bidi w:val="0"/>
              <w:spacing w:before="0" w:after="283"/>
              <w:jc w:val="right"/>
              <w:rPr/>
            </w:pPr>
            <w:r>
              <w:rPr/>
              <w:t>1,872,760</w:t>
            </w:r>
          </w:p>
        </w:tc>
        <w:tc>
          <w:tcPr>
            <w:tcW w:w="111" w:type="dxa"/>
            <w:tcBorders/>
            <w:shd w:fill="FFFFFF" w:val="clear"/>
            <w:vAlign w:val="center"/>
          </w:tcPr>
          <w:p>
            <w:pPr>
              <w:pStyle w:val="TableContents"/>
              <w:bidi w:val="0"/>
              <w:spacing w:before="0" w:after="283"/>
              <w:jc w:val="left"/>
              <w:rPr/>
            </w:pPr>
            <w:r>
              <w:rPr/>
              <w:t> </w:t>
            </w:r>
          </w:p>
        </w:tc>
      </w:tr>
      <w:tr>
        <w:trPr/>
        <w:tc>
          <w:tcPr>
            <w:tcW w:w="7392" w:type="dxa"/>
            <w:tcBorders/>
            <w:shd w:fill="CCEEFF" w:val="clear"/>
            <w:vAlign w:val="center"/>
          </w:tcPr>
          <w:p>
            <w:pPr>
              <w:pStyle w:val="TableContents"/>
              <w:bidi w:val="0"/>
              <w:spacing w:before="0" w:after="283"/>
              <w:jc w:val="left"/>
              <w:rPr/>
            </w:pPr>
            <w:r>
              <w:rPr/>
              <w:t>Accumulated other comprehensive income (loss)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8,813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shd w:fill="CCEEFF" w:val="clear"/>
            <w:vAlign w:val="center"/>
          </w:tcPr>
          <w:p>
            <w:pPr>
              <w:pStyle w:val="TableContents"/>
              <w:bidi w:val="0"/>
              <w:spacing w:before="0" w:after="283"/>
              <w:jc w:val="left"/>
              <w:rPr/>
            </w:pPr>
            <w:r>
              <w:rPr/>
              <w:t> </w:t>
            </w:r>
          </w:p>
        </w:tc>
        <w:tc>
          <w:tcPr>
            <w:tcW w:w="1141" w:type="dxa"/>
            <w:tcBorders/>
            <w:shd w:fill="CCEEFF" w:val="clear"/>
            <w:vAlign w:val="center"/>
          </w:tcPr>
          <w:p>
            <w:pPr>
              <w:pStyle w:val="TableContents"/>
              <w:bidi w:val="0"/>
              <w:spacing w:before="0" w:after="283"/>
              <w:jc w:val="right"/>
              <w:rPr/>
            </w:pPr>
            <w:r>
              <w:rPr/>
              <w:t>(11,663</w:t>
            </w:r>
          </w:p>
        </w:tc>
        <w:tc>
          <w:tcPr>
            <w:tcW w:w="111" w:type="dxa"/>
            <w:tcBorders/>
            <w:shd w:fill="CCEEFF" w:val="clear"/>
            <w:vAlign w:val="center"/>
          </w:tcPr>
          <w:p>
            <w:pPr>
              <w:pStyle w:val="TableContents"/>
              <w:bidi w:val="0"/>
              <w:spacing w:before="0" w:after="283"/>
              <w:jc w:val="left"/>
              <w:rPr/>
            </w:pPr>
            <w:r>
              <w:rPr/>
              <w:t>)</w:t>
            </w:r>
          </w:p>
        </w:tc>
      </w:tr>
      <w:tr>
        <w:trPr/>
        <w:tc>
          <w:tcPr>
            <w:tcW w:w="7392" w:type="dxa"/>
            <w:tcBorders/>
            <w:shd w:fill="FFFFFF" w:val="clear"/>
            <w:vAlign w:val="center"/>
          </w:tcPr>
          <w:p>
            <w:pPr>
              <w:pStyle w:val="TableContents"/>
              <w:bidi w:val="0"/>
              <w:spacing w:before="0" w:after="283"/>
              <w:jc w:val="left"/>
              <w:rPr/>
            </w:pPr>
            <w:r>
              <w:rPr/>
              <w:t>Accumulated deficit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(1,521,758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1"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FFFFFF" w:val="clear"/>
            <w:tcMar>
              <w:bottom w:w="28" w:type="dxa"/>
            </w:tcMar>
            <w:vAlign w:val="center"/>
          </w:tcPr>
          <w:p>
            <w:pPr>
              <w:pStyle w:val="TableContents"/>
              <w:bidi w:val="0"/>
              <w:spacing w:before="0" w:after="283"/>
              <w:jc w:val="right"/>
              <w:rPr/>
            </w:pPr>
            <w:r>
              <w:rPr/>
              <w:t>(1,433,639</w:t>
            </w:r>
          </w:p>
        </w:tc>
        <w:tc>
          <w:tcPr>
            <w:tcW w:w="111" w:type="dxa"/>
            <w:tcBorders/>
            <w:shd w:fill="FFFFFF" w:val="clear"/>
            <w:vAlign w:val="center"/>
          </w:tcPr>
          <w:p>
            <w:pPr>
              <w:pStyle w:val="TableContents"/>
              <w:bidi w:val="0"/>
              <w:spacing w:before="0" w:after="283"/>
              <w:jc w:val="left"/>
              <w:rPr/>
            </w:pPr>
            <w:r>
              <w:rPr/>
              <w:t>)</w:t>
            </w:r>
          </w:p>
        </w:tc>
      </w:tr>
      <w:tr>
        <w:trPr/>
        <w:tc>
          <w:tcPr>
            <w:tcW w:w="7392" w:type="dxa"/>
            <w:tcBorders/>
            <w:shd w:fill="CCEEFF" w:val="clear"/>
            <w:vAlign w:val="center"/>
          </w:tcPr>
          <w:p>
            <w:pPr>
              <w:pStyle w:val="TableContents"/>
              <w:bidi w:val="0"/>
              <w:spacing w:before="0" w:after="283"/>
              <w:jc w:val="left"/>
              <w:rPr/>
            </w:pPr>
            <w:r>
              <w:rPr>
                <w:u w:val="single"/>
              </w:rPr>
              <w:t>Total</w:t>
            </w:r>
            <w:r>
              <w:rPr/>
              <w:t xml:space="preserve"> stockholders’ equity</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412,085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1"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41" w:type="dxa"/>
            <w:tcBorders>
              <w:bottom w:val="single" w:sz="8" w:space="0" w:color="000000"/>
            </w:tcBorders>
            <w:shd w:fill="CCEEFF" w:val="clear"/>
            <w:tcMar>
              <w:bottom w:w="28" w:type="dxa"/>
            </w:tcMar>
            <w:vAlign w:val="center"/>
          </w:tcPr>
          <w:p>
            <w:pPr>
              <w:pStyle w:val="TableContents"/>
              <w:bidi w:val="0"/>
              <w:spacing w:before="0" w:after="283"/>
              <w:jc w:val="right"/>
              <w:rPr/>
            </w:pPr>
            <w:r>
              <w:rPr/>
              <w:t>427,464</w:t>
            </w:r>
          </w:p>
        </w:tc>
        <w:tc>
          <w:tcPr>
            <w:tcW w:w="111" w:type="dxa"/>
            <w:tcBorders/>
            <w:shd w:fill="CCEEFF" w:val="clear"/>
            <w:vAlign w:val="center"/>
          </w:tcPr>
          <w:p>
            <w:pPr>
              <w:pStyle w:val="TableContents"/>
              <w:bidi w:val="0"/>
              <w:spacing w:before="0" w:after="283"/>
              <w:jc w:val="left"/>
              <w:rPr/>
            </w:pPr>
            <w:r>
              <w:rPr/>
              <w:t> </w:t>
            </w:r>
          </w:p>
        </w:tc>
      </w:tr>
      <w:tr>
        <w:trPr/>
        <w:tc>
          <w:tcPr>
            <w:tcW w:w="7392" w:type="dxa"/>
            <w:tcBorders/>
            <w:shd w:fill="FFFFFF" w:val="clear"/>
            <w:vAlign w:val="center"/>
          </w:tcPr>
          <w:p>
            <w:pPr>
              <w:pStyle w:val="TableContents"/>
              <w:bidi w:val="0"/>
              <w:spacing w:before="0" w:after="283"/>
              <w:jc w:val="left"/>
              <w:rPr/>
            </w:pPr>
            <w:r>
              <w:rPr>
                <w:u w:val="single"/>
              </w:rPr>
              <w:t>Total</w:t>
            </w:r>
            <w:r>
              <w:rPr/>
              <w:t xml:space="preserve"> liabilities and stockholders’ equity</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2,303,530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1"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141" w:type="dxa"/>
            <w:tcBorders>
              <w:bottom w:val="double" w:sz="6" w:space="0" w:color="000000"/>
            </w:tcBorders>
            <w:shd w:fill="FFFFFF" w:val="clear"/>
            <w:tcMar>
              <w:bottom w:w="28" w:type="dxa"/>
            </w:tcMar>
            <w:vAlign w:val="center"/>
          </w:tcPr>
          <w:p>
            <w:pPr>
              <w:pStyle w:val="TableContents"/>
              <w:bidi w:val="0"/>
              <w:spacing w:before="0" w:after="283"/>
              <w:jc w:val="right"/>
              <w:rPr/>
            </w:pPr>
            <w:r>
              <w:rPr/>
              <w:t>2,182,194</w:t>
            </w:r>
          </w:p>
        </w:tc>
        <w:tc>
          <w:tcPr>
            <w:tcW w:w="111"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SOLAREDGE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CONDENSED CONSOLIDATED STATEMENTS OF CASH FLOWS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7473"/>
        <w:gridCol w:w="60"/>
        <w:gridCol w:w="164"/>
        <w:gridCol w:w="1026"/>
        <w:gridCol w:w="111"/>
        <w:gridCol w:w="69"/>
        <w:gridCol w:w="164"/>
        <w:gridCol w:w="1026"/>
        <w:gridCol w:w="112"/>
      </w:tblGrid>
      <w:tr>
        <w:trPr/>
        <w:tc>
          <w:tcPr>
            <w:tcW w:w="7473"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560" w:type="dxa"/>
            <w:gridSpan w:val="6"/>
            <w:tcBorders>
              <w:bottom w:val="single" w:sz="8" w:space="0" w:color="000000"/>
            </w:tcBorders>
            <w:tcMar>
              <w:bottom w:w="28" w:type="dxa"/>
            </w:tcMar>
            <w:vAlign w:val="center"/>
          </w:tcPr>
          <w:p>
            <w:pPr>
              <w:pStyle w:val="TableContents"/>
              <w:bidi w:val="0"/>
              <w:spacing w:before="0" w:after="283"/>
              <w:jc w:val="center"/>
              <w:rPr>
                <w:b/>
              </w:rPr>
            </w:pPr>
            <w:r>
              <w:rPr>
                <w:b/>
              </w:rPr>
              <w:t>Six Months Ended June 30</w:t>
            </w:r>
          </w:p>
        </w:tc>
        <w:tc>
          <w:tcPr>
            <w:tcW w:w="112" w:type="dxa"/>
            <w:tcBorders/>
            <w:vAlign w:val="center"/>
          </w:tcPr>
          <w:p>
            <w:pPr>
              <w:pStyle w:val="TableContents"/>
              <w:bidi w:val="0"/>
              <w:spacing w:before="0" w:after="283"/>
              <w:jc w:val="left"/>
              <w:rPr/>
            </w:pPr>
            <w:r>
              <w:rPr/>
              <w:t> </w:t>
            </w:r>
          </w:p>
        </w:tc>
      </w:tr>
      <w:tr>
        <w:trPr/>
        <w:tc>
          <w:tcPr>
            <w:tcW w:w="7473"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2026</w:t>
            </w:r>
          </w:p>
        </w:tc>
        <w:tc>
          <w:tcPr>
            <w:tcW w:w="111" w:type="dxa"/>
            <w:tcBorders/>
            <w:vAlign w:val="center"/>
          </w:tcPr>
          <w:p>
            <w:pPr>
              <w:pStyle w:val="TableContents"/>
              <w:bidi w:val="0"/>
              <w:spacing w:before="0" w:after="283"/>
              <w:jc w:val="left"/>
              <w:rPr/>
            </w:pPr>
            <w:r>
              <w:rPr/>
              <w:t> </w:t>
            </w:r>
          </w:p>
        </w:tc>
        <w:tc>
          <w:tcPr>
            <w:tcW w:w="69" w:type="dxa"/>
            <w:tcBorders/>
            <w:vAlign w:val="center"/>
          </w:tcPr>
          <w:p>
            <w:pPr>
              <w:pStyle w:val="TableContents"/>
              <w:bidi w:val="0"/>
              <w:spacing w:before="0" w:after="283"/>
              <w:jc w:val="left"/>
              <w:rPr/>
            </w:pPr>
            <w:r>
              <w:rPr/>
              <w:t> </w:t>
            </w:r>
          </w:p>
        </w:tc>
        <w:tc>
          <w:tcPr>
            <w:tcW w:w="11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2025</w:t>
            </w:r>
          </w:p>
        </w:tc>
        <w:tc>
          <w:tcPr>
            <w:tcW w:w="112" w:type="dxa"/>
            <w:tcBorders/>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u w:val="single"/>
              </w:rPr>
            </w:pPr>
            <w:r>
              <w:rPr>
                <w:u w:val="single"/>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Net loss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1026" w:type="dxa"/>
            <w:tcBorders/>
            <w:shd w:fill="FFFFFF" w:val="clear"/>
            <w:vAlign w:val="center"/>
          </w:tcPr>
          <w:p>
            <w:pPr>
              <w:pStyle w:val="TableContents"/>
              <w:bidi w:val="0"/>
              <w:spacing w:before="0" w:after="283"/>
              <w:jc w:val="right"/>
              <w:rPr/>
            </w:pPr>
            <w:r>
              <w:rPr/>
              <w:t>(88,119</w:t>
            </w:r>
          </w:p>
        </w:tc>
        <w:tc>
          <w:tcPr>
            <w:tcW w:w="111"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w:t>
            </w:r>
          </w:p>
        </w:tc>
        <w:tc>
          <w:tcPr>
            <w:tcW w:w="1026" w:type="dxa"/>
            <w:tcBorders/>
            <w:shd w:fill="FFFFFF" w:val="clear"/>
            <w:vAlign w:val="center"/>
          </w:tcPr>
          <w:p>
            <w:pPr>
              <w:pStyle w:val="TableContents"/>
              <w:bidi w:val="0"/>
              <w:spacing w:before="0" w:after="283"/>
              <w:jc w:val="right"/>
              <w:rPr/>
            </w:pPr>
            <w:r>
              <w:rPr/>
              <w:t>(223,267</w:t>
            </w:r>
          </w:p>
        </w:tc>
        <w:tc>
          <w:tcPr>
            <w:tcW w:w="112" w:type="dxa"/>
            <w:tcBorders/>
            <w:shd w:fill="FFFFFF" w:val="clear"/>
            <w:vAlign w:val="center"/>
          </w:tcPr>
          <w:p>
            <w:pPr>
              <w:pStyle w:val="TableContents"/>
              <w:bidi w:val="0"/>
              <w:spacing w:before="0" w:after="283"/>
              <w:jc w:val="left"/>
              <w:rPr/>
            </w:pPr>
            <w:r>
              <w:rPr/>
              <w:t>)</w:t>
            </w:r>
          </w:p>
        </w:tc>
      </w:tr>
      <w:tr>
        <w:trPr/>
        <w:tc>
          <w:tcPr>
            <w:tcW w:w="7473" w:type="dxa"/>
            <w:tcBorders/>
            <w:shd w:fill="CCEEFF" w:val="clear"/>
            <w:vAlign w:val="center"/>
          </w:tcPr>
          <w:p>
            <w:pPr>
              <w:pStyle w:val="TableContents"/>
              <w:bidi w:val="0"/>
              <w:spacing w:before="0" w:after="283"/>
              <w:jc w:val="left"/>
              <w:rPr/>
            </w:pPr>
            <w:r>
              <w:rPr/>
              <w:t>Adjustments to reconcile net loss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11,687</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16,227</w:t>
            </w:r>
          </w:p>
        </w:tc>
        <w:tc>
          <w:tcPr>
            <w:tcW w:w="112"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Impairment of asset held-for-sale</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38,339</w:t>
            </w:r>
          </w:p>
        </w:tc>
        <w:tc>
          <w:tcPr>
            <w:tcW w:w="112"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Stock-based compensation expenses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39,549</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50,687</w:t>
            </w:r>
          </w:p>
        </w:tc>
        <w:tc>
          <w:tcPr>
            <w:tcW w:w="112"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Loss from business disposition</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7,699</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17,875</w:t>
            </w:r>
          </w:p>
        </w:tc>
        <w:tc>
          <w:tcPr>
            <w:tcW w:w="112"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Loss (gain) from exchange rate fluctuations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(1,740</w:t>
            </w:r>
          </w:p>
        </w:tc>
        <w:tc>
          <w:tcPr>
            <w:tcW w:w="111"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1,516</w:t>
            </w:r>
          </w:p>
        </w:tc>
        <w:tc>
          <w:tcPr>
            <w:tcW w:w="112"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Other items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7,984</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(2,221</w:t>
            </w:r>
          </w:p>
        </w:tc>
        <w:tc>
          <w:tcPr>
            <w:tcW w:w="112" w:type="dxa"/>
            <w:tcBorders/>
            <w:shd w:fill="CCEEFF" w:val="clear"/>
            <w:vAlign w:val="center"/>
          </w:tcPr>
          <w:p>
            <w:pPr>
              <w:pStyle w:val="TableContents"/>
              <w:bidi w:val="0"/>
              <w:spacing w:before="0" w:after="283"/>
              <w:jc w:val="left"/>
              <w:rPr/>
            </w:pPr>
            <w:r>
              <w:rPr/>
              <w:t>)</w:t>
            </w:r>
          </w:p>
        </w:tc>
      </w:tr>
      <w:tr>
        <w:trPr/>
        <w:tc>
          <w:tcPr>
            <w:tcW w:w="7473" w:type="dxa"/>
            <w:tcBorders/>
            <w:shd w:fill="FFFFFF" w:val="clear"/>
            <w:vAlign w:val="center"/>
          </w:tcPr>
          <w:p>
            <w:pPr>
              <w:pStyle w:val="TableContents"/>
              <w:bidi w:val="0"/>
              <w:spacing w:before="0" w:after="283"/>
              <w:jc w:val="left"/>
              <w:rPr/>
            </w:pPr>
            <w:r>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Trade receivables, net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53,801</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(54,686</w:t>
            </w:r>
          </w:p>
        </w:tc>
        <w:tc>
          <w:tcPr>
            <w:tcW w:w="112" w:type="dxa"/>
            <w:tcBorders/>
            <w:shd w:fill="CCEEFF" w:val="clear"/>
            <w:vAlign w:val="center"/>
          </w:tcPr>
          <w:p>
            <w:pPr>
              <w:pStyle w:val="TableContents"/>
              <w:bidi w:val="0"/>
              <w:spacing w:before="0" w:after="283"/>
              <w:jc w:val="left"/>
              <w:rPr/>
            </w:pPr>
            <w:r>
              <w:rPr/>
              <w:t>)</w:t>
            </w:r>
          </w:p>
        </w:tc>
      </w:tr>
      <w:tr>
        <w:trPr/>
        <w:tc>
          <w:tcPr>
            <w:tcW w:w="7473" w:type="dxa"/>
            <w:tcBorders/>
            <w:shd w:fill="FFFFFF" w:val="clear"/>
            <w:vAlign w:val="center"/>
          </w:tcPr>
          <w:p>
            <w:pPr>
              <w:pStyle w:val="TableContents"/>
              <w:bidi w:val="0"/>
              <w:spacing w:before="0" w:after="283"/>
              <w:jc w:val="left"/>
              <w:rPr/>
            </w:pPr>
            <w:r>
              <w:rPr/>
              <w:t>Inventories, net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(35,223</w:t>
            </w:r>
          </w:p>
        </w:tc>
        <w:tc>
          <w:tcPr>
            <w:tcW w:w="111"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125,125</w:t>
            </w:r>
          </w:p>
        </w:tc>
        <w:tc>
          <w:tcPr>
            <w:tcW w:w="112"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(125,103</w:t>
            </w:r>
          </w:p>
        </w:tc>
        <w:tc>
          <w:tcPr>
            <w:tcW w:w="111"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61,006</w:t>
            </w:r>
          </w:p>
        </w:tc>
        <w:tc>
          <w:tcPr>
            <w:tcW w:w="112"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Operating lease right-of-use assets, net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6,600</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5,153</w:t>
            </w:r>
          </w:p>
        </w:tc>
        <w:tc>
          <w:tcPr>
            <w:tcW w:w="112"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Trade payables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188,259</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71,217</w:t>
            </w:r>
          </w:p>
        </w:tc>
        <w:tc>
          <w:tcPr>
            <w:tcW w:w="112"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Employees and payroll accruals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(7,173</w:t>
            </w:r>
          </w:p>
        </w:tc>
        <w:tc>
          <w:tcPr>
            <w:tcW w:w="111"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(2,038</w:t>
            </w:r>
          </w:p>
        </w:tc>
        <w:tc>
          <w:tcPr>
            <w:tcW w:w="112" w:type="dxa"/>
            <w:tcBorders/>
            <w:shd w:fill="FFFFFF" w:val="clear"/>
            <w:vAlign w:val="center"/>
          </w:tcPr>
          <w:p>
            <w:pPr>
              <w:pStyle w:val="TableContents"/>
              <w:bidi w:val="0"/>
              <w:spacing w:before="0" w:after="283"/>
              <w:jc w:val="left"/>
              <w:rPr/>
            </w:pPr>
            <w:r>
              <w:rPr/>
              <w:t>)</w:t>
            </w:r>
          </w:p>
        </w:tc>
      </w:tr>
      <w:tr>
        <w:trPr/>
        <w:tc>
          <w:tcPr>
            <w:tcW w:w="7473" w:type="dxa"/>
            <w:tcBorders/>
            <w:shd w:fill="CCEEFF" w:val="clear"/>
            <w:vAlign w:val="center"/>
          </w:tcPr>
          <w:p>
            <w:pPr>
              <w:pStyle w:val="TableContents"/>
              <w:bidi w:val="0"/>
              <w:spacing w:before="0" w:after="283"/>
              <w:jc w:val="left"/>
              <w:rPr/>
            </w:pPr>
            <w:r>
              <w:rPr/>
              <w:t>Warranty obligations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(48,975</w:t>
            </w:r>
          </w:p>
        </w:tc>
        <w:tc>
          <w:tcPr>
            <w:tcW w:w="111"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(34,609</w:t>
            </w:r>
          </w:p>
        </w:tc>
        <w:tc>
          <w:tcPr>
            <w:tcW w:w="112" w:type="dxa"/>
            <w:tcBorders/>
            <w:shd w:fill="CCEEFF" w:val="clear"/>
            <w:vAlign w:val="center"/>
          </w:tcPr>
          <w:p>
            <w:pPr>
              <w:pStyle w:val="TableContents"/>
              <w:bidi w:val="0"/>
              <w:spacing w:before="0" w:after="283"/>
              <w:jc w:val="left"/>
              <w:rPr/>
            </w:pPr>
            <w:r>
              <w:rPr/>
              <w:t>)</w:t>
            </w:r>
          </w:p>
        </w:tc>
      </w:tr>
      <w:tr>
        <w:trPr/>
        <w:tc>
          <w:tcPr>
            <w:tcW w:w="7473" w:type="dxa"/>
            <w:tcBorders/>
            <w:shd w:fill="FFFFFF" w:val="clear"/>
            <w:vAlign w:val="center"/>
          </w:tcPr>
          <w:p>
            <w:pPr>
              <w:pStyle w:val="TableContents"/>
              <w:bidi w:val="0"/>
              <w:spacing w:before="0" w:after="283"/>
              <w:jc w:val="left"/>
              <w:rPr/>
            </w:pPr>
            <w:r>
              <w:rPr/>
              <w:t>Deferred revenues and customers advances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13,362</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(83,779</w:t>
            </w:r>
          </w:p>
        </w:tc>
        <w:tc>
          <w:tcPr>
            <w:tcW w:w="112" w:type="dxa"/>
            <w:tcBorders/>
            <w:shd w:fill="FFFFFF" w:val="clear"/>
            <w:vAlign w:val="center"/>
          </w:tcPr>
          <w:p>
            <w:pPr>
              <w:pStyle w:val="TableContents"/>
              <w:bidi w:val="0"/>
              <w:spacing w:before="0" w:after="283"/>
              <w:jc w:val="left"/>
              <w:rPr/>
            </w:pPr>
            <w:r>
              <w:rPr/>
              <w:t>)</w:t>
            </w:r>
          </w:p>
        </w:tc>
      </w:tr>
      <w:tr>
        <w:trPr/>
        <w:tc>
          <w:tcPr>
            <w:tcW w:w="7473" w:type="dxa"/>
            <w:tcBorders/>
            <w:shd w:fill="CCEEFF" w:val="clear"/>
            <w:vAlign w:val="center"/>
          </w:tcPr>
          <w:p>
            <w:pPr>
              <w:pStyle w:val="TableContents"/>
              <w:bidi w:val="0"/>
              <w:spacing w:before="0" w:after="283"/>
              <w:jc w:val="left"/>
              <w:rPr/>
            </w:pPr>
            <w:r>
              <w:rPr/>
              <w:t>Operating lease liabilities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(7,796</w:t>
            </w:r>
          </w:p>
        </w:tc>
        <w:tc>
          <w:tcPr>
            <w:tcW w:w="111"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(6,806</w:t>
            </w:r>
          </w:p>
        </w:tc>
        <w:tc>
          <w:tcPr>
            <w:tcW w:w="112" w:type="dxa"/>
            <w:tcBorders/>
            <w:shd w:fill="CCEEFF" w:val="clear"/>
            <w:vAlign w:val="center"/>
          </w:tcPr>
          <w:p>
            <w:pPr>
              <w:pStyle w:val="TableContents"/>
              <w:bidi w:val="0"/>
              <w:spacing w:before="0" w:after="283"/>
              <w:jc w:val="left"/>
              <w:rPr/>
            </w:pPr>
            <w:r>
              <w:rPr/>
              <w:t>)</w:t>
            </w:r>
          </w:p>
        </w:tc>
      </w:tr>
      <w:tr>
        <w:trPr/>
        <w:tc>
          <w:tcPr>
            <w:tcW w:w="7473" w:type="dxa"/>
            <w:tcBorders/>
            <w:shd w:fill="FFFFFF" w:val="clear"/>
            <w:vAlign w:val="center"/>
          </w:tcPr>
          <w:p>
            <w:pPr>
              <w:pStyle w:val="TableContents"/>
              <w:bidi w:val="0"/>
              <w:spacing w:before="0" w:after="283"/>
              <w:jc w:val="left"/>
              <w:rPr/>
            </w:pPr>
            <w:r>
              <w:rPr/>
              <w:t>Accrued expenses and other liabilities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pPr>
            <w:r>
              <w:rPr/>
              <w:t>21,032</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pPr>
            <w:r>
              <w:rPr/>
              <w:t>46,285</w:t>
            </w:r>
          </w:p>
        </w:tc>
        <w:tc>
          <w:tcPr>
            <w:tcW w:w="112"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both"/>
              <w:rPr/>
            </w:pPr>
            <w:r>
              <w:rPr/>
              <w:t>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pPr>
            <w:r>
              <w:rPr/>
              <w:t>35,844</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pPr>
            <w:r>
              <w:rPr/>
              <w:t>26,024</w:t>
            </w:r>
          </w:p>
        </w:tc>
        <w:tc>
          <w:tcPr>
            <w:tcW w:w="112"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u w:val="single"/>
              </w:rPr>
            </w:pPr>
            <w:r>
              <w:rPr>
                <w:u w:val="single"/>
              </w:rPr>
              <w:t>Cash flows from investing activities: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 </w:t>
            </w:r>
          </w:p>
        </w:tc>
        <w:tc>
          <w:tcPr>
            <w:tcW w:w="112"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Investment in available-for-sale marketable securities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(172,773</w:t>
            </w:r>
          </w:p>
        </w:tc>
        <w:tc>
          <w:tcPr>
            <w:tcW w:w="112" w:type="dxa"/>
            <w:tcBorders/>
            <w:shd w:fill="CCEEFF" w:val="clear"/>
            <w:vAlign w:val="center"/>
          </w:tcPr>
          <w:p>
            <w:pPr>
              <w:pStyle w:val="TableContents"/>
              <w:bidi w:val="0"/>
              <w:spacing w:before="0" w:after="283"/>
              <w:jc w:val="left"/>
              <w:rPr/>
            </w:pPr>
            <w:r>
              <w:rPr/>
              <w:t>)</w:t>
            </w:r>
          </w:p>
        </w:tc>
      </w:tr>
      <w:tr>
        <w:trPr/>
        <w:tc>
          <w:tcPr>
            <w:tcW w:w="7473" w:type="dxa"/>
            <w:tcBorders/>
            <w:shd w:fill="FFFFFF" w:val="clear"/>
            <w:vAlign w:val="center"/>
          </w:tcPr>
          <w:p>
            <w:pPr>
              <w:pStyle w:val="TableContents"/>
              <w:bidi w:val="0"/>
              <w:spacing w:before="0" w:after="283"/>
              <w:jc w:val="left"/>
              <w:rPr/>
            </w:pPr>
            <w:r>
              <w:rPr/>
              <w:t>Proceeds from maturities of available-for-sale marketable securities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18,388</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292,679</w:t>
            </w:r>
          </w:p>
        </w:tc>
        <w:tc>
          <w:tcPr>
            <w:tcW w:w="112"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Purchase of property, plant and equipment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(11,983</w:t>
            </w:r>
          </w:p>
        </w:tc>
        <w:tc>
          <w:tcPr>
            <w:tcW w:w="111"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(11,365</w:t>
            </w:r>
          </w:p>
        </w:tc>
        <w:tc>
          <w:tcPr>
            <w:tcW w:w="112" w:type="dxa"/>
            <w:tcBorders/>
            <w:shd w:fill="CCEEFF" w:val="clear"/>
            <w:vAlign w:val="center"/>
          </w:tcPr>
          <w:p>
            <w:pPr>
              <w:pStyle w:val="TableContents"/>
              <w:bidi w:val="0"/>
              <w:spacing w:before="0" w:after="283"/>
              <w:jc w:val="left"/>
              <w:rPr/>
            </w:pPr>
            <w:r>
              <w:rPr/>
              <w:t>)</w:t>
            </w:r>
          </w:p>
        </w:tc>
      </w:tr>
      <w:tr>
        <w:trPr/>
        <w:tc>
          <w:tcPr>
            <w:tcW w:w="7473" w:type="dxa"/>
            <w:tcBorders/>
            <w:shd w:fill="FFFFFF" w:val="clear"/>
            <w:vAlign w:val="center"/>
          </w:tcPr>
          <w:p>
            <w:pPr>
              <w:pStyle w:val="TableContents"/>
              <w:bidi w:val="0"/>
              <w:spacing w:before="0" w:after="283"/>
              <w:jc w:val="left"/>
              <w:rPr/>
            </w:pPr>
            <w:r>
              <w:rPr/>
              <w:t>Business dispositions, net of cash sold</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(2,631</w:t>
            </w:r>
          </w:p>
        </w:tc>
        <w:tc>
          <w:tcPr>
            <w:tcW w:w="111"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(7,322</w:t>
            </w:r>
          </w:p>
        </w:tc>
        <w:tc>
          <w:tcPr>
            <w:tcW w:w="112" w:type="dxa"/>
            <w:tcBorders/>
            <w:shd w:fill="FFFFFF" w:val="clear"/>
            <w:vAlign w:val="center"/>
          </w:tcPr>
          <w:p>
            <w:pPr>
              <w:pStyle w:val="TableContents"/>
              <w:bidi w:val="0"/>
              <w:spacing w:before="0" w:after="283"/>
              <w:jc w:val="left"/>
              <w:rPr/>
            </w:pPr>
            <w:r>
              <w:rPr/>
              <w:t>)</w:t>
            </w:r>
          </w:p>
        </w:tc>
      </w:tr>
      <w:tr>
        <w:trPr/>
        <w:tc>
          <w:tcPr>
            <w:tcW w:w="7473" w:type="dxa"/>
            <w:tcBorders/>
            <w:shd w:fill="CCEEFF" w:val="clear"/>
            <w:vAlign w:val="center"/>
          </w:tcPr>
          <w:p>
            <w:pPr>
              <w:pStyle w:val="TableContents"/>
              <w:bidi w:val="0"/>
              <w:spacing w:before="0" w:after="283"/>
              <w:jc w:val="left"/>
              <w:rPr/>
            </w:pPr>
            <w:r>
              <w:rPr/>
              <w:t>Proceeds from sale of property, plant and equipment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603</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10,314</w:t>
            </w:r>
          </w:p>
        </w:tc>
        <w:tc>
          <w:tcPr>
            <w:tcW w:w="112"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Repayment related to governmental grant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(6,643</w:t>
            </w:r>
          </w:p>
        </w:tc>
        <w:tc>
          <w:tcPr>
            <w:tcW w:w="112" w:type="dxa"/>
            <w:tcBorders/>
            <w:shd w:fill="FFFFFF" w:val="clear"/>
            <w:vAlign w:val="center"/>
          </w:tcPr>
          <w:p>
            <w:pPr>
              <w:pStyle w:val="TableContents"/>
              <w:bidi w:val="0"/>
              <w:spacing w:before="0" w:after="283"/>
              <w:jc w:val="left"/>
              <w:rPr/>
            </w:pPr>
            <w:r>
              <w:rPr/>
              <w:t>)</w:t>
            </w:r>
          </w:p>
        </w:tc>
      </w:tr>
      <w:tr>
        <w:trPr/>
        <w:tc>
          <w:tcPr>
            <w:tcW w:w="7473" w:type="dxa"/>
            <w:tcBorders/>
            <w:shd w:fill="CCEEFF" w:val="clear"/>
            <w:vAlign w:val="center"/>
          </w:tcPr>
          <w:p>
            <w:pPr>
              <w:pStyle w:val="TableContents"/>
              <w:bidi w:val="0"/>
              <w:spacing w:before="0" w:after="283"/>
              <w:jc w:val="left"/>
              <w:rPr/>
            </w:pPr>
            <w:r>
              <w:rPr/>
              <w:t>Proceeds from sale of investment in privately-held company</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4,000</w:t>
            </w:r>
          </w:p>
        </w:tc>
        <w:tc>
          <w:tcPr>
            <w:tcW w:w="112"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Withdrawal from (investment in) restricted bank deposits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2,700</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(138</w:t>
            </w:r>
          </w:p>
        </w:tc>
        <w:tc>
          <w:tcPr>
            <w:tcW w:w="112" w:type="dxa"/>
            <w:tcBorders/>
            <w:shd w:fill="FFFFFF" w:val="clear"/>
            <w:vAlign w:val="center"/>
          </w:tcPr>
          <w:p>
            <w:pPr>
              <w:pStyle w:val="TableContents"/>
              <w:bidi w:val="0"/>
              <w:spacing w:before="0" w:after="283"/>
              <w:jc w:val="left"/>
              <w:rPr/>
            </w:pPr>
            <w:r>
              <w:rPr/>
              <w:t>)</w:t>
            </w:r>
          </w:p>
        </w:tc>
      </w:tr>
      <w:tr>
        <w:trPr/>
        <w:tc>
          <w:tcPr>
            <w:tcW w:w="7473" w:type="dxa"/>
            <w:tcBorders/>
            <w:shd w:fill="CCEEFF" w:val="clear"/>
            <w:vAlign w:val="center"/>
          </w:tcPr>
          <w:p>
            <w:pPr>
              <w:pStyle w:val="TableContents"/>
              <w:bidi w:val="0"/>
              <w:spacing w:before="0" w:after="283"/>
              <w:jc w:val="left"/>
              <w:rPr/>
            </w:pPr>
            <w:r>
              <w:rPr/>
              <w:t>Payments made before lease commencement</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(26,162</w:t>
            </w:r>
          </w:p>
        </w:tc>
        <w:tc>
          <w:tcPr>
            <w:tcW w:w="111"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Proceeds from loan receivables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56</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27,475</w:t>
            </w:r>
          </w:p>
        </w:tc>
        <w:tc>
          <w:tcPr>
            <w:tcW w:w="112"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Other investing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pPr>
            <w:r>
              <w:rPr/>
              <w:t>498</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pPr>
            <w:r>
              <w:rPr/>
              <w:t>(40</w:t>
            </w:r>
          </w:p>
        </w:tc>
        <w:tc>
          <w:tcPr>
            <w:tcW w:w="112" w:type="dxa"/>
            <w:tcBorders/>
            <w:shd w:fill="CCEEFF" w:val="clear"/>
            <w:vAlign w:val="center"/>
          </w:tcPr>
          <w:p>
            <w:pPr>
              <w:pStyle w:val="TableContents"/>
              <w:bidi w:val="0"/>
              <w:spacing w:before="0" w:after="283"/>
              <w:jc w:val="left"/>
              <w:rPr/>
            </w:pPr>
            <w:r>
              <w:rPr/>
              <w:t>)</w:t>
            </w:r>
          </w:p>
        </w:tc>
      </w:tr>
      <w:tr>
        <w:trPr/>
        <w:tc>
          <w:tcPr>
            <w:tcW w:w="7473" w:type="dxa"/>
            <w:tcBorders/>
            <w:shd w:fill="FFFFFF" w:val="clear"/>
            <w:vAlign w:val="center"/>
          </w:tcPr>
          <w:p>
            <w:pPr>
              <w:pStyle w:val="TableContents"/>
              <w:bidi w:val="0"/>
              <w:spacing w:before="0" w:after="283"/>
              <w:jc w:val="both"/>
              <w:rPr/>
            </w:pPr>
            <w:r>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pPr>
            <w:r>
              <w:rPr/>
              <w:t>(18,531</w:t>
            </w:r>
          </w:p>
        </w:tc>
        <w:tc>
          <w:tcPr>
            <w:tcW w:w="111" w:type="dxa"/>
            <w:tcBorders/>
            <w:shd w:fill="FFFFFF" w:val="clear"/>
            <w:vAlign w:val="center"/>
          </w:tcPr>
          <w:p>
            <w:pPr>
              <w:pStyle w:val="TableContents"/>
              <w:bidi w:val="0"/>
              <w:spacing w:before="0" w:after="283"/>
              <w:jc w:val="left"/>
              <w:rPr/>
            </w:pPr>
            <w:r>
              <w:rPr/>
              <w:t>)</w:t>
            </w:r>
          </w:p>
        </w:tc>
        <w:tc>
          <w:tcPr>
            <w:tcW w:w="69"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pPr>
            <w:r>
              <w:rPr/>
              <w:t>136,187</w:t>
            </w:r>
          </w:p>
        </w:tc>
        <w:tc>
          <w:tcPr>
            <w:tcW w:w="112"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u w:val="single"/>
              </w:rPr>
            </w:pPr>
            <w:r>
              <w:rPr>
                <w:u w:val="single"/>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 </w:t>
            </w:r>
          </w:p>
        </w:tc>
        <w:tc>
          <w:tcPr>
            <w:tcW w:w="112"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Repurchase of convertible debt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(5,093</w:t>
            </w:r>
          </w:p>
        </w:tc>
        <w:tc>
          <w:tcPr>
            <w:tcW w:w="112" w:type="dxa"/>
            <w:tcBorders/>
            <w:shd w:fill="FFFFFF" w:val="clear"/>
            <w:vAlign w:val="center"/>
          </w:tcPr>
          <w:p>
            <w:pPr>
              <w:pStyle w:val="TableContents"/>
              <w:bidi w:val="0"/>
              <w:spacing w:before="0" w:after="283"/>
              <w:jc w:val="left"/>
              <w:rPr/>
            </w:pPr>
            <w:r>
              <w:rPr/>
              <w:t>)</w:t>
            </w:r>
          </w:p>
        </w:tc>
      </w:tr>
      <w:tr>
        <w:trPr/>
        <w:tc>
          <w:tcPr>
            <w:tcW w:w="7473" w:type="dxa"/>
            <w:tcBorders/>
            <w:shd w:fill="CCEEFF" w:val="clear"/>
            <w:vAlign w:val="center"/>
          </w:tcPr>
          <w:p>
            <w:pPr>
              <w:pStyle w:val="TableContents"/>
              <w:bidi w:val="0"/>
              <w:spacing w:before="0" w:after="283"/>
              <w:jc w:val="left"/>
              <w:rPr/>
            </w:pPr>
            <w:r>
              <w:rPr/>
              <w:t>Issuance of common stock upon exercise of stock-based awards</w:t>
            </w:r>
          </w:p>
        </w:tc>
        <w:tc>
          <w:tcPr>
            <w:tcW w:w="60"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3,850</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4" w:type="dxa"/>
            <w:tcBorders/>
            <w:shd w:fill="CCEEFF" w:val="clear"/>
            <w:vAlign w:val="center"/>
          </w:tcPr>
          <w:p>
            <w:pPr>
              <w:pStyle w:val="TableContents"/>
              <w:bidi w:val="0"/>
              <w:spacing w:before="0" w:after="283"/>
              <w:jc w:val="left"/>
              <w:rPr/>
            </w:pPr>
            <w:r>
              <w:rPr/>
              <w:t> </w:t>
            </w:r>
          </w:p>
        </w:tc>
        <w:tc>
          <w:tcPr>
            <w:tcW w:w="1026" w:type="dxa"/>
            <w:tcBorders/>
            <w:shd w:fill="CCEEFF" w:val="clear"/>
            <w:vAlign w:val="center"/>
          </w:tcPr>
          <w:p>
            <w:pPr>
              <w:pStyle w:val="TableContents"/>
              <w:bidi w:val="0"/>
              <w:spacing w:before="0" w:after="283"/>
              <w:jc w:val="right"/>
              <w:rPr/>
            </w:pPr>
            <w:r>
              <w:rPr/>
              <w:t>10</w:t>
            </w:r>
          </w:p>
        </w:tc>
        <w:tc>
          <w:tcPr>
            <w:tcW w:w="112"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Tax withholding in connection with stock-based awards, net</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7,668</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323</w:t>
            </w:r>
          </w:p>
        </w:tc>
        <w:tc>
          <w:tcPr>
            <w:tcW w:w="112"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Other financing activities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pPr>
            <w:r>
              <w:rPr/>
              <w:t>(737</w:t>
            </w:r>
          </w:p>
        </w:tc>
        <w:tc>
          <w:tcPr>
            <w:tcW w:w="111" w:type="dxa"/>
            <w:tcBorders/>
            <w:shd w:fill="CCEEFF" w:val="clear"/>
            <w:vAlign w:val="center"/>
          </w:tcPr>
          <w:p>
            <w:pPr>
              <w:pStyle w:val="TableContents"/>
              <w:bidi w:val="0"/>
              <w:spacing w:before="0" w:after="283"/>
              <w:jc w:val="left"/>
              <w:rPr/>
            </w:pPr>
            <w:r>
              <w:rPr/>
              <w:t>)</w:t>
            </w:r>
          </w:p>
        </w:tc>
        <w:tc>
          <w:tcPr>
            <w:tcW w:w="69"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pPr>
            <w:r>
              <w:rPr/>
              <w:t>(1,850</w:t>
            </w:r>
          </w:p>
        </w:tc>
        <w:tc>
          <w:tcPr>
            <w:tcW w:w="112" w:type="dxa"/>
            <w:tcBorders/>
            <w:shd w:fill="CCEEFF" w:val="clear"/>
            <w:vAlign w:val="center"/>
          </w:tcPr>
          <w:p>
            <w:pPr>
              <w:pStyle w:val="TableContents"/>
              <w:bidi w:val="0"/>
              <w:spacing w:before="0" w:after="283"/>
              <w:jc w:val="left"/>
              <w:rPr/>
            </w:pPr>
            <w:r>
              <w:rPr/>
              <w:t>)</w:t>
            </w:r>
          </w:p>
        </w:tc>
      </w:tr>
      <w:tr>
        <w:trPr/>
        <w:tc>
          <w:tcPr>
            <w:tcW w:w="7473" w:type="dxa"/>
            <w:tcBorders/>
            <w:shd w:fill="FFFFFF" w:val="clear"/>
            <w:vAlign w:val="center"/>
          </w:tcPr>
          <w:p>
            <w:pPr>
              <w:pStyle w:val="TableContents"/>
              <w:bidi w:val="0"/>
              <w:spacing w:before="0" w:after="283"/>
              <w:jc w:val="both"/>
              <w:rPr/>
            </w:pPr>
            <w:r>
              <w:rPr/>
              <w:t>Net cash provided by (used in) financing activities</w:t>
            </w:r>
          </w:p>
        </w:tc>
        <w:tc>
          <w:tcPr>
            <w:tcW w:w="60"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pPr>
            <w:r>
              <w:rPr/>
              <w:t>10,781</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FFFFFF" w:val="clear"/>
            <w:tcMar>
              <w:bottom w:w="28" w:type="dxa"/>
            </w:tcMar>
            <w:vAlign w:val="center"/>
          </w:tcPr>
          <w:p>
            <w:pPr>
              <w:pStyle w:val="TableContents"/>
              <w:bidi w:val="0"/>
              <w:spacing w:before="0" w:after="283"/>
              <w:jc w:val="right"/>
              <w:rPr/>
            </w:pPr>
            <w:r>
              <w:rPr/>
              <w:t>(6,610</w:t>
            </w:r>
          </w:p>
        </w:tc>
        <w:tc>
          <w:tcPr>
            <w:tcW w:w="112" w:type="dxa"/>
            <w:tcBorders/>
            <w:shd w:fill="FFFFFF" w:val="clear"/>
            <w:vAlign w:val="center"/>
          </w:tcPr>
          <w:p>
            <w:pPr>
              <w:pStyle w:val="TableContents"/>
              <w:bidi w:val="0"/>
              <w:spacing w:before="0" w:after="283"/>
              <w:jc w:val="left"/>
              <w:rPr/>
            </w:pPr>
            <w:r>
              <w:rPr/>
              <w:t>)</w:t>
            </w:r>
          </w:p>
        </w:tc>
      </w:tr>
      <w:tr>
        <w:trPr/>
        <w:tc>
          <w:tcPr>
            <w:tcW w:w="7473" w:type="dxa"/>
            <w:tcBorders/>
            <w:shd w:fill="CCEEFF" w:val="clear"/>
            <w:vAlign w:val="center"/>
          </w:tcPr>
          <w:p>
            <w:pPr>
              <w:pStyle w:val="TableContents"/>
              <w:bidi w:val="0"/>
              <w:spacing w:before="0" w:after="283"/>
              <w:jc w:val="left"/>
              <w:rPr/>
            </w:pPr>
            <w:r>
              <w:rPr/>
              <w:t>Effect of exchange rate changes on cash, cash equivalents and restricted cash</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pPr>
            <w:r>
              <w:rPr/>
              <w:t>5,287</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pPr>
            <w:r>
              <w:rPr/>
              <w:t>6,966</w:t>
            </w:r>
          </w:p>
        </w:tc>
        <w:tc>
          <w:tcPr>
            <w:tcW w:w="112"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both"/>
              <w:rPr/>
            </w:pPr>
            <w:r>
              <w:rPr/>
              <w:t>Increase in cash, cash equivalents and restricted cash including cash classified within current held-for-sale assets</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33,381</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162,567</w:t>
            </w:r>
          </w:p>
        </w:tc>
        <w:tc>
          <w:tcPr>
            <w:tcW w:w="112"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Change in cash classified within current held-for-sale assets</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pPr>
            <w:r>
              <w:rPr/>
              <w:t>8,690</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112"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both"/>
              <w:rPr/>
            </w:pPr>
            <w:r>
              <w:rPr/>
              <w:t>Increase in cash, cash equivalents and restricted cash</w:t>
            </w:r>
          </w:p>
        </w:tc>
        <w:tc>
          <w:tcPr>
            <w:tcW w:w="60"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42,071</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4" w:type="dxa"/>
            <w:tcBorders/>
            <w:shd w:fill="FFFFFF" w:val="clear"/>
            <w:vAlign w:val="center"/>
          </w:tcPr>
          <w:p>
            <w:pPr>
              <w:pStyle w:val="TableContents"/>
              <w:bidi w:val="0"/>
              <w:spacing w:before="0" w:after="283"/>
              <w:jc w:val="left"/>
              <w:rPr/>
            </w:pPr>
            <w:r>
              <w:rPr/>
              <w:t> </w:t>
            </w:r>
          </w:p>
        </w:tc>
        <w:tc>
          <w:tcPr>
            <w:tcW w:w="1026" w:type="dxa"/>
            <w:tcBorders/>
            <w:shd w:fill="FFFFFF" w:val="clear"/>
            <w:vAlign w:val="center"/>
          </w:tcPr>
          <w:p>
            <w:pPr>
              <w:pStyle w:val="TableContents"/>
              <w:bidi w:val="0"/>
              <w:spacing w:before="0" w:after="283"/>
              <w:jc w:val="right"/>
              <w:rPr/>
            </w:pPr>
            <w:r>
              <w:rPr/>
              <w:t>162,567</w:t>
            </w:r>
          </w:p>
        </w:tc>
        <w:tc>
          <w:tcPr>
            <w:tcW w:w="112" w:type="dxa"/>
            <w:tcBorders/>
            <w:shd w:fill="FFFFFF" w:val="clear"/>
            <w:vAlign w:val="center"/>
          </w:tcPr>
          <w:p>
            <w:pPr>
              <w:pStyle w:val="TableContents"/>
              <w:bidi w:val="0"/>
              <w:spacing w:before="0" w:after="283"/>
              <w:jc w:val="left"/>
              <w:rPr/>
            </w:pPr>
            <w:r>
              <w:rPr/>
              <w:t> </w:t>
            </w:r>
          </w:p>
        </w:tc>
      </w:tr>
      <w:tr>
        <w:trPr/>
        <w:tc>
          <w:tcPr>
            <w:tcW w:w="7473" w:type="dxa"/>
            <w:tcBorders/>
            <w:shd w:fill="CCEEFF" w:val="clear"/>
            <w:vAlign w:val="center"/>
          </w:tcPr>
          <w:p>
            <w:pPr>
              <w:pStyle w:val="TableContents"/>
              <w:bidi w:val="0"/>
              <w:spacing w:before="0" w:after="283"/>
              <w:jc w:val="left"/>
              <w:rPr/>
            </w:pPr>
            <w:r>
              <w:rPr/>
              <w:t>Cash, cash equivalents and restricted cash, beginning of period</w:t>
            </w:r>
          </w:p>
        </w:tc>
        <w:tc>
          <w:tcPr>
            <w:tcW w:w="60"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pPr>
            <w:r>
              <w:rPr/>
              <w:t>539,846</w:t>
            </w:r>
          </w:p>
        </w:tc>
        <w:tc>
          <w:tcPr>
            <w:tcW w:w="111"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jc w:val="left"/>
              <w:rPr/>
            </w:pPr>
            <w:r>
              <w:rPr/>
              <w:t> </w:t>
            </w:r>
          </w:p>
        </w:tc>
        <w:tc>
          <w:tcPr>
            <w:tcW w:w="16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26" w:type="dxa"/>
            <w:tcBorders>
              <w:bottom w:val="single" w:sz="8" w:space="0" w:color="000000"/>
            </w:tcBorders>
            <w:shd w:fill="CCEEFF" w:val="clear"/>
            <w:tcMar>
              <w:bottom w:w="28" w:type="dxa"/>
            </w:tcMar>
            <w:vAlign w:val="center"/>
          </w:tcPr>
          <w:p>
            <w:pPr>
              <w:pStyle w:val="TableContents"/>
              <w:bidi w:val="0"/>
              <w:spacing w:before="0" w:after="283"/>
              <w:jc w:val="right"/>
              <w:rPr/>
            </w:pPr>
            <w:r>
              <w:rPr/>
              <w:t>409,939</w:t>
            </w:r>
          </w:p>
        </w:tc>
        <w:tc>
          <w:tcPr>
            <w:tcW w:w="112" w:type="dxa"/>
            <w:tcBorders/>
            <w:shd w:fill="CCEEFF" w:val="clear"/>
            <w:vAlign w:val="center"/>
          </w:tcPr>
          <w:p>
            <w:pPr>
              <w:pStyle w:val="TableContents"/>
              <w:bidi w:val="0"/>
              <w:spacing w:before="0" w:after="283"/>
              <w:jc w:val="left"/>
              <w:rPr/>
            </w:pPr>
            <w:r>
              <w:rPr/>
              <w:t> </w:t>
            </w:r>
          </w:p>
        </w:tc>
      </w:tr>
      <w:tr>
        <w:trPr/>
        <w:tc>
          <w:tcPr>
            <w:tcW w:w="7473" w:type="dxa"/>
            <w:tcBorders/>
            <w:shd w:fill="FFFFFF" w:val="clear"/>
            <w:vAlign w:val="center"/>
          </w:tcPr>
          <w:p>
            <w:pPr>
              <w:pStyle w:val="TableContents"/>
              <w:bidi w:val="0"/>
              <w:spacing w:before="0" w:after="283"/>
              <w:jc w:val="left"/>
              <w:rPr/>
            </w:pPr>
            <w:r>
              <w:rPr/>
              <w:t>Cash, cash equivalents and restricted cash, end of period</w:t>
            </w:r>
          </w:p>
        </w:tc>
        <w:tc>
          <w:tcPr>
            <w:tcW w:w="60"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6" w:type="dxa"/>
            <w:tcBorders>
              <w:bottom w:val="double" w:sz="6" w:space="0" w:color="000000"/>
            </w:tcBorders>
            <w:shd w:fill="FFFFFF" w:val="clear"/>
            <w:tcMar>
              <w:bottom w:w="28" w:type="dxa"/>
            </w:tcMar>
            <w:vAlign w:val="center"/>
          </w:tcPr>
          <w:p>
            <w:pPr>
              <w:pStyle w:val="TableContents"/>
              <w:bidi w:val="0"/>
              <w:spacing w:before="0" w:after="283"/>
              <w:jc w:val="right"/>
              <w:rPr/>
            </w:pPr>
            <w:r>
              <w:rPr/>
              <w:t>581,917</w:t>
            </w:r>
          </w:p>
        </w:tc>
        <w:tc>
          <w:tcPr>
            <w:tcW w:w="111"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jc w:val="left"/>
              <w:rPr/>
            </w:pPr>
            <w:r>
              <w:rPr/>
              <w:t> </w:t>
            </w:r>
          </w:p>
        </w:tc>
        <w:tc>
          <w:tcPr>
            <w:tcW w:w="16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26" w:type="dxa"/>
            <w:tcBorders>
              <w:bottom w:val="double" w:sz="6" w:space="0" w:color="000000"/>
            </w:tcBorders>
            <w:shd w:fill="FFFFFF" w:val="clear"/>
            <w:tcMar>
              <w:bottom w:w="28" w:type="dxa"/>
            </w:tcMar>
            <w:vAlign w:val="center"/>
          </w:tcPr>
          <w:p>
            <w:pPr>
              <w:pStyle w:val="TableContents"/>
              <w:bidi w:val="0"/>
              <w:spacing w:before="0" w:after="283"/>
              <w:jc w:val="right"/>
              <w:rPr/>
            </w:pPr>
            <w:r>
              <w:rPr/>
              <w:t>572,506</w:t>
            </w:r>
          </w:p>
        </w:tc>
        <w:tc>
          <w:tcPr>
            <w:tcW w:w="11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SOLAREDGE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FINANCIAL MEASURES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 and percentages)</w:t>
      </w:r>
    </w:p>
    <w:p>
      <w:pPr>
        <w:pStyle w:val="TextBody"/>
        <w:bidi w:val="0"/>
        <w:spacing w:before="0" w:after="0"/>
        <w:ind w:left="0" w:right="0" w:hanging="0"/>
        <w:jc w:val="left"/>
        <w:rPr>
          <w:caps w:val="false"/>
          <w:smallCaps w:val="false"/>
        </w:rPr>
      </w:pPr>
      <w:r>
        <w:rPr>
          <w:caps w:val="false"/>
          <w:smallCaps w:val="false"/>
        </w:rPr>
        <w:t> </w:t>
      </w:r>
    </w:p>
    <w:tbl>
      <w:tblPr>
        <w:tblW w:w="11350" w:type="dxa"/>
        <w:jc w:val="left"/>
        <w:tblInd w:w="0" w:type="dxa"/>
        <w:tblLayout w:type="fixed"/>
        <w:tblCellMar>
          <w:top w:w="0" w:type="dxa"/>
          <w:left w:w="0" w:type="dxa"/>
          <w:bottom w:w="0" w:type="dxa"/>
          <w:right w:w="0" w:type="dxa"/>
        </w:tblCellMar>
      </w:tblPr>
      <w:tblGrid>
        <w:gridCol w:w="1340"/>
        <w:gridCol w:w="60"/>
        <w:gridCol w:w="140"/>
        <w:gridCol w:w="680"/>
        <w:gridCol w:w="215"/>
        <w:gridCol w:w="60"/>
        <w:gridCol w:w="140"/>
        <w:gridCol w:w="680"/>
        <w:gridCol w:w="215"/>
        <w:gridCol w:w="60"/>
        <w:gridCol w:w="180"/>
        <w:gridCol w:w="875"/>
        <w:gridCol w:w="215"/>
        <w:gridCol w:w="60"/>
        <w:gridCol w:w="174"/>
        <w:gridCol w:w="941"/>
        <w:gridCol w:w="215"/>
        <w:gridCol w:w="60"/>
        <w:gridCol w:w="140"/>
        <w:gridCol w:w="680"/>
        <w:gridCol w:w="215"/>
        <w:gridCol w:w="60"/>
        <w:gridCol w:w="157"/>
        <w:gridCol w:w="898"/>
        <w:gridCol w:w="215"/>
        <w:gridCol w:w="60"/>
        <w:gridCol w:w="145"/>
        <w:gridCol w:w="910"/>
        <w:gridCol w:w="215"/>
        <w:gridCol w:w="60"/>
        <w:gridCol w:w="157"/>
        <w:gridCol w:w="898"/>
        <w:gridCol w:w="23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73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71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23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2026</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2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23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Gross profit (loss) (GAAP)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95,152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68,281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74,471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72,143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0" w:type="dxa"/>
            <w:tcBorders/>
            <w:shd w:fill="CCEEFF" w:val="clear"/>
            <w:vAlign w:val="center"/>
          </w:tcPr>
          <w:p>
            <w:pPr>
              <w:pStyle w:val="TableContents"/>
              <w:bidi w:val="0"/>
              <w:spacing w:before="0" w:after="283"/>
              <w:jc w:val="right"/>
              <w:rPr/>
            </w:pPr>
            <w:r>
              <w:rPr/>
              <w:t>32,131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196,281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(877,204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703,823</w:t>
            </w:r>
          </w:p>
        </w:tc>
        <w:tc>
          <w:tcPr>
            <w:tcW w:w="23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Revenues from finance component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(572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(498</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(456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(351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(304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(1,375</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(984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(834</w:t>
            </w:r>
          </w:p>
        </w:tc>
        <w:tc>
          <w:tcPr>
            <w:tcW w:w="23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pPr>
            <w:r>
              <w:rPr/>
              <w:t>Discontinued operation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(152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(1,107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(85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(8,132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(16,422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Discontinued operation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(240</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573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(331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(13,101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7,834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(4,806</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24,921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36,648</w:t>
            </w:r>
          </w:p>
        </w:tc>
        <w:tc>
          <w:tcPr>
            <w:tcW w:w="23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3,693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3,607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3,687</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3,959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4,004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16,022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21,952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23,200</w:t>
            </w:r>
          </w:p>
        </w:tc>
        <w:tc>
          <w:tcPr>
            <w:tcW w:w="23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Amortization of stock-based compensation capitalized in 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320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313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613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825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882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2,701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3,138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1,100</w:t>
            </w:r>
          </w:p>
        </w:tc>
        <w:tc>
          <w:tcPr>
            <w:tcW w:w="23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Amortization and depreciation of acquired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499</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495</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501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1,970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5,412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6,038</w:t>
            </w:r>
          </w:p>
        </w:tc>
        <w:tc>
          <w:tcPr>
            <w:tcW w:w="23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Restructuring charges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278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344</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FFFFFF" w:val="clear"/>
            <w:tcMar>
              <w:bottom w:w="28" w:type="dxa"/>
            </w:tcMar>
            <w:vAlign w:val="center"/>
          </w:tcPr>
          <w:p>
            <w:pPr>
              <w:pStyle w:val="TableContents"/>
              <w:bidi w:val="0"/>
              <w:spacing w:before="0" w:after="283"/>
              <w:jc w:val="right"/>
              <w:rPr/>
            </w:pPr>
            <w:r>
              <w:rPr/>
              <w:t>31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10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shd w:fill="FFFFFF" w:val="clear"/>
            <w:tcMar>
              <w:bottom w:w="28" w:type="dxa"/>
            </w:tcMar>
            <w:vAlign w:val="center"/>
          </w:tcPr>
          <w:p>
            <w:pPr>
              <w:pStyle w:val="TableContents"/>
              <w:bidi w:val="0"/>
              <w:spacing w:before="0" w:after="283"/>
              <w:jc w:val="right"/>
              <w:rPr/>
            </w:pPr>
            <w:r>
              <w:rPr/>
              <w:t>815</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pPr>
            <w:r>
              <w:rPr/>
              <w:t>15,327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shd w:fill="FFFFFF" w:val="clear"/>
            <w:tcMar>
              <w:bottom w:w="28" w:type="dxa"/>
            </w:tcMar>
            <w:vAlign w:val="center"/>
          </w:tcPr>
          <w:p>
            <w:pPr>
              <w:pStyle w:val="TableContents"/>
              <w:bidi w:val="0"/>
              <w:spacing w:before="0" w:after="283"/>
              <w:jc w:val="right"/>
              <w:rPr/>
            </w:pPr>
            <w:r>
              <w:rPr/>
              <w:t>23,154</w:t>
            </w:r>
          </w:p>
        </w:tc>
        <w:tc>
          <w:tcPr>
            <w:tcW w:w="23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Gross profit (loss) (Non-GAAP)</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98,700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72,990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77,716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jc w:val="right"/>
              <w:rPr/>
            </w:pPr>
            <w:r>
              <w:rPr/>
              <w:t>63,922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80" w:type="dxa"/>
            <w:tcBorders>
              <w:bottom w:val="double" w:sz="6" w:space="0" w:color="000000"/>
            </w:tcBorders>
            <w:shd w:fill="CCEEFF" w:val="clear"/>
            <w:tcMar>
              <w:bottom w:w="28" w:type="dxa"/>
            </w:tcMar>
            <w:vAlign w:val="center"/>
          </w:tcPr>
          <w:p>
            <w:pPr>
              <w:pStyle w:val="TableContents"/>
              <w:bidi w:val="0"/>
              <w:spacing w:before="0" w:after="283"/>
              <w:jc w:val="right"/>
              <w:rPr/>
            </w:pPr>
            <w:r>
              <w:rPr/>
              <w:t>36,908</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jc w:val="right"/>
              <w:rPr/>
            </w:pPr>
            <w:r>
              <w:rPr/>
              <w:t>195,186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jc w:val="right"/>
              <w:rPr/>
            </w:pPr>
            <w:r>
              <w:rPr/>
              <w:t>(807,438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jc w:val="right"/>
              <w:rPr/>
            </w:pPr>
            <w:r>
              <w:rPr/>
              <w:t>793,129</w:t>
            </w:r>
          </w:p>
        </w:tc>
        <w:tc>
          <w:tcPr>
            <w:tcW w:w="23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23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Gross margin (loss) (GAAP)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22.0</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22.2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21.2</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16.6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(97.3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23.6</w:t>
            </w:r>
          </w:p>
        </w:tc>
        <w:tc>
          <w:tcPr>
            <w:tcW w:w="23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Revenues from finance component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(0.3</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(0.2</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(0.1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(0.1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0.0</w:t>
            </w:r>
          </w:p>
        </w:tc>
        <w:tc>
          <w:tcPr>
            <w:tcW w:w="23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Discontinued operation revenues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(1.4</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23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Discontinued operation cost of revenues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(0.1</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0.2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(3.9</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3.0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(0.4</w:t>
            </w:r>
          </w:p>
        </w:tc>
        <w:tc>
          <w:tcPr>
            <w:tcW w:w="21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2.8</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1.2</w:t>
            </w:r>
          </w:p>
        </w:tc>
        <w:tc>
          <w:tcPr>
            <w:tcW w:w="23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Stock-based compensation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1.2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2.4</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0.9</w:t>
            </w:r>
          </w:p>
        </w:tc>
        <w:tc>
          <w:tcPr>
            <w:tcW w:w="23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Amortization of stock-based compensation capitalized in inventories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0.2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jc w:val="right"/>
              <w:rPr/>
            </w:pPr>
            <w:r>
              <w:rPr/>
              <w:t>0.3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0.2</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0.3</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0.0</w:t>
            </w:r>
          </w:p>
        </w:tc>
        <w:tc>
          <w:tcPr>
            <w:tcW w:w="23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Amortization and depreciation of acquired asset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0.2</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0.0</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0.1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0.1</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0.3</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0.6</w:t>
            </w:r>
          </w:p>
        </w:tc>
        <w:tc>
          <w:tcPr>
            <w:tcW w:w="2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0.2</w:t>
            </w:r>
          </w:p>
        </w:tc>
        <w:tc>
          <w:tcPr>
            <w:tcW w:w="23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Restructuring charges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FFFFFF" w:val="clear"/>
            <w:tcMar>
              <w:bottom w:w="28" w:type="dxa"/>
            </w:tcMar>
            <w:vAlign w:val="center"/>
          </w:tcPr>
          <w:p>
            <w:pPr>
              <w:pStyle w:val="TableContents"/>
              <w:bidi w:val="0"/>
              <w:spacing w:before="0" w:after="283"/>
              <w:jc w:val="right"/>
              <w:rPr/>
            </w:pPr>
            <w:r>
              <w:rPr/>
              <w:t>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FFFFFF" w:val="clear"/>
            <w:tcMar>
              <w:bottom w:w="28" w:type="dxa"/>
            </w:tcMar>
            <w:vAlign w:val="center"/>
          </w:tcPr>
          <w:p>
            <w:pPr>
              <w:pStyle w:val="TableContents"/>
              <w:bidi w:val="0"/>
              <w:spacing w:before="0" w:after="283"/>
              <w:jc w:val="right"/>
              <w:rPr/>
            </w:pPr>
            <w:r>
              <w:rPr/>
              <w:t>0.0</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shd w:fill="FFFFFF" w:val="clear"/>
            <w:tcMar>
              <w:bottom w:w="28" w:type="dxa"/>
            </w:tcMar>
            <w:vAlign w:val="center"/>
          </w:tcPr>
          <w:p>
            <w:pPr>
              <w:pStyle w:val="TableContents"/>
              <w:bidi w:val="0"/>
              <w:spacing w:before="0" w:after="283"/>
              <w:jc w:val="right"/>
              <w:rPr/>
            </w:pPr>
            <w:r>
              <w:rPr/>
              <w:t>0.1</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pPr>
            <w:r>
              <w:rPr/>
              <w:t>1.7</w:t>
            </w:r>
          </w:p>
        </w:tc>
        <w:tc>
          <w:tcPr>
            <w:tcW w:w="2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shd w:fill="FFFFFF" w:val="clear"/>
            <w:tcMar>
              <w:bottom w:w="28" w:type="dxa"/>
            </w:tcMar>
            <w:vAlign w:val="center"/>
          </w:tcPr>
          <w:p>
            <w:pPr>
              <w:pStyle w:val="TableContents"/>
              <w:bidi w:val="0"/>
              <w:spacing w:before="0" w:after="283"/>
              <w:jc w:val="right"/>
              <w:rPr/>
            </w:pPr>
            <w:r>
              <w:rPr/>
              <w:t>0.8</w:t>
            </w:r>
          </w:p>
        </w:tc>
        <w:tc>
          <w:tcPr>
            <w:tcW w:w="23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Gross margin (loss) (Non-GAAP)</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28.6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23.5</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8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23.3</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pPr>
            <w:r>
              <w:rPr/>
              <w:t>18.8</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680" w:type="dxa"/>
            <w:tcBorders>
              <w:bottom w:val="single" w:sz="8" w:space="0" w:color="000000"/>
            </w:tcBorders>
            <w:shd w:fill="CCEEFF" w:val="clear"/>
            <w:tcMar>
              <w:bottom w:w="28" w:type="dxa"/>
            </w:tcMar>
            <w:vAlign w:val="center"/>
          </w:tcPr>
          <w:p>
            <w:pPr>
              <w:pStyle w:val="TableContents"/>
              <w:bidi w:val="0"/>
              <w:spacing w:before="0" w:after="283"/>
              <w:jc w:val="right"/>
              <w:rPr/>
            </w:pPr>
            <w:r>
              <w:rPr/>
              <w:t>13.1</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shd w:fill="CCEEFF" w:val="clear"/>
            <w:tcMar>
              <w:bottom w:w="28" w:type="dxa"/>
            </w:tcMar>
            <w:vAlign w:val="center"/>
          </w:tcPr>
          <w:p>
            <w:pPr>
              <w:pStyle w:val="TableContents"/>
              <w:bidi w:val="0"/>
              <w:spacing w:before="0" w:after="283"/>
              <w:jc w:val="right"/>
              <w:rPr/>
            </w:pPr>
            <w:r>
              <w:rPr/>
              <w:t>16.7</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pPr>
            <w:r>
              <w:rPr/>
              <w:t>(89.6</w:t>
            </w:r>
          </w:p>
        </w:tc>
        <w:tc>
          <w:tcPr>
            <w:tcW w:w="21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shd w:fill="CCEEFF" w:val="clear"/>
            <w:tcMar>
              <w:bottom w:w="28" w:type="dxa"/>
            </w:tcMar>
            <w:vAlign w:val="center"/>
          </w:tcPr>
          <w:p>
            <w:pPr>
              <w:pStyle w:val="TableContents"/>
              <w:bidi w:val="0"/>
              <w:spacing w:before="0" w:after="283"/>
              <w:jc w:val="right"/>
              <w:rPr/>
            </w:pPr>
            <w:r>
              <w:rPr/>
              <w:t>26.7</w:t>
            </w:r>
          </w:p>
        </w:tc>
        <w:tc>
          <w:tcPr>
            <w:tcW w:w="23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SOLAREDGE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FINANCIAL MEASURES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 and percentages)</w:t>
      </w:r>
    </w:p>
    <w:p>
      <w:pPr>
        <w:pStyle w:val="TextBody"/>
        <w:bidi w:val="0"/>
        <w:spacing w:before="0" w:after="0"/>
        <w:ind w:left="0" w:right="0" w:hanging="0"/>
        <w:jc w:val="left"/>
        <w:rPr>
          <w:caps w:val="false"/>
          <w:smallCaps w:val="false"/>
        </w:rPr>
      </w:pPr>
      <w:r>
        <w:rPr>
          <w:caps w:val="false"/>
          <w:smallCaps w:val="false"/>
        </w:rPr>
        <w:t> </w:t>
      </w:r>
    </w:p>
    <w:tbl>
      <w:tblPr>
        <w:tblW w:w="10965" w:type="dxa"/>
        <w:jc w:val="left"/>
        <w:tblInd w:w="0" w:type="dxa"/>
        <w:tblLayout w:type="fixed"/>
        <w:tblCellMar>
          <w:top w:w="0" w:type="dxa"/>
          <w:left w:w="0" w:type="dxa"/>
          <w:bottom w:w="0" w:type="dxa"/>
          <w:right w:w="0" w:type="dxa"/>
        </w:tblCellMar>
      </w:tblPr>
      <w:tblGrid>
        <w:gridCol w:w="1340"/>
        <w:gridCol w:w="60"/>
        <w:gridCol w:w="140"/>
        <w:gridCol w:w="800"/>
        <w:gridCol w:w="95"/>
        <w:gridCol w:w="60"/>
        <w:gridCol w:w="140"/>
        <w:gridCol w:w="800"/>
        <w:gridCol w:w="95"/>
        <w:gridCol w:w="60"/>
        <w:gridCol w:w="157"/>
        <w:gridCol w:w="898"/>
        <w:gridCol w:w="95"/>
        <w:gridCol w:w="60"/>
        <w:gridCol w:w="166"/>
        <w:gridCol w:w="949"/>
        <w:gridCol w:w="95"/>
        <w:gridCol w:w="60"/>
        <w:gridCol w:w="140"/>
        <w:gridCol w:w="875"/>
        <w:gridCol w:w="95"/>
        <w:gridCol w:w="60"/>
        <w:gridCol w:w="145"/>
        <w:gridCol w:w="910"/>
        <w:gridCol w:w="95"/>
        <w:gridCol w:w="60"/>
        <w:gridCol w:w="140"/>
        <w:gridCol w:w="1055"/>
        <w:gridCol w:w="95"/>
        <w:gridCol w:w="60"/>
        <w:gridCol w:w="157"/>
        <w:gridCol w:w="898"/>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8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Operating expenses (GAAP)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111,198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123,324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122,781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107,293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147,624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497,960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831,084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663,618</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Stock-based compensation - R&amp;D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(8,403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(8,061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(8,442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(10,681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(9,856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(44,890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(62,546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(66,944</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pPr>
            <w:r>
              <w:rPr/>
              <w:t>Stock-based compensation - S&amp;M</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(3,996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(4,151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(4,298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(4,348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(4,342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(17,730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(27,328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(30,987</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Stock-based compensation - G&amp;A</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(3,605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(4,033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(3,546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(2,897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(1,059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(13,903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(25,425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(28,814</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pPr>
            <w:r>
              <w:rPr/>
              <w:t>Amortization and depreciation of acquired assets - R&amp;D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(1,000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(989</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Amortization and depreciation of acquired assets - S&amp;M</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(116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(116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(116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(772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(1,599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(927</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pPr>
            <w:r>
              <w:rPr/>
              <w:t>Amortization and depreciation of acquired assets - G&amp;A</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(15</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Amortization of stock-based compensation capitalized in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(109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(110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Discontinued operation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556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(6,989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(316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(27,069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(35,896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(3,293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(388</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Restructuring charges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(371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(423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(426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(4,329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(5,607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Assets impairment and disposal by abandonment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(6,646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(3,135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(672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(5,998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(251,823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(30,790</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Gain (loss) from assets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(8,327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(7,117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(158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(17,108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(23,721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(5,746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1,262</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Certain litigation and other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(1,786</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Acquisition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shd w:fill="FFFFFF" w:val="clear"/>
            <w:tcMar>
              <w:bottom w:w="28" w:type="dxa"/>
            </w:tcMar>
            <w:vAlign w:val="center"/>
          </w:tcPr>
          <w:p>
            <w:pPr>
              <w:pStyle w:val="TableContents"/>
              <w:bidi w:val="0"/>
              <w:spacing w:before="0" w:after="283"/>
              <w:jc w:val="right"/>
              <w:rPr/>
            </w:pPr>
            <w:r>
              <w:rPr/>
              <w:t>(135</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b/>
              </w:rPr>
            </w:pPr>
            <w:r>
              <w:rPr>
                <w:b/>
              </w:rPr>
              <w:t>Operating expenses (Non-GAAP)</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88,517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97,741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jc w:val="right"/>
              <w:rPr/>
            </w:pPr>
            <w:r>
              <w:rPr/>
              <w:t>88,715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9" w:type="dxa"/>
            <w:tcBorders>
              <w:bottom w:val="double" w:sz="6" w:space="0" w:color="000000"/>
            </w:tcBorders>
            <w:shd w:fill="CCEEFF" w:val="clear"/>
            <w:tcMar>
              <w:bottom w:w="28" w:type="dxa"/>
            </w:tcMar>
            <w:vAlign w:val="center"/>
          </w:tcPr>
          <w:p>
            <w:pPr>
              <w:pStyle w:val="TableContents"/>
              <w:bidi w:val="0"/>
              <w:spacing w:before="0" w:after="283"/>
              <w:jc w:val="right"/>
              <w:rPr/>
            </w:pPr>
            <w:r>
              <w:rPr/>
              <w:t>87,679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85,240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jc w:val="right"/>
              <w:rPr/>
            </w:pPr>
            <w:r>
              <w:rPr/>
              <w:t>350,721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447,101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jc w:val="right"/>
              <w:rPr/>
            </w:pPr>
            <w:r>
              <w:rPr/>
              <w:t>503,105</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Operating income (loss) (GAAP)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(16,046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00" w:type="dxa"/>
            <w:tcBorders/>
            <w:shd w:fill="CCEEFF" w:val="clear"/>
            <w:vAlign w:val="center"/>
          </w:tcPr>
          <w:p>
            <w:pPr>
              <w:pStyle w:val="TableContents"/>
              <w:bidi w:val="0"/>
              <w:spacing w:before="0" w:after="283"/>
              <w:jc w:val="right"/>
              <w:rPr/>
            </w:pPr>
            <w:r>
              <w:rPr/>
              <w:t>(55,043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(48,310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w:t>
            </w:r>
          </w:p>
        </w:tc>
        <w:tc>
          <w:tcPr>
            <w:tcW w:w="949" w:type="dxa"/>
            <w:tcBorders/>
            <w:shd w:fill="CCEEFF" w:val="clear"/>
            <w:vAlign w:val="center"/>
          </w:tcPr>
          <w:p>
            <w:pPr>
              <w:pStyle w:val="TableContents"/>
              <w:bidi w:val="0"/>
              <w:spacing w:before="0" w:after="283"/>
              <w:jc w:val="right"/>
              <w:rPr/>
            </w:pPr>
            <w:r>
              <w:rPr/>
              <w:t>(35,150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(115,493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(301,679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(1,708,288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40,205</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Revenues from finance component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(572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(498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(456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(351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(1,375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(834</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pPr>
            <w:r>
              <w:rPr/>
              <w:t>Discontinued operation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(568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(47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5,551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(12,870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26,771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14,668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37,036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19,697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19,852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19,973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21,885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19,261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92,545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137,251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149,945</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Amortization of stock-based compensation capitalized in 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313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613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2,701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1,100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Amortization and depreciation of acquired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611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617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2,742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8,017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7,969</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Amortization of stock-based compensation capitalized in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Restructuring charges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649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5,144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23,154</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Assets impairment and disposal by abandonment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6,646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970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3,135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672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5,998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251,823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30,790</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Loss (gain) from assets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00" w:type="dxa"/>
            <w:tcBorders/>
            <w:shd w:fill="FFFFFF" w:val="clear"/>
            <w:vAlign w:val="center"/>
          </w:tcPr>
          <w:p>
            <w:pPr>
              <w:pStyle w:val="TableContents"/>
              <w:bidi w:val="0"/>
              <w:spacing w:before="0" w:after="283"/>
              <w:jc w:val="right"/>
              <w:rPr/>
            </w:pPr>
            <w:r>
              <w:rPr/>
              <w:t>8,327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7,117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shd w:fill="FFFFFF" w:val="clear"/>
            <w:vAlign w:val="center"/>
          </w:tcPr>
          <w:p>
            <w:pPr>
              <w:pStyle w:val="TableContents"/>
              <w:bidi w:val="0"/>
              <w:spacing w:before="0" w:after="283"/>
              <w:jc w:val="left"/>
              <w:rPr/>
            </w:pPr>
            <w:r>
              <w:rPr/>
              <w:t> </w:t>
            </w:r>
          </w:p>
        </w:tc>
        <w:tc>
          <w:tcPr>
            <w:tcW w:w="949" w:type="dxa"/>
            <w:tcBorders/>
            <w:shd w:fill="FFFFFF" w:val="clear"/>
            <w:vAlign w:val="center"/>
          </w:tcPr>
          <w:p>
            <w:pPr>
              <w:pStyle w:val="TableContents"/>
              <w:bidi w:val="0"/>
              <w:spacing w:before="0" w:after="283"/>
              <w:jc w:val="right"/>
              <w:rPr/>
            </w:pPr>
            <w:r>
              <w:rPr/>
              <w:t>158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23,721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5,746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(1,262</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pPr>
            <w:r>
              <w:rPr/>
              <w:t>Certain litigation and other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6" w:type="dxa"/>
            <w:tcBorders/>
            <w:shd w:fill="CCEEFF" w:val="clear"/>
            <w:vAlign w:val="center"/>
          </w:tcPr>
          <w:p>
            <w:pPr>
              <w:pStyle w:val="TableContents"/>
              <w:bidi w:val="0"/>
              <w:spacing w:before="0" w:after="283"/>
              <w:jc w:val="left"/>
              <w:rPr/>
            </w:pPr>
            <w:r>
              <w:rPr/>
              <w:t> </w:t>
            </w:r>
          </w:p>
        </w:tc>
        <w:tc>
          <w:tcPr>
            <w:tcW w:w="94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1,786</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Acquisition costs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6"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9"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shd w:fill="FFFFFF" w:val="clear"/>
            <w:tcMar>
              <w:bottom w:w="28" w:type="dxa"/>
            </w:tcMar>
            <w:vAlign w:val="center"/>
          </w:tcPr>
          <w:p>
            <w:pPr>
              <w:pStyle w:val="TableContents"/>
              <w:bidi w:val="0"/>
              <w:spacing w:before="0" w:after="283"/>
              <w:jc w:val="right"/>
              <w:rPr/>
            </w:pPr>
            <w:r>
              <w:rPr/>
              <w:t>135</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Operating income (loss) (Non-GAAP)</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10,183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00" w:type="dxa"/>
            <w:tcBorders>
              <w:bottom w:val="double" w:sz="6" w:space="0" w:color="000000"/>
            </w:tcBorders>
            <w:shd w:fill="CCEEFF" w:val="clear"/>
            <w:tcMar>
              <w:bottom w:w="28" w:type="dxa"/>
            </w:tcMar>
            <w:vAlign w:val="center"/>
          </w:tcPr>
          <w:p>
            <w:pPr>
              <w:pStyle w:val="TableContents"/>
              <w:bidi w:val="0"/>
              <w:spacing w:before="0" w:after="283"/>
              <w:jc w:val="right"/>
              <w:rPr/>
            </w:pPr>
            <w:r>
              <w:rPr/>
              <w:t>(24,751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jc w:val="right"/>
              <w:rPr/>
            </w:pPr>
            <w:r>
              <w:rPr/>
              <w:t>(10,999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6"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9" w:type="dxa"/>
            <w:tcBorders>
              <w:bottom w:val="double" w:sz="6" w:space="0" w:color="000000"/>
            </w:tcBorders>
            <w:shd w:fill="CCEEFF" w:val="clear"/>
            <w:tcMar>
              <w:bottom w:w="28" w:type="dxa"/>
            </w:tcMar>
            <w:vAlign w:val="center"/>
          </w:tcPr>
          <w:p>
            <w:pPr>
              <w:pStyle w:val="TableContents"/>
              <w:bidi w:val="0"/>
              <w:spacing w:before="0" w:after="283"/>
              <w:jc w:val="right"/>
              <w:rPr/>
            </w:pPr>
            <w:r>
              <w:rPr/>
              <w:t>(23,757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CCEEFF" w:val="clear"/>
            <w:tcMar>
              <w:bottom w:w="28" w:type="dxa"/>
            </w:tcMar>
            <w:vAlign w:val="center"/>
          </w:tcPr>
          <w:p>
            <w:pPr>
              <w:pStyle w:val="TableContents"/>
              <w:bidi w:val="0"/>
              <w:spacing w:before="0" w:after="283"/>
              <w:jc w:val="right"/>
              <w:rPr/>
            </w:pPr>
            <w:r>
              <w:rPr/>
              <w:t>(48,332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jc w:val="right"/>
              <w:rPr/>
            </w:pPr>
            <w:r>
              <w:rPr/>
              <w:t>(155,535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CCEEFF" w:val="clear"/>
            <w:tcMar>
              <w:bottom w:w="28" w:type="dxa"/>
            </w:tcMar>
            <w:vAlign w:val="center"/>
          </w:tcPr>
          <w:p>
            <w:pPr>
              <w:pStyle w:val="TableContents"/>
              <w:bidi w:val="0"/>
              <w:spacing w:before="0" w:after="283"/>
              <w:jc w:val="right"/>
              <w:rPr/>
            </w:pPr>
            <w:r>
              <w:rPr/>
              <w:t>(1,254,539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8" w:type="dxa"/>
            <w:tcBorders>
              <w:bottom w:val="double" w:sz="6" w:space="0" w:color="000000"/>
            </w:tcBorders>
            <w:shd w:fill="CCEEFF" w:val="clear"/>
            <w:tcMar>
              <w:bottom w:w="28" w:type="dxa"/>
            </w:tcMar>
            <w:vAlign w:val="center"/>
          </w:tcPr>
          <w:p>
            <w:pPr>
              <w:pStyle w:val="TableContents"/>
              <w:bidi w:val="0"/>
              <w:spacing w:before="0" w:after="283"/>
              <w:jc w:val="right"/>
              <w:rPr/>
            </w:pPr>
            <w:r>
              <w:rPr/>
              <w:t>290,024</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SOLAREDGE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FINANCIAL MEASURES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 and percentages)</w:t>
      </w:r>
    </w:p>
    <w:p>
      <w:pPr>
        <w:pStyle w:val="TextBody"/>
        <w:bidi w:val="0"/>
        <w:spacing w:before="0" w:after="0"/>
        <w:ind w:left="0" w:right="0" w:hanging="0"/>
        <w:jc w:val="left"/>
        <w:rPr>
          <w:caps w:val="false"/>
          <w:smallCaps w:val="false"/>
        </w:rPr>
      </w:pPr>
      <w:r>
        <w:rPr>
          <w:caps w:val="false"/>
          <w:smallCaps w:val="false"/>
        </w:rPr>
        <w:t> </w:t>
      </w:r>
    </w:p>
    <w:tbl>
      <w:tblPr>
        <w:tblW w:w="10465" w:type="dxa"/>
        <w:jc w:val="left"/>
        <w:tblInd w:w="0" w:type="dxa"/>
        <w:tblLayout w:type="fixed"/>
        <w:tblCellMar>
          <w:top w:w="0" w:type="dxa"/>
          <w:left w:w="0" w:type="dxa"/>
          <w:bottom w:w="0" w:type="dxa"/>
          <w:right w:w="0" w:type="dxa"/>
        </w:tblCellMar>
      </w:tblPr>
      <w:tblGrid>
        <w:gridCol w:w="1430"/>
        <w:gridCol w:w="60"/>
        <w:gridCol w:w="140"/>
        <w:gridCol w:w="755"/>
        <w:gridCol w:w="95"/>
        <w:gridCol w:w="60"/>
        <w:gridCol w:w="140"/>
        <w:gridCol w:w="635"/>
        <w:gridCol w:w="95"/>
        <w:gridCol w:w="60"/>
        <w:gridCol w:w="165"/>
        <w:gridCol w:w="890"/>
        <w:gridCol w:w="95"/>
        <w:gridCol w:w="60"/>
        <w:gridCol w:w="174"/>
        <w:gridCol w:w="941"/>
        <w:gridCol w:w="95"/>
        <w:gridCol w:w="60"/>
        <w:gridCol w:w="140"/>
        <w:gridCol w:w="635"/>
        <w:gridCol w:w="95"/>
        <w:gridCol w:w="60"/>
        <w:gridCol w:w="165"/>
        <w:gridCol w:w="890"/>
        <w:gridCol w:w="95"/>
        <w:gridCol w:w="60"/>
        <w:gridCol w:w="165"/>
        <w:gridCol w:w="890"/>
        <w:gridCol w:w="95"/>
        <w:gridCol w:w="60"/>
        <w:gridCol w:w="165"/>
        <w:gridCol w:w="890"/>
        <w:gridCol w:w="110"/>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23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47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110"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b/>
              </w:rPr>
            </w:pPr>
            <w:r>
              <w:rPr>
                <w:b/>
              </w:rPr>
              <w:t>Financial income (expense), net (GAAP)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(12,378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(1,037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(77,784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3,040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(7,323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(71,999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(14,570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41,212</w:t>
            </w:r>
          </w:p>
        </w:tc>
        <w:tc>
          <w:tcPr>
            <w:tcW w:w="11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Non cash interest expense</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5,208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4,793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4,420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4,462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4,326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17,259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14,877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12,703</w:t>
            </w:r>
          </w:p>
        </w:tc>
        <w:tc>
          <w:tcPr>
            <w:tcW w:w="11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Currency fluctuation related to lease standard</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4,382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(317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3,360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1,552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7,151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10,430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(744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(3,055</w:t>
            </w:r>
          </w:p>
        </w:tc>
        <w:tc>
          <w:tcPr>
            <w:tcW w:w="110" w:type="dxa"/>
            <w:tcBorders/>
            <w:shd w:fill="CCEEFF" w:val="clear"/>
            <w:vAlign w:val="center"/>
          </w:tcPr>
          <w:p>
            <w:pPr>
              <w:pStyle w:val="TableContents"/>
              <w:bidi w:val="0"/>
              <w:spacing w:before="0" w:after="283"/>
              <w:jc w:val="left"/>
              <w:rPr/>
            </w:pPr>
            <w:r>
              <w:rPr/>
              <w:t>)</w:t>
            </w:r>
          </w:p>
        </w:tc>
      </w:tr>
      <w:tr>
        <w:trPr/>
        <w:tc>
          <w:tcPr>
            <w:tcW w:w="1430" w:type="dxa"/>
            <w:tcBorders/>
            <w:shd w:fill="FFFFFF" w:val="clear"/>
            <w:vAlign w:val="center"/>
          </w:tcPr>
          <w:p>
            <w:pPr>
              <w:pStyle w:val="TableContents"/>
              <w:bidi w:val="0"/>
              <w:spacing w:before="0" w:after="283"/>
              <w:jc w:val="left"/>
              <w:rPr/>
            </w:pPr>
            <w:r>
              <w:rPr/>
              <w:t>Discontinued operation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(1,613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1,402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(958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2,265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2,433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CTA reclassification upon liquidation of a foreign subsidiary</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225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59,520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59,520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One-time foreign exchange impact from VAT settlement agreement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(3,900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10,963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10,963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b/>
              </w:rPr>
            </w:pPr>
            <w:r>
              <w:rPr>
                <w:b/>
              </w:rPr>
              <w:t>Financial income (expense), net (Non-GAAP)</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(4,381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(233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1,881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jc w:val="right"/>
              <w:rPr/>
            </w:pPr>
            <w:r>
              <w:rPr/>
              <w:t>8,096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6,419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28,606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(437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50,860</w:t>
            </w:r>
          </w:p>
        </w:tc>
        <w:tc>
          <w:tcPr>
            <w:tcW w:w="11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b/>
              </w:rPr>
            </w:pPr>
            <w:r>
              <w:rPr>
                <w:b/>
              </w:rPr>
              <w:t>Other income (loss) (GAAP)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(6,582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(15,011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4,017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(17,428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14,547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(318</w:t>
            </w:r>
          </w:p>
        </w:tc>
        <w:tc>
          <w:tcPr>
            <w:tcW w:w="110" w:type="dxa"/>
            <w:tcBorders/>
            <w:shd w:fill="CCEEFF" w:val="clear"/>
            <w:vAlign w:val="center"/>
          </w:tcPr>
          <w:p>
            <w:pPr>
              <w:pStyle w:val="TableContents"/>
              <w:bidi w:val="0"/>
              <w:spacing w:before="0" w:after="283"/>
              <w:jc w:val="left"/>
              <w:rPr/>
            </w:pPr>
            <w:r>
              <w:rPr/>
              <w:t>)</w:t>
            </w:r>
          </w:p>
        </w:tc>
      </w:tr>
      <w:tr>
        <w:trPr/>
        <w:tc>
          <w:tcPr>
            <w:tcW w:w="1430" w:type="dxa"/>
            <w:tcBorders/>
            <w:shd w:fill="FFFFFF" w:val="clear"/>
            <w:vAlign w:val="center"/>
          </w:tcPr>
          <w:p>
            <w:pPr>
              <w:pStyle w:val="TableContents"/>
              <w:bidi w:val="0"/>
              <w:spacing w:before="0" w:after="283"/>
              <w:jc w:val="left"/>
              <w:rPr/>
            </w:pPr>
            <w:r>
              <w:rPr/>
              <w:t>Loss (gain) from sale of equity and debt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(2,966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193</w:t>
            </w:r>
          </w:p>
        </w:tc>
        <w:tc>
          <w:tcPr>
            <w:tcW w:w="11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Gain from business combination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(1,125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Gain from the repurchase of convertible notes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(146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(15,456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Loss (gain) from sale of private held companies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155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35" w:type="dxa"/>
            <w:tcBorders/>
            <w:shd w:fill="CCEEFF" w:val="clear"/>
            <w:vAlign w:val="center"/>
          </w:tcPr>
          <w:p>
            <w:pPr>
              <w:pStyle w:val="TableContents"/>
              <w:bidi w:val="0"/>
              <w:spacing w:before="0" w:after="283"/>
              <w:jc w:val="right"/>
              <w:rPr/>
            </w:pPr>
            <w:r>
              <w:rPr/>
              <w:t>(4,017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(3,862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 </w:t>
            </w:r>
          </w:p>
        </w:tc>
        <w:tc>
          <w:tcPr>
            <w:tcW w:w="890"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Loss from impairment of  private held companies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6,427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FFFFFF" w:val="clear"/>
            <w:tcMar>
              <w:bottom w:w="28" w:type="dxa"/>
            </w:tcMar>
            <w:vAlign w:val="center"/>
          </w:tcPr>
          <w:p>
            <w:pPr>
              <w:pStyle w:val="TableContents"/>
              <w:bidi w:val="0"/>
              <w:spacing w:before="0" w:after="283"/>
              <w:jc w:val="right"/>
              <w:rPr/>
            </w:pPr>
            <w:r>
              <w:rPr/>
              <w:t>15,011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21,438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5,000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b/>
              </w:rPr>
            </w:pPr>
            <w:r>
              <w:rPr>
                <w:b/>
              </w:rPr>
              <w:t>Other income (loss) (Non-GAAP)</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(125</w:t>
            </w:r>
          </w:p>
        </w:tc>
        <w:tc>
          <w:tcPr>
            <w:tcW w:w="110" w:type="dxa"/>
            <w:tcBorders/>
            <w:shd w:fill="CCEEFF" w:val="clear"/>
            <w:vAlign w:val="center"/>
          </w:tcPr>
          <w:p>
            <w:pPr>
              <w:pStyle w:val="TableContents"/>
              <w:bidi w:val="0"/>
              <w:spacing w:before="0" w:after="283"/>
              <w:jc w:val="left"/>
              <w:rPr/>
            </w:pPr>
            <w:r>
              <w:rPr/>
              <w:t>)</w:t>
            </w:r>
          </w:p>
        </w:tc>
      </w:tr>
      <w:tr>
        <w:trPr/>
        <w:tc>
          <w:tcPr>
            <w:tcW w:w="1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b/>
              </w:rPr>
            </w:pPr>
            <w:r>
              <w:rPr>
                <w:b/>
              </w:rPr>
              <w:t>Income tax benefit (expense) (GAAP)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(2,329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(1,286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564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(2,563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(5,657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(13,382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(96,150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(46,420</w:t>
            </w:r>
          </w:p>
        </w:tc>
        <w:tc>
          <w:tcPr>
            <w:tcW w:w="110" w:type="dxa"/>
            <w:tcBorders/>
            <w:shd w:fill="CCEEFF" w:val="clear"/>
            <w:vAlign w:val="center"/>
          </w:tcPr>
          <w:p>
            <w:pPr>
              <w:pStyle w:val="TableContents"/>
              <w:bidi w:val="0"/>
              <w:spacing w:before="0" w:after="283"/>
              <w:jc w:val="left"/>
              <w:rPr/>
            </w:pPr>
            <w:r>
              <w:rPr/>
              <w:t>)</w:t>
            </w:r>
          </w:p>
        </w:tc>
      </w:tr>
      <w:tr>
        <w:trPr/>
        <w:tc>
          <w:tcPr>
            <w:tcW w:w="1430" w:type="dxa"/>
            <w:tcBorders/>
            <w:shd w:fill="FFFFFF" w:val="clear"/>
            <w:vAlign w:val="center"/>
          </w:tcPr>
          <w:p>
            <w:pPr>
              <w:pStyle w:val="TableContents"/>
              <w:bidi w:val="0"/>
              <w:spacing w:before="0" w:after="283"/>
              <w:jc w:val="left"/>
              <w:rPr/>
            </w:pPr>
            <w:r>
              <w:rPr/>
              <w:t>Income tax adjustment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FFFFFF" w:val="clear"/>
            <w:tcMar>
              <w:bottom w:w="28" w:type="dxa"/>
            </w:tcMar>
            <w:vAlign w:val="center"/>
          </w:tcPr>
          <w:p>
            <w:pPr>
              <w:pStyle w:val="TableContents"/>
              <w:bidi w:val="0"/>
              <w:spacing w:before="0" w:after="283"/>
              <w:jc w:val="right"/>
              <w:rPr/>
            </w:pPr>
            <w:r>
              <w:rPr/>
              <w:t>(124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39,007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(45,896</w:t>
            </w:r>
          </w:p>
        </w:tc>
        <w:tc>
          <w:tcPr>
            <w:tcW w:w="110" w:type="dxa"/>
            <w:tcBorders/>
            <w:shd w:fill="FFFFFF" w:val="clear"/>
            <w:vAlign w:val="center"/>
          </w:tcPr>
          <w:p>
            <w:pPr>
              <w:pStyle w:val="TableContents"/>
              <w:bidi w:val="0"/>
              <w:spacing w:before="0" w:after="283"/>
              <w:jc w:val="left"/>
              <w:rPr/>
            </w:pPr>
            <w:r>
              <w:rPr/>
              <w:t>)</w:t>
            </w:r>
          </w:p>
        </w:tc>
      </w:tr>
      <w:tr>
        <w:trPr/>
        <w:tc>
          <w:tcPr>
            <w:tcW w:w="1430" w:type="dxa"/>
            <w:tcBorders/>
            <w:shd w:fill="CCEEFF" w:val="clear"/>
            <w:vAlign w:val="center"/>
          </w:tcPr>
          <w:p>
            <w:pPr>
              <w:pStyle w:val="TableContents"/>
              <w:bidi w:val="0"/>
              <w:spacing w:before="0" w:after="283"/>
              <w:jc w:val="left"/>
              <w:rPr>
                <w:b/>
              </w:rPr>
            </w:pPr>
            <w:r>
              <w:rPr>
                <w:b/>
              </w:rPr>
              <w:t>Income tax benefit (expense) (Non-GAAP)</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(2,224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(1,301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jc w:val="right"/>
              <w:rPr/>
            </w:pPr>
            <w:r>
              <w:rPr/>
              <w:t>(2,687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(5,757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(13,372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(57,143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(92,316</w:t>
            </w:r>
          </w:p>
        </w:tc>
        <w:tc>
          <w:tcPr>
            <w:tcW w:w="110" w:type="dxa"/>
            <w:tcBorders/>
            <w:shd w:fill="CCEEFF" w:val="clear"/>
            <w:vAlign w:val="center"/>
          </w:tcPr>
          <w:p>
            <w:pPr>
              <w:pStyle w:val="TableContents"/>
              <w:bidi w:val="0"/>
              <w:spacing w:before="0" w:after="283"/>
              <w:jc w:val="left"/>
              <w:rPr/>
            </w:pPr>
            <w:r>
              <w:rPr/>
              <w:t>)</w:t>
            </w:r>
          </w:p>
        </w:tc>
      </w:tr>
      <w:tr>
        <w:trPr/>
        <w:tc>
          <w:tcPr>
            <w:tcW w:w="1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635"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shd w:fill="FFFFFF" w:val="clear"/>
            <w:vAlign w:val="center"/>
          </w:tcPr>
          <w:p>
            <w:pPr>
              <w:pStyle w:val="TableContents"/>
              <w:bidi w:val="0"/>
              <w:spacing w:before="0" w:after="283"/>
              <w:jc w:val="left"/>
              <w:rPr/>
            </w:pPr>
            <w:r>
              <w:rPr/>
              <w:t> </w:t>
            </w:r>
          </w:p>
        </w:tc>
        <w:tc>
          <w:tcPr>
            <w:tcW w:w="890" w:type="dxa"/>
            <w:tcBorders/>
            <w:shd w:fill="FFFFFF" w:val="clear"/>
            <w:vAlign w:val="center"/>
          </w:tcPr>
          <w:p>
            <w:pPr>
              <w:pStyle w:val="TableContents"/>
              <w:bidi w:val="0"/>
              <w:spacing w:before="0" w:after="283"/>
              <w:jc w:val="right"/>
              <w:rPr/>
            </w:pPr>
            <w:r>
              <w:rPr/>
              <w:t> </w:t>
            </w:r>
          </w:p>
        </w:tc>
        <w:tc>
          <w:tcPr>
            <w:tcW w:w="11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b/>
              </w:rPr>
            </w:pPr>
            <w:r>
              <w:rPr>
                <w:b/>
              </w:rPr>
              <w:t>Equity method investments income (loss) (GAAP)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(376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35" w:type="dxa"/>
            <w:tcBorders/>
            <w:shd w:fill="CCEEFF" w:val="clear"/>
            <w:vAlign w:val="center"/>
          </w:tcPr>
          <w:p>
            <w:pPr>
              <w:pStyle w:val="TableContents"/>
              <w:bidi w:val="0"/>
              <w:spacing w:before="0" w:after="283"/>
              <w:jc w:val="right"/>
              <w:rPr/>
            </w:pPr>
            <w:r>
              <w:rPr/>
              <w:t>(288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(960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(1,896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65" w:type="dxa"/>
            <w:tcBorders/>
            <w:shd w:fill="CCEEFF" w:val="clear"/>
            <w:vAlign w:val="center"/>
          </w:tcPr>
          <w:p>
            <w:pPr>
              <w:pStyle w:val="TableContents"/>
              <w:bidi w:val="0"/>
              <w:spacing w:before="0" w:after="283"/>
              <w:jc w:val="left"/>
              <w:rPr/>
            </w:pPr>
            <w:r>
              <w:rPr/>
              <w:t>$</w:t>
            </w:r>
          </w:p>
        </w:tc>
        <w:tc>
          <w:tcPr>
            <w:tcW w:w="890" w:type="dxa"/>
            <w:tcBorders/>
            <w:shd w:fill="CCEEFF" w:val="clear"/>
            <w:vAlign w:val="center"/>
          </w:tcPr>
          <w:p>
            <w:pPr>
              <w:pStyle w:val="TableContents"/>
              <w:bidi w:val="0"/>
              <w:spacing w:before="0" w:after="283"/>
              <w:jc w:val="right"/>
              <w:rPr/>
            </w:pPr>
            <w:r>
              <w:rPr/>
              <w:t>(350</w:t>
            </w:r>
          </w:p>
        </w:tc>
        <w:tc>
          <w:tcPr>
            <w:tcW w:w="110" w:type="dxa"/>
            <w:tcBorders/>
            <w:shd w:fill="CCEEFF" w:val="clear"/>
            <w:vAlign w:val="center"/>
          </w:tcPr>
          <w:p>
            <w:pPr>
              <w:pStyle w:val="TableContents"/>
              <w:bidi w:val="0"/>
              <w:spacing w:before="0" w:after="283"/>
              <w:jc w:val="left"/>
              <w:rPr/>
            </w:pPr>
            <w:r>
              <w:rPr/>
              <w:t>)</w:t>
            </w:r>
          </w:p>
        </w:tc>
      </w:tr>
      <w:tr>
        <w:trPr/>
        <w:tc>
          <w:tcPr>
            <w:tcW w:w="1430" w:type="dxa"/>
            <w:tcBorders/>
            <w:shd w:fill="FFFFFF" w:val="clear"/>
            <w:vAlign w:val="center"/>
          </w:tcPr>
          <w:p>
            <w:pPr>
              <w:pStyle w:val="TableContents"/>
              <w:bidi w:val="0"/>
              <w:spacing w:before="0" w:after="283"/>
              <w:jc w:val="left"/>
              <w:rPr/>
            </w:pPr>
            <w:r>
              <w:rPr/>
              <w:t>Loss from equity method investments</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FFFFFF" w:val="clear"/>
            <w:tcMar>
              <w:bottom w:w="28" w:type="dxa"/>
            </w:tcMar>
            <w:vAlign w:val="center"/>
          </w:tcPr>
          <w:p>
            <w:pPr>
              <w:pStyle w:val="TableContents"/>
              <w:bidi w:val="0"/>
              <w:spacing w:before="0" w:after="283"/>
              <w:jc w:val="right"/>
              <w:rPr/>
            </w:pPr>
            <w:r>
              <w:rPr/>
              <w:t>376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635" w:type="dxa"/>
            <w:tcBorders>
              <w:bottom w:val="single" w:sz="8" w:space="0" w:color="000000"/>
            </w:tcBorders>
            <w:shd w:fill="FFFFFF" w:val="clear"/>
            <w:tcMar>
              <w:bottom w:w="28" w:type="dxa"/>
            </w:tcMar>
            <w:vAlign w:val="center"/>
          </w:tcPr>
          <w:p>
            <w:pPr>
              <w:pStyle w:val="TableContents"/>
              <w:bidi w:val="0"/>
              <w:spacing w:before="0" w:after="283"/>
              <w:jc w:val="right"/>
              <w:rPr/>
            </w:pPr>
            <w:r>
              <w:rPr/>
              <w:t>288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960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1,896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5"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890" w:type="dxa"/>
            <w:tcBorders>
              <w:bottom w:val="single" w:sz="8" w:space="0" w:color="000000"/>
            </w:tcBorders>
            <w:shd w:fill="FFFFFF" w:val="clear"/>
            <w:tcMar>
              <w:bottom w:w="28" w:type="dxa"/>
            </w:tcMar>
            <w:vAlign w:val="center"/>
          </w:tcPr>
          <w:p>
            <w:pPr>
              <w:pStyle w:val="TableContents"/>
              <w:bidi w:val="0"/>
              <w:spacing w:before="0" w:after="283"/>
              <w:jc w:val="right"/>
              <w:rPr/>
            </w:pPr>
            <w:r>
              <w:rPr/>
              <w:t>350</w:t>
            </w:r>
          </w:p>
        </w:tc>
        <w:tc>
          <w:tcPr>
            <w:tcW w:w="11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b/>
              </w:rPr>
            </w:pPr>
            <w:r>
              <w:rPr>
                <w:b/>
              </w:rPr>
              <w:t>Equity method investments income (loss) (Non-GAAP)</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941"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635"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5"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890" w:type="dxa"/>
            <w:tcBorders>
              <w:bottom w:val="double" w:sz="6" w:space="0" w:color="000000"/>
            </w:tcBorders>
            <w:shd w:fill="CCEEFF" w:val="clear"/>
            <w:tcMar>
              <w:bottom w:w="28" w:type="dxa"/>
            </w:tcM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SOLAREDGE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FINANCIAL MEASURES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 and percentages)</w:t>
      </w:r>
    </w:p>
    <w:p>
      <w:pPr>
        <w:pStyle w:val="TextBody"/>
        <w:bidi w:val="0"/>
        <w:spacing w:before="0" w:after="0"/>
        <w:ind w:left="0" w:right="0" w:hanging="0"/>
        <w:jc w:val="left"/>
        <w:rPr>
          <w:caps w:val="false"/>
          <w:smallCaps w:val="false"/>
        </w:rPr>
      </w:pPr>
      <w:r>
        <w:rPr>
          <w:caps w:val="false"/>
          <w:smallCaps w:val="false"/>
        </w:rPr>
        <w:t> </w:t>
      </w:r>
    </w:p>
    <w:tbl>
      <w:tblPr>
        <w:tblW w:w="10965" w:type="dxa"/>
        <w:jc w:val="left"/>
        <w:tblInd w:w="0" w:type="dxa"/>
        <w:tblLayout w:type="fixed"/>
        <w:tblCellMar>
          <w:top w:w="0" w:type="dxa"/>
          <w:left w:w="0" w:type="dxa"/>
          <w:bottom w:w="0" w:type="dxa"/>
          <w:right w:w="0" w:type="dxa"/>
        </w:tblCellMar>
      </w:tblPr>
      <w:tblGrid>
        <w:gridCol w:w="1430"/>
        <w:gridCol w:w="60"/>
        <w:gridCol w:w="140"/>
        <w:gridCol w:w="755"/>
        <w:gridCol w:w="95"/>
        <w:gridCol w:w="60"/>
        <w:gridCol w:w="140"/>
        <w:gridCol w:w="755"/>
        <w:gridCol w:w="95"/>
        <w:gridCol w:w="60"/>
        <w:gridCol w:w="145"/>
        <w:gridCol w:w="910"/>
        <w:gridCol w:w="95"/>
        <w:gridCol w:w="60"/>
        <w:gridCol w:w="174"/>
        <w:gridCol w:w="941"/>
        <w:gridCol w:w="95"/>
        <w:gridCol w:w="60"/>
        <w:gridCol w:w="140"/>
        <w:gridCol w:w="875"/>
        <w:gridCol w:w="95"/>
        <w:gridCol w:w="60"/>
        <w:gridCol w:w="145"/>
        <w:gridCol w:w="910"/>
        <w:gridCol w:w="95"/>
        <w:gridCol w:w="60"/>
        <w:gridCol w:w="140"/>
        <w:gridCol w:w="1055"/>
        <w:gridCol w:w="95"/>
        <w:gridCol w:w="60"/>
        <w:gridCol w:w="157"/>
        <w:gridCol w:w="898"/>
        <w:gridCol w:w="110"/>
      </w:tblGrid>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95"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615"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14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w:t>
              <w:br/>
              <w:t>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1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9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5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110" w:type="dxa"/>
            <w:tcBorders/>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b/>
              </w:rPr>
            </w:pPr>
            <w:r>
              <w:rPr>
                <w:b/>
              </w:rPr>
              <w:t>Net income (loss) (GAAP)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(30,753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755" w:type="dxa"/>
            <w:tcBorders/>
            <w:shd w:fill="CCEEFF" w:val="clear"/>
            <w:vAlign w:val="center"/>
          </w:tcPr>
          <w:p>
            <w:pPr>
              <w:pStyle w:val="TableContents"/>
              <w:bidi w:val="0"/>
              <w:spacing w:before="0" w:after="283"/>
              <w:jc w:val="right"/>
              <w:rPr/>
            </w:pPr>
            <w:r>
              <w:rPr/>
              <w:t>(57,366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(132,121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w:t>
            </w:r>
          </w:p>
        </w:tc>
        <w:tc>
          <w:tcPr>
            <w:tcW w:w="941" w:type="dxa"/>
            <w:tcBorders/>
            <w:shd w:fill="CCEEFF" w:val="clear"/>
            <w:vAlign w:val="center"/>
          </w:tcPr>
          <w:p>
            <w:pPr>
              <w:pStyle w:val="TableContents"/>
              <w:bidi w:val="0"/>
              <w:spacing w:before="0" w:after="283"/>
              <w:jc w:val="right"/>
              <w:rPr/>
            </w:pPr>
            <w:r>
              <w:rPr/>
              <w:t>(50,060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(124,744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w:t>
            </w:r>
          </w:p>
        </w:tc>
        <w:tc>
          <w:tcPr>
            <w:tcW w:w="910" w:type="dxa"/>
            <w:tcBorders/>
            <w:shd w:fill="CCEEFF" w:val="clear"/>
            <w:vAlign w:val="center"/>
          </w:tcPr>
          <w:p>
            <w:pPr>
              <w:pStyle w:val="TableContents"/>
              <w:bidi w:val="0"/>
              <w:spacing w:before="0" w:after="283"/>
              <w:jc w:val="right"/>
              <w:rPr/>
            </w:pPr>
            <w:r>
              <w:rPr/>
              <w:t>(405,448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055" w:type="dxa"/>
            <w:tcBorders/>
            <w:shd w:fill="CCEEFF" w:val="clear"/>
            <w:vAlign w:val="center"/>
          </w:tcPr>
          <w:p>
            <w:pPr>
              <w:pStyle w:val="TableContents"/>
              <w:bidi w:val="0"/>
              <w:spacing w:before="0" w:after="283"/>
              <w:jc w:val="right"/>
              <w:rPr/>
            </w:pPr>
            <w:r>
              <w:rPr/>
              <w:t>(1,806,357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w:t>
            </w:r>
          </w:p>
        </w:tc>
        <w:tc>
          <w:tcPr>
            <w:tcW w:w="898" w:type="dxa"/>
            <w:tcBorders/>
            <w:shd w:fill="CCEEFF" w:val="clear"/>
            <w:vAlign w:val="center"/>
          </w:tcPr>
          <w:p>
            <w:pPr>
              <w:pStyle w:val="TableContents"/>
              <w:bidi w:val="0"/>
              <w:spacing w:before="0" w:after="283"/>
              <w:jc w:val="right"/>
              <w:rPr/>
            </w:pPr>
            <w:r>
              <w:rPr/>
              <w:t>34,329</w:t>
            </w:r>
          </w:p>
        </w:tc>
        <w:tc>
          <w:tcPr>
            <w:tcW w:w="11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Revenues from finance component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(572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(498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(456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(351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(304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(1,375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(984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(834</w:t>
            </w:r>
          </w:p>
        </w:tc>
        <w:tc>
          <w:tcPr>
            <w:tcW w:w="110" w:type="dxa"/>
            <w:tcBorders/>
            <w:shd w:fill="FFFFFF" w:val="clear"/>
            <w:vAlign w:val="center"/>
          </w:tcPr>
          <w:p>
            <w:pPr>
              <w:pStyle w:val="TableContents"/>
              <w:bidi w:val="0"/>
              <w:spacing w:before="0" w:after="283"/>
              <w:jc w:val="left"/>
              <w:rPr/>
            </w:pPr>
            <w:r>
              <w:rPr/>
              <w:t>)</w:t>
            </w:r>
          </w:p>
        </w:tc>
      </w:tr>
      <w:tr>
        <w:trPr/>
        <w:tc>
          <w:tcPr>
            <w:tcW w:w="1430" w:type="dxa"/>
            <w:tcBorders/>
            <w:shd w:fill="CCEEFF" w:val="clear"/>
            <w:vAlign w:val="center"/>
          </w:tcPr>
          <w:p>
            <w:pPr>
              <w:pStyle w:val="TableContents"/>
              <w:bidi w:val="0"/>
              <w:spacing w:before="0" w:after="283"/>
              <w:jc w:val="left"/>
              <w:rPr/>
            </w:pPr>
            <w:r>
              <w:rPr/>
              <w:t>Discontinued operation</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(2,181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6,953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(13,828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29,036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17,101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28,214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37,036</w:t>
            </w:r>
          </w:p>
        </w:tc>
        <w:tc>
          <w:tcPr>
            <w:tcW w:w="11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19,697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19,852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19,973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21,885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19,261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92,545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137,251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149,945</w:t>
            </w:r>
          </w:p>
        </w:tc>
        <w:tc>
          <w:tcPr>
            <w:tcW w:w="11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Amortization of stock-based compensation capitalized in inventories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613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825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882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2,701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3,138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1,100</w:t>
            </w:r>
          </w:p>
        </w:tc>
        <w:tc>
          <w:tcPr>
            <w:tcW w:w="11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Amortization and depreciation of acquired assets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615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611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617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599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2,742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8,017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7,969</w:t>
            </w:r>
          </w:p>
        </w:tc>
        <w:tc>
          <w:tcPr>
            <w:tcW w:w="11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Amortization of stock-based compensation capitalized in assets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110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Restructuring charges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649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767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457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877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5,144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20,934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23,154</w:t>
            </w:r>
          </w:p>
        </w:tc>
        <w:tc>
          <w:tcPr>
            <w:tcW w:w="11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Assets impairment and disposal by abandonment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6,646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970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3,135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672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1,967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5,998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251,823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30,790</w:t>
            </w:r>
          </w:p>
        </w:tc>
        <w:tc>
          <w:tcPr>
            <w:tcW w:w="11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Loss (gain) from assets sales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8,327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7,117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158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17,108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23,721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5,746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(1,262</w:t>
            </w:r>
          </w:p>
        </w:tc>
        <w:tc>
          <w:tcPr>
            <w:tcW w:w="110" w:type="dxa"/>
            <w:tcBorders/>
            <w:shd w:fill="FFFFFF" w:val="clear"/>
            <w:vAlign w:val="center"/>
          </w:tcPr>
          <w:p>
            <w:pPr>
              <w:pStyle w:val="TableContents"/>
              <w:bidi w:val="0"/>
              <w:spacing w:before="0" w:after="283"/>
              <w:jc w:val="left"/>
              <w:rPr/>
            </w:pPr>
            <w:r>
              <w:rPr/>
              <w:t>)</w:t>
            </w:r>
          </w:p>
        </w:tc>
      </w:tr>
      <w:tr>
        <w:trPr/>
        <w:tc>
          <w:tcPr>
            <w:tcW w:w="1430" w:type="dxa"/>
            <w:tcBorders/>
            <w:shd w:fill="CCEEFF" w:val="clear"/>
            <w:vAlign w:val="center"/>
          </w:tcPr>
          <w:p>
            <w:pPr>
              <w:pStyle w:val="TableContents"/>
              <w:bidi w:val="0"/>
              <w:spacing w:before="0" w:after="283"/>
              <w:jc w:val="left"/>
              <w:rPr/>
            </w:pPr>
            <w:r>
              <w:rPr/>
              <w:t>Certain litigation and other contingencies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(399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1,786</w:t>
            </w:r>
          </w:p>
        </w:tc>
        <w:tc>
          <w:tcPr>
            <w:tcW w:w="11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Acquisition costs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135</w:t>
            </w:r>
          </w:p>
        </w:tc>
        <w:tc>
          <w:tcPr>
            <w:tcW w:w="11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Non cash interest expense</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5,208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4,793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4,420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4,462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4,326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17,259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14,877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12,703</w:t>
            </w:r>
          </w:p>
        </w:tc>
        <w:tc>
          <w:tcPr>
            <w:tcW w:w="11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CTA reclassification upon liquidation of a foreign subsidiary</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225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59,520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59,520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One-time foreign exchange impact from VAT settlement agreement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(3,900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10,963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10,963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Currency fluctuation related to lease standard</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4,382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(317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3,360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1,552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7,151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10,430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(744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(3,055</w:t>
            </w:r>
          </w:p>
        </w:tc>
        <w:tc>
          <w:tcPr>
            <w:tcW w:w="110" w:type="dxa"/>
            <w:tcBorders/>
            <w:shd w:fill="FFFFFF" w:val="clear"/>
            <w:vAlign w:val="center"/>
          </w:tcPr>
          <w:p>
            <w:pPr>
              <w:pStyle w:val="TableContents"/>
              <w:bidi w:val="0"/>
              <w:spacing w:before="0" w:after="283"/>
              <w:jc w:val="left"/>
              <w:rPr/>
            </w:pPr>
            <w:r>
              <w:rPr/>
              <w:t>)</w:t>
            </w:r>
          </w:p>
        </w:tc>
      </w:tr>
      <w:tr>
        <w:trPr/>
        <w:tc>
          <w:tcPr>
            <w:tcW w:w="1430" w:type="dxa"/>
            <w:tcBorders/>
            <w:shd w:fill="CCEEFF" w:val="clear"/>
            <w:vAlign w:val="center"/>
          </w:tcPr>
          <w:p>
            <w:pPr>
              <w:pStyle w:val="TableContents"/>
              <w:bidi w:val="0"/>
              <w:spacing w:before="0" w:after="283"/>
              <w:jc w:val="left"/>
              <w:rPr/>
            </w:pPr>
            <w:r>
              <w:rPr/>
              <w:t>Loss (gain) from sale of equity and debt investments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(2,966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193</w:t>
            </w:r>
          </w:p>
        </w:tc>
        <w:tc>
          <w:tcPr>
            <w:tcW w:w="11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Gain from business combination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(1,125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Gain from the repurchase of convertible notes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(146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(15,456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Loss (gain) from sale from private held companies</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155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(4,017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(3,862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283"/>
              <w:jc w:val="left"/>
              <w:rPr/>
            </w:pPr>
            <w:r>
              <w:rPr/>
              <w:t>Loss from impairment of  private held companies</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6,427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jc w:val="left"/>
              <w:rPr/>
            </w:pPr>
            <w:r>
              <w:rPr/>
              <w:t> </w:t>
            </w:r>
          </w:p>
        </w:tc>
        <w:tc>
          <w:tcPr>
            <w:tcW w:w="941" w:type="dxa"/>
            <w:tcBorders/>
            <w:shd w:fill="CCEEFF" w:val="clear"/>
            <w:vAlign w:val="center"/>
          </w:tcPr>
          <w:p>
            <w:pPr>
              <w:pStyle w:val="TableContents"/>
              <w:bidi w:val="0"/>
              <w:spacing w:before="0" w:after="283"/>
              <w:jc w:val="right"/>
              <w:rPr/>
            </w:pPr>
            <w:r>
              <w:rPr/>
              <w:t>15,011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shd w:fill="CCEEFF" w:val="clear"/>
            <w:vAlign w:val="center"/>
          </w:tcPr>
          <w:p>
            <w:pPr>
              <w:pStyle w:val="TableContents"/>
              <w:bidi w:val="0"/>
              <w:spacing w:before="0" w:after="283"/>
              <w:jc w:val="left"/>
              <w:rPr/>
            </w:pPr>
            <w:r>
              <w:rPr/>
              <w:t> </w:t>
            </w:r>
          </w:p>
        </w:tc>
        <w:tc>
          <w:tcPr>
            <w:tcW w:w="910" w:type="dxa"/>
            <w:tcBorders/>
            <w:shd w:fill="CCEEFF" w:val="clear"/>
            <w:vAlign w:val="center"/>
          </w:tcPr>
          <w:p>
            <w:pPr>
              <w:pStyle w:val="TableContents"/>
              <w:bidi w:val="0"/>
              <w:spacing w:before="0" w:after="283"/>
              <w:jc w:val="right"/>
              <w:rPr/>
            </w:pPr>
            <w:r>
              <w:rPr/>
              <w:t>21,438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right"/>
              <w:rPr/>
            </w:pPr>
            <w:r>
              <w:rPr/>
              <w:t>5,000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shd w:fill="CCEEFF" w:val="clear"/>
            <w:vAlign w:val="center"/>
          </w:tcPr>
          <w:p>
            <w:pPr>
              <w:pStyle w:val="TableContents"/>
              <w:bidi w:val="0"/>
              <w:spacing w:before="0" w:after="283"/>
              <w:jc w:val="left"/>
              <w:rPr/>
            </w:pPr>
            <w:r>
              <w:rPr/>
              <w:t> </w:t>
            </w:r>
          </w:p>
        </w:tc>
        <w:tc>
          <w:tcPr>
            <w:tcW w:w="898" w:type="dxa"/>
            <w:tcBorders/>
            <w:shd w:fill="CCEEFF" w:val="clear"/>
            <w:vAlign w:val="center"/>
          </w:tcPr>
          <w:p>
            <w:pPr>
              <w:pStyle w:val="TableContents"/>
              <w:bidi w:val="0"/>
              <w:spacing w:before="0" w:after="283"/>
              <w:jc w:val="right"/>
              <w:rPr/>
            </w:pPr>
            <w:r>
              <w:rPr/>
              <w:t>—</w:t>
            </w:r>
          </w:p>
        </w:tc>
        <w:tc>
          <w:tcPr>
            <w:tcW w:w="11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Income tax adjustment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t>(15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389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41" w:type="dxa"/>
            <w:tcBorders/>
            <w:shd w:fill="FFFFFF" w:val="clear"/>
            <w:vAlign w:val="center"/>
          </w:tcPr>
          <w:p>
            <w:pPr>
              <w:pStyle w:val="TableContents"/>
              <w:bidi w:val="0"/>
              <w:spacing w:before="0" w:after="283"/>
              <w:jc w:val="right"/>
              <w:rPr/>
            </w:pPr>
            <w:r>
              <w:rPr/>
              <w:t>(124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(100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pPr>
            <w:r>
              <w:rPr/>
              <w:t>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055" w:type="dxa"/>
            <w:tcBorders/>
            <w:shd w:fill="FFFFFF" w:val="clear"/>
            <w:vAlign w:val="center"/>
          </w:tcPr>
          <w:p>
            <w:pPr>
              <w:pStyle w:val="TableContents"/>
              <w:bidi w:val="0"/>
              <w:spacing w:before="0" w:after="283"/>
              <w:jc w:val="right"/>
              <w:rPr/>
            </w:pPr>
            <w:r>
              <w:rPr/>
              <w:t>39,007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7" w:type="dxa"/>
            <w:tcBorders/>
            <w:shd w:fill="FFFFFF" w:val="clear"/>
            <w:vAlign w:val="center"/>
          </w:tcPr>
          <w:p>
            <w:pPr>
              <w:pStyle w:val="TableContents"/>
              <w:bidi w:val="0"/>
              <w:spacing w:before="0" w:after="283"/>
              <w:jc w:val="left"/>
              <w:rPr/>
            </w:pPr>
            <w:r>
              <w:rPr/>
              <w:t> </w:t>
            </w:r>
          </w:p>
        </w:tc>
        <w:tc>
          <w:tcPr>
            <w:tcW w:w="898" w:type="dxa"/>
            <w:tcBorders/>
            <w:shd w:fill="FFFFFF" w:val="clear"/>
            <w:vAlign w:val="center"/>
          </w:tcPr>
          <w:p>
            <w:pPr>
              <w:pStyle w:val="TableContents"/>
              <w:bidi w:val="0"/>
              <w:spacing w:before="0" w:after="283"/>
              <w:jc w:val="right"/>
              <w:rPr/>
            </w:pPr>
            <w:r>
              <w:rPr/>
              <w:t>(45,896</w:t>
            </w:r>
          </w:p>
        </w:tc>
        <w:tc>
          <w:tcPr>
            <w:tcW w:w="110" w:type="dxa"/>
            <w:tcBorders/>
            <w:shd w:fill="FFFFFF" w:val="clear"/>
            <w:vAlign w:val="center"/>
          </w:tcPr>
          <w:p>
            <w:pPr>
              <w:pStyle w:val="TableContents"/>
              <w:bidi w:val="0"/>
              <w:spacing w:before="0" w:after="283"/>
              <w:jc w:val="left"/>
              <w:rPr/>
            </w:pPr>
            <w:r>
              <w:rPr/>
              <w:t>)</w:t>
            </w:r>
          </w:p>
        </w:tc>
      </w:tr>
      <w:tr>
        <w:trPr/>
        <w:tc>
          <w:tcPr>
            <w:tcW w:w="1430" w:type="dxa"/>
            <w:tcBorders/>
            <w:shd w:fill="CCEEFF" w:val="clear"/>
            <w:vAlign w:val="center"/>
          </w:tcPr>
          <w:p>
            <w:pPr>
              <w:pStyle w:val="TableContents"/>
              <w:bidi w:val="0"/>
              <w:spacing w:before="0" w:after="283"/>
              <w:jc w:val="left"/>
              <w:rPr/>
            </w:pPr>
            <w:r>
              <w:rPr/>
              <w:t>Equity method adjustments</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755"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pPr>
            <w:r>
              <w:rPr/>
              <w:t>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41" w:type="dxa"/>
            <w:tcBorders>
              <w:bottom w:val="single" w:sz="8" w:space="0" w:color="000000"/>
            </w:tcBorders>
            <w:shd w:fill="CCEEFF" w:val="clear"/>
            <w:tcMar>
              <w:bottom w:w="28" w:type="dxa"/>
            </w:tcMar>
            <w:vAlign w:val="center"/>
          </w:tcPr>
          <w:p>
            <w:pPr>
              <w:pStyle w:val="TableContents"/>
              <w:bidi w:val="0"/>
              <w:spacing w:before="0" w:after="283"/>
              <w:jc w:val="right"/>
              <w:rPr/>
            </w:pPr>
            <w:r>
              <w:rPr/>
              <w:t>376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288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5"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910" w:type="dxa"/>
            <w:tcBorders>
              <w:bottom w:val="single" w:sz="8" w:space="0" w:color="000000"/>
            </w:tcBorders>
            <w:shd w:fill="CCEEFF" w:val="clear"/>
            <w:tcMar>
              <w:bottom w:w="28" w:type="dxa"/>
            </w:tcMar>
            <w:vAlign w:val="center"/>
          </w:tcPr>
          <w:p>
            <w:pPr>
              <w:pStyle w:val="TableContents"/>
              <w:bidi w:val="0"/>
              <w:spacing w:before="0" w:after="283"/>
              <w:jc w:val="right"/>
              <w:rPr/>
            </w:pPr>
            <w:r>
              <w:rPr/>
              <w:t>960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055" w:type="dxa"/>
            <w:tcBorders>
              <w:bottom w:val="single" w:sz="8" w:space="0" w:color="000000"/>
            </w:tcBorders>
            <w:shd w:fill="CCEEFF" w:val="clear"/>
            <w:tcMar>
              <w:bottom w:w="28" w:type="dxa"/>
            </w:tcMar>
            <w:vAlign w:val="center"/>
          </w:tcPr>
          <w:p>
            <w:pPr>
              <w:pStyle w:val="TableContents"/>
              <w:bidi w:val="0"/>
              <w:spacing w:before="0" w:after="283"/>
              <w:jc w:val="right"/>
              <w:rPr/>
            </w:pPr>
            <w:r>
              <w:rPr/>
              <w:t>1,896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98" w:type="dxa"/>
            <w:tcBorders>
              <w:bottom w:val="single" w:sz="8" w:space="0" w:color="000000"/>
            </w:tcBorders>
            <w:shd w:fill="CCEEFF" w:val="clear"/>
            <w:tcMar>
              <w:bottom w:w="28" w:type="dxa"/>
            </w:tcMar>
            <w:vAlign w:val="center"/>
          </w:tcPr>
          <w:p>
            <w:pPr>
              <w:pStyle w:val="TableContents"/>
              <w:bidi w:val="0"/>
              <w:spacing w:before="0" w:after="283"/>
              <w:jc w:val="right"/>
              <w:rPr/>
            </w:pPr>
            <w:r>
              <w:rPr/>
              <w:t>350</w:t>
            </w:r>
          </w:p>
        </w:tc>
        <w:tc>
          <w:tcPr>
            <w:tcW w:w="11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Net income (loss) (Non-GAAP)</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3,578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755" w:type="dxa"/>
            <w:tcBorders>
              <w:bottom w:val="double" w:sz="6" w:space="0" w:color="000000"/>
            </w:tcBorders>
            <w:shd w:fill="FFFFFF" w:val="clear"/>
            <w:tcMar>
              <w:bottom w:w="28" w:type="dxa"/>
            </w:tcMar>
            <w:vAlign w:val="center"/>
          </w:tcPr>
          <w:p>
            <w:pPr>
              <w:pStyle w:val="TableContents"/>
              <w:bidi w:val="0"/>
              <w:spacing w:before="0" w:after="283"/>
              <w:jc w:val="right"/>
              <w:rPr/>
            </w:pPr>
            <w:r>
              <w:rPr/>
              <w:t>(26,285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jc w:val="right"/>
              <w:rPr/>
            </w:pPr>
            <w:r>
              <w:rPr/>
              <w:t>(8,165</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74"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41" w:type="dxa"/>
            <w:tcBorders>
              <w:bottom w:val="double" w:sz="6" w:space="0" w:color="000000"/>
            </w:tcBorders>
            <w:shd w:fill="FFFFFF" w:val="clear"/>
            <w:tcMar>
              <w:bottom w:w="28" w:type="dxa"/>
            </w:tcMar>
            <w:vAlign w:val="center"/>
          </w:tcPr>
          <w:p>
            <w:pPr>
              <w:pStyle w:val="TableContents"/>
              <w:bidi w:val="0"/>
              <w:spacing w:before="0" w:after="283"/>
              <w:jc w:val="right"/>
              <w:rPr/>
            </w:pPr>
            <w:r>
              <w:rPr/>
              <w:t>(18,348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(47,670</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5"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910" w:type="dxa"/>
            <w:tcBorders>
              <w:bottom w:val="double" w:sz="6" w:space="0" w:color="000000"/>
            </w:tcBorders>
            <w:shd w:fill="FFFFFF" w:val="clear"/>
            <w:tcMar>
              <w:bottom w:w="28" w:type="dxa"/>
            </w:tcMar>
            <w:vAlign w:val="center"/>
          </w:tcPr>
          <w:p>
            <w:pPr>
              <w:pStyle w:val="TableContents"/>
              <w:bidi w:val="0"/>
              <w:spacing w:before="0" w:after="283"/>
              <w:jc w:val="right"/>
              <w:rPr/>
            </w:pPr>
            <w:r>
              <w:rPr/>
              <w:t>(140,301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1055" w:type="dxa"/>
            <w:tcBorders>
              <w:bottom w:val="double" w:sz="6" w:space="0" w:color="000000"/>
            </w:tcBorders>
            <w:shd w:fill="FFFFFF" w:val="clear"/>
            <w:tcMar>
              <w:bottom w:w="28" w:type="dxa"/>
            </w:tcMar>
            <w:vAlign w:val="center"/>
          </w:tcPr>
          <w:p>
            <w:pPr>
              <w:pStyle w:val="TableContents"/>
              <w:bidi w:val="0"/>
              <w:spacing w:before="0" w:after="283"/>
              <w:jc w:val="right"/>
              <w:rPr/>
            </w:pPr>
            <w:r>
              <w:rPr/>
              <w:t>(1,312,119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98" w:type="dxa"/>
            <w:tcBorders>
              <w:bottom w:val="double" w:sz="6" w:space="0" w:color="000000"/>
            </w:tcBorders>
            <w:shd w:fill="FFFFFF" w:val="clear"/>
            <w:tcMar>
              <w:bottom w:w="28" w:type="dxa"/>
            </w:tcMar>
            <w:vAlign w:val="center"/>
          </w:tcPr>
          <w:p>
            <w:pPr>
              <w:pStyle w:val="TableContents"/>
              <w:bidi w:val="0"/>
              <w:spacing w:before="0" w:after="283"/>
              <w:jc w:val="right"/>
              <w:rPr/>
            </w:pPr>
            <w:r>
              <w:rPr/>
              <w:t>248,443</w:t>
            </w:r>
          </w:p>
        </w:tc>
        <w:tc>
          <w:tcPr>
            <w:tcW w:w="11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SOLAREDGE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FINANCIAL MEASURES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 and percentages)</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99"/>
        <w:gridCol w:w="60"/>
        <w:gridCol w:w="142"/>
        <w:gridCol w:w="523"/>
        <w:gridCol w:w="95"/>
        <w:gridCol w:w="60"/>
        <w:gridCol w:w="153"/>
        <w:gridCol w:w="568"/>
        <w:gridCol w:w="95"/>
        <w:gridCol w:w="60"/>
        <w:gridCol w:w="227"/>
        <w:gridCol w:w="839"/>
        <w:gridCol w:w="95"/>
        <w:gridCol w:w="60"/>
        <w:gridCol w:w="240"/>
        <w:gridCol w:w="886"/>
        <w:gridCol w:w="95"/>
        <w:gridCol w:w="60"/>
        <w:gridCol w:w="142"/>
        <w:gridCol w:w="523"/>
        <w:gridCol w:w="95"/>
        <w:gridCol w:w="60"/>
        <w:gridCol w:w="227"/>
        <w:gridCol w:w="839"/>
        <w:gridCol w:w="95"/>
        <w:gridCol w:w="60"/>
        <w:gridCol w:w="192"/>
        <w:gridCol w:w="875"/>
        <w:gridCol w:w="95"/>
        <w:gridCol w:w="60"/>
        <w:gridCol w:w="227"/>
        <w:gridCol w:w="839"/>
        <w:gridCol w:w="119"/>
      </w:tblGrid>
      <w:tr>
        <w:trPr/>
        <w:tc>
          <w:tcPr>
            <w:tcW w:w="14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63"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9"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9" w:type="dxa"/>
            <w:tcBorders/>
            <w:vAlign w:val="center"/>
          </w:tcPr>
          <w:p>
            <w:pPr>
              <w:pStyle w:val="TableContents"/>
              <w:bidi w:val="0"/>
              <w:spacing w:before="0" w:after="283"/>
              <w:jc w:val="left"/>
              <w:rPr/>
            </w:pPr>
            <w:r>
              <w:rPr/>
              <w:t> </w:t>
            </w:r>
          </w:p>
        </w:tc>
      </w:tr>
      <w:tr>
        <w:trPr/>
        <w:tc>
          <w:tcPr>
            <w:tcW w:w="1499"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119" w:type="dxa"/>
            <w:tcBorders/>
            <w:vAlign w:val="center"/>
          </w:tcPr>
          <w:p>
            <w:pPr>
              <w:pStyle w:val="TableContents"/>
              <w:bidi w:val="0"/>
              <w:spacing w:before="0" w:after="283"/>
              <w:jc w:val="left"/>
              <w:rPr/>
            </w:pPr>
            <w:r>
              <w:rPr/>
              <w:t> </w:t>
            </w:r>
          </w:p>
        </w:tc>
      </w:tr>
      <w:tr>
        <w:trPr/>
        <w:tc>
          <w:tcPr>
            <w:tcW w:w="1499" w:type="dxa"/>
            <w:tcBorders/>
            <w:shd w:fill="CCEEFF" w:val="clear"/>
            <w:vAlign w:val="center"/>
          </w:tcPr>
          <w:p>
            <w:pPr>
              <w:pStyle w:val="TableContents"/>
              <w:bidi w:val="0"/>
              <w:spacing w:before="0" w:after="283"/>
              <w:jc w:val="left"/>
              <w:rPr/>
            </w:pPr>
            <w:r>
              <w:rPr/>
              <w:t>Net basic earnings (loss) per share (GAAP)</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23" w:type="dxa"/>
            <w:tcBorders/>
            <w:shd w:fill="CCEEFF" w:val="clear"/>
            <w:vAlign w:val="center"/>
          </w:tcPr>
          <w:p>
            <w:pPr>
              <w:pStyle w:val="TableContents"/>
              <w:bidi w:val="0"/>
              <w:spacing w:before="0" w:after="283"/>
              <w:jc w:val="right"/>
              <w:rPr/>
            </w:pPr>
            <w:r>
              <w:rPr/>
              <w:t>(0.50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568" w:type="dxa"/>
            <w:tcBorders/>
            <w:shd w:fill="CCEEFF" w:val="clear"/>
            <w:vAlign w:val="center"/>
          </w:tcPr>
          <w:p>
            <w:pPr>
              <w:pStyle w:val="TableContents"/>
              <w:bidi w:val="0"/>
              <w:spacing w:before="0" w:after="283"/>
              <w:jc w:val="right"/>
              <w:rPr/>
            </w:pPr>
            <w:r>
              <w:rPr/>
              <w:t>(0.95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839" w:type="dxa"/>
            <w:tcBorders/>
            <w:shd w:fill="CCEEFF" w:val="clear"/>
            <w:vAlign w:val="center"/>
          </w:tcPr>
          <w:p>
            <w:pPr>
              <w:pStyle w:val="TableContents"/>
              <w:bidi w:val="0"/>
              <w:spacing w:before="0" w:after="283"/>
              <w:jc w:val="right"/>
              <w:rPr/>
            </w:pPr>
            <w:r>
              <w:rPr/>
              <w:t>(2.21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886" w:type="dxa"/>
            <w:tcBorders/>
            <w:shd w:fill="CCEEFF" w:val="clear"/>
            <w:vAlign w:val="center"/>
          </w:tcPr>
          <w:p>
            <w:pPr>
              <w:pStyle w:val="TableContents"/>
              <w:bidi w:val="0"/>
              <w:spacing w:before="0" w:after="283"/>
              <w:jc w:val="right"/>
              <w:rPr/>
            </w:pPr>
            <w:r>
              <w:rPr/>
              <w:t>(0.84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23" w:type="dxa"/>
            <w:tcBorders/>
            <w:shd w:fill="CCEEFF" w:val="clear"/>
            <w:vAlign w:val="center"/>
          </w:tcPr>
          <w:p>
            <w:pPr>
              <w:pStyle w:val="TableContents"/>
              <w:bidi w:val="0"/>
              <w:spacing w:before="0" w:after="283"/>
              <w:jc w:val="right"/>
              <w:rPr/>
            </w:pPr>
            <w:r>
              <w:rPr/>
              <w:t>(2.13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839" w:type="dxa"/>
            <w:tcBorders/>
            <w:shd w:fill="CCEEFF" w:val="clear"/>
            <w:vAlign w:val="center"/>
          </w:tcPr>
          <w:p>
            <w:pPr>
              <w:pStyle w:val="TableContents"/>
              <w:bidi w:val="0"/>
              <w:spacing w:before="0" w:after="283"/>
              <w:jc w:val="right"/>
              <w:rPr/>
            </w:pPr>
            <w:r>
              <w:rPr/>
              <w:t>(6.88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(31.64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839" w:type="dxa"/>
            <w:tcBorders/>
            <w:shd w:fill="CCEEFF" w:val="clear"/>
            <w:vAlign w:val="center"/>
          </w:tcPr>
          <w:p>
            <w:pPr>
              <w:pStyle w:val="TableContents"/>
              <w:bidi w:val="0"/>
              <w:spacing w:before="0" w:after="283"/>
              <w:jc w:val="right"/>
              <w:rPr/>
            </w:pPr>
            <w:r>
              <w:rPr/>
              <w:t>0.61</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Revenues from finance component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(0.02</w:t>
            </w:r>
          </w:p>
        </w:tc>
        <w:tc>
          <w:tcPr>
            <w:tcW w:w="119" w:type="dxa"/>
            <w:tcBorders/>
            <w:shd w:fill="FFFFFF" w:val="clear"/>
            <w:vAlign w:val="center"/>
          </w:tcPr>
          <w:p>
            <w:pPr>
              <w:pStyle w:val="TableContents"/>
              <w:bidi w:val="0"/>
              <w:spacing w:before="0" w:after="283"/>
              <w:jc w:val="left"/>
              <w:rPr/>
            </w:pPr>
            <w:r>
              <w:rPr/>
              <w:t>)</w:t>
            </w:r>
          </w:p>
        </w:tc>
      </w:tr>
      <w:tr>
        <w:trPr/>
        <w:tc>
          <w:tcPr>
            <w:tcW w:w="1499" w:type="dxa"/>
            <w:tcBorders/>
            <w:shd w:fill="CCEEFF" w:val="clear"/>
            <w:vAlign w:val="center"/>
          </w:tcPr>
          <w:p>
            <w:pPr>
              <w:pStyle w:val="TableContents"/>
              <w:bidi w:val="0"/>
              <w:spacing w:before="0" w:after="283"/>
              <w:jc w:val="left"/>
              <w:rPr/>
            </w:pPr>
            <w:r>
              <w:rPr/>
              <w:t>Discontinued operation</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0.50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0.66</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0.32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0.37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1.57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2.65</w:t>
            </w:r>
          </w:p>
        </w:tc>
        <w:tc>
          <w:tcPr>
            <w:tcW w:w="119" w:type="dxa"/>
            <w:tcBorders/>
            <w:shd w:fill="FFFFFF" w:val="clear"/>
            <w:vAlign w:val="center"/>
          </w:tcPr>
          <w:p>
            <w:pPr>
              <w:pStyle w:val="TableContents"/>
              <w:bidi w:val="0"/>
              <w:spacing w:before="0" w:after="283"/>
              <w:jc w:val="left"/>
              <w:rPr/>
            </w:pPr>
            <w:r>
              <w:rPr/>
              <w:t> </w:t>
            </w:r>
          </w:p>
        </w:tc>
      </w:tr>
      <w:tr>
        <w:trPr/>
        <w:tc>
          <w:tcPr>
            <w:tcW w:w="1499" w:type="dxa"/>
            <w:tcBorders/>
            <w:shd w:fill="CCEEFF" w:val="clear"/>
            <w:vAlign w:val="center"/>
          </w:tcPr>
          <w:p>
            <w:pPr>
              <w:pStyle w:val="TableContents"/>
              <w:bidi w:val="0"/>
              <w:spacing w:before="0" w:after="283"/>
              <w:jc w:val="left"/>
              <w:rPr/>
            </w:pPr>
            <w:r>
              <w:rPr/>
              <w:t>Amortization of stock-based compensation capitalized in inventories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0.02</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Amortization and depreciation of acquired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0.14</w:t>
            </w:r>
          </w:p>
        </w:tc>
        <w:tc>
          <w:tcPr>
            <w:tcW w:w="119" w:type="dxa"/>
            <w:tcBorders/>
            <w:shd w:fill="FFFFFF" w:val="clear"/>
            <w:vAlign w:val="center"/>
          </w:tcPr>
          <w:p>
            <w:pPr>
              <w:pStyle w:val="TableContents"/>
              <w:bidi w:val="0"/>
              <w:spacing w:before="0" w:after="283"/>
              <w:jc w:val="left"/>
              <w:rPr/>
            </w:pPr>
            <w:r>
              <w:rPr/>
              <w:t> </w:t>
            </w:r>
          </w:p>
        </w:tc>
      </w:tr>
      <w:tr>
        <w:trPr/>
        <w:tc>
          <w:tcPr>
            <w:tcW w:w="1499" w:type="dxa"/>
            <w:tcBorders/>
            <w:shd w:fill="CCEEFF" w:val="clear"/>
            <w:vAlign w:val="center"/>
          </w:tcPr>
          <w:p>
            <w:pPr>
              <w:pStyle w:val="TableContents"/>
              <w:bidi w:val="0"/>
              <w:spacing w:before="0" w:after="283"/>
              <w:jc w:val="left"/>
              <w:rPr/>
            </w:pPr>
            <w:r>
              <w:rPr/>
              <w:t>Amortization of stock-based compensation capitalized in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Restructuring charges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0.41</w:t>
            </w:r>
          </w:p>
        </w:tc>
        <w:tc>
          <w:tcPr>
            <w:tcW w:w="119" w:type="dxa"/>
            <w:tcBorders/>
            <w:shd w:fill="FFFFFF" w:val="clear"/>
            <w:vAlign w:val="center"/>
          </w:tcPr>
          <w:p>
            <w:pPr>
              <w:pStyle w:val="TableContents"/>
              <w:bidi w:val="0"/>
              <w:spacing w:before="0" w:after="283"/>
              <w:jc w:val="left"/>
              <w:rPr/>
            </w:pPr>
            <w:r>
              <w:rPr/>
              <w:t> </w:t>
            </w:r>
          </w:p>
        </w:tc>
      </w:tr>
      <w:tr>
        <w:trPr/>
        <w:tc>
          <w:tcPr>
            <w:tcW w:w="1499" w:type="dxa"/>
            <w:tcBorders/>
            <w:shd w:fill="CCEEFF" w:val="clear"/>
            <w:vAlign w:val="center"/>
          </w:tcPr>
          <w:p>
            <w:pPr>
              <w:pStyle w:val="TableContents"/>
              <w:bidi w:val="0"/>
              <w:spacing w:before="0" w:after="283"/>
              <w:jc w:val="left"/>
              <w:rPr/>
            </w:pPr>
            <w:r>
              <w:rPr/>
              <w:t>Assets impairment and disposal by abandonment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0.11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0.54</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Loss (gain) from assets sales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(0.02</w:t>
            </w:r>
          </w:p>
        </w:tc>
        <w:tc>
          <w:tcPr>
            <w:tcW w:w="119" w:type="dxa"/>
            <w:tcBorders/>
            <w:shd w:fill="FFFFFF" w:val="clear"/>
            <w:vAlign w:val="center"/>
          </w:tcPr>
          <w:p>
            <w:pPr>
              <w:pStyle w:val="TableContents"/>
              <w:bidi w:val="0"/>
              <w:spacing w:before="0" w:after="283"/>
              <w:jc w:val="left"/>
              <w:rPr/>
            </w:pPr>
            <w:r>
              <w:rPr/>
              <w:t>)</w:t>
            </w:r>
          </w:p>
        </w:tc>
      </w:tr>
      <w:tr>
        <w:trPr/>
        <w:tc>
          <w:tcPr>
            <w:tcW w:w="1499" w:type="dxa"/>
            <w:tcBorders/>
            <w:shd w:fill="CCEEFF" w:val="clear"/>
            <w:vAlign w:val="center"/>
          </w:tcPr>
          <w:p>
            <w:pPr>
              <w:pStyle w:val="TableContents"/>
              <w:bidi w:val="0"/>
              <w:spacing w:before="0" w:after="283"/>
              <w:jc w:val="left"/>
              <w:rPr/>
            </w:pPr>
            <w:r>
              <w:rPr/>
              <w:t>Certain litigation and other contingencies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0.03</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Acquisition costs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0.00</w:t>
            </w:r>
          </w:p>
        </w:tc>
        <w:tc>
          <w:tcPr>
            <w:tcW w:w="119" w:type="dxa"/>
            <w:tcBorders/>
            <w:shd w:fill="FFFFFF" w:val="clear"/>
            <w:vAlign w:val="center"/>
          </w:tcPr>
          <w:p>
            <w:pPr>
              <w:pStyle w:val="TableContents"/>
              <w:bidi w:val="0"/>
              <w:spacing w:before="0" w:after="283"/>
              <w:jc w:val="left"/>
              <w:rPr/>
            </w:pPr>
            <w:r>
              <w:rPr/>
              <w:t> </w:t>
            </w:r>
          </w:p>
        </w:tc>
      </w:tr>
      <w:tr>
        <w:trPr/>
        <w:tc>
          <w:tcPr>
            <w:tcW w:w="1499" w:type="dxa"/>
            <w:tcBorders/>
            <w:shd w:fill="CCEEFF" w:val="clear"/>
            <w:vAlign w:val="center"/>
          </w:tcPr>
          <w:p>
            <w:pPr>
              <w:pStyle w:val="TableContents"/>
              <w:bidi w:val="0"/>
              <w:spacing w:before="0" w:after="283"/>
              <w:jc w:val="left"/>
              <w:rPr/>
            </w:pPr>
            <w:r>
              <w:rPr/>
              <w:t>Non cash interest expense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0.07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0.23</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CTA reclassification upon liquidation of a foreign subsidiary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r>
      <w:tr>
        <w:trPr/>
        <w:tc>
          <w:tcPr>
            <w:tcW w:w="1499" w:type="dxa"/>
            <w:tcBorders/>
            <w:shd w:fill="CCEEFF" w:val="clear"/>
            <w:vAlign w:val="center"/>
          </w:tcPr>
          <w:p>
            <w:pPr>
              <w:pStyle w:val="TableContents"/>
              <w:bidi w:val="0"/>
              <w:spacing w:before="0" w:after="283"/>
              <w:jc w:val="left"/>
              <w:rPr/>
            </w:pPr>
            <w:r>
              <w:rPr/>
              <w:t>One-time foreign exchange impact from VAT settlement agreement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Currency fluctuation related to lease standard</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(0.06</w:t>
            </w:r>
          </w:p>
        </w:tc>
        <w:tc>
          <w:tcPr>
            <w:tcW w:w="119" w:type="dxa"/>
            <w:tcBorders/>
            <w:shd w:fill="FFFFFF" w:val="clear"/>
            <w:vAlign w:val="center"/>
          </w:tcPr>
          <w:p>
            <w:pPr>
              <w:pStyle w:val="TableContents"/>
              <w:bidi w:val="0"/>
              <w:spacing w:before="0" w:after="283"/>
              <w:jc w:val="left"/>
              <w:rPr/>
            </w:pPr>
            <w:r>
              <w:rPr/>
              <w:t>)</w:t>
            </w:r>
          </w:p>
        </w:tc>
      </w:tr>
      <w:tr>
        <w:trPr/>
        <w:tc>
          <w:tcPr>
            <w:tcW w:w="1499" w:type="dxa"/>
            <w:tcBorders/>
            <w:shd w:fill="CCEEFF" w:val="clear"/>
            <w:vAlign w:val="center"/>
          </w:tcPr>
          <w:p>
            <w:pPr>
              <w:pStyle w:val="TableContents"/>
              <w:bidi w:val="0"/>
              <w:spacing w:before="0" w:after="283"/>
              <w:jc w:val="left"/>
              <w:rPr/>
            </w:pPr>
            <w:r>
              <w:rPr/>
              <w:t>Loss (gain) from sale of equity and debt investments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0.01</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Gain from business combination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r>
      <w:tr>
        <w:trPr/>
        <w:tc>
          <w:tcPr>
            <w:tcW w:w="1499" w:type="dxa"/>
            <w:tcBorders/>
            <w:shd w:fill="CCEEFF" w:val="clear"/>
            <w:vAlign w:val="center"/>
          </w:tcPr>
          <w:p>
            <w:pPr>
              <w:pStyle w:val="TableContents"/>
              <w:bidi w:val="0"/>
              <w:spacing w:before="0" w:after="283"/>
              <w:jc w:val="left"/>
              <w:rPr/>
            </w:pPr>
            <w:r>
              <w:rPr/>
              <w:t>Gain from the repurchase of convertible notes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Loss (gain) from sale from private held companies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r>
      <w:tr>
        <w:trPr/>
        <w:tc>
          <w:tcPr>
            <w:tcW w:w="1499" w:type="dxa"/>
            <w:tcBorders/>
            <w:shd w:fill="CCEEFF" w:val="clear"/>
            <w:vAlign w:val="center"/>
          </w:tcPr>
          <w:p>
            <w:pPr>
              <w:pStyle w:val="TableContents"/>
              <w:bidi w:val="0"/>
              <w:spacing w:before="0" w:after="283"/>
              <w:jc w:val="left"/>
              <w:rPr/>
            </w:pPr>
            <w:r>
              <w:rPr/>
              <w:t>Loss from impairment of  private held companies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Income tax adjustment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(0.81</w:t>
            </w:r>
          </w:p>
        </w:tc>
        <w:tc>
          <w:tcPr>
            <w:tcW w:w="119" w:type="dxa"/>
            <w:tcBorders/>
            <w:shd w:fill="FFFFFF" w:val="clear"/>
            <w:vAlign w:val="center"/>
          </w:tcPr>
          <w:p>
            <w:pPr>
              <w:pStyle w:val="TableContents"/>
              <w:bidi w:val="0"/>
              <w:spacing w:before="0" w:after="283"/>
              <w:jc w:val="left"/>
              <w:rPr/>
            </w:pPr>
            <w:r>
              <w:rPr/>
              <w:t>)</w:t>
            </w:r>
          </w:p>
        </w:tc>
      </w:tr>
      <w:tr>
        <w:trPr/>
        <w:tc>
          <w:tcPr>
            <w:tcW w:w="1499" w:type="dxa"/>
            <w:tcBorders/>
            <w:shd w:fill="CCEEFF" w:val="clear"/>
            <w:vAlign w:val="center"/>
          </w:tcPr>
          <w:p>
            <w:pPr>
              <w:pStyle w:val="TableContents"/>
              <w:bidi w:val="0"/>
              <w:spacing w:before="0" w:after="283"/>
              <w:jc w:val="left"/>
              <w:rPr/>
            </w:pPr>
            <w:r>
              <w:rPr/>
              <w:t>Equity method adjustments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shd w:fill="CCEEFF" w:val="clear"/>
            <w:tcMar>
              <w:bottom w:w="28" w:type="dxa"/>
            </w:tcM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3" w:type="dxa"/>
            <w:tcBorders>
              <w:bottom w:val="single" w:sz="8" w:space="0" w:color="000000"/>
            </w:tcBorders>
            <w:shd w:fill="CCEEFF" w:val="clear"/>
            <w:tcMar>
              <w:bottom w:w="28" w:type="dxa"/>
            </w:tcM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shd w:fill="CCEEFF" w:val="clear"/>
            <w:tcMar>
              <w:bottom w:w="28" w:type="dxa"/>
            </w:tcMar>
            <w:vAlign w:val="center"/>
          </w:tcPr>
          <w:p>
            <w:pPr>
              <w:pStyle w:val="TableContents"/>
              <w:bidi w:val="0"/>
              <w:spacing w:before="0" w:after="283"/>
              <w:jc w:val="right"/>
              <w:rPr/>
            </w:pPr>
            <w:r>
              <w:rPr/>
              <w:t>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shd w:fill="CCEEFF" w:val="clear"/>
            <w:tcMar>
              <w:bottom w:w="28" w:type="dxa"/>
            </w:tcMar>
            <w:vAlign w:val="center"/>
          </w:tcPr>
          <w:p>
            <w:pPr>
              <w:pStyle w:val="TableContents"/>
              <w:bidi w:val="0"/>
              <w:spacing w:before="0" w:after="283"/>
              <w:jc w:val="right"/>
              <w:rPr/>
            </w:pPr>
            <w:r>
              <w:rPr/>
              <w:t>0.00</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Net basic earnings (loss) per share (Non-GAAP)</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23" w:type="dxa"/>
            <w:tcBorders>
              <w:bottom w:val="double" w:sz="6" w:space="0" w:color="000000"/>
            </w:tcBorders>
            <w:shd w:fill="FFFFFF" w:val="clear"/>
            <w:tcMar>
              <w:bottom w:w="28" w:type="dxa"/>
            </w:tcMar>
            <w:vAlign w:val="center"/>
          </w:tcPr>
          <w:p>
            <w:pPr>
              <w:pStyle w:val="TableContents"/>
              <w:bidi w:val="0"/>
              <w:spacing w:before="0" w:after="283"/>
              <w:jc w:val="right"/>
              <w:rPr/>
            </w:pPr>
            <w:r>
              <w:rPr/>
              <w:t>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8" w:type="dxa"/>
            <w:tcBorders>
              <w:bottom w:val="double" w:sz="6" w:space="0" w:color="000000"/>
            </w:tcBorders>
            <w:shd w:fill="FFFFFF" w:val="clear"/>
            <w:tcMar>
              <w:bottom w:w="28" w:type="dxa"/>
            </w:tcMar>
            <w:vAlign w:val="center"/>
          </w:tcPr>
          <w:p>
            <w:pPr>
              <w:pStyle w:val="TableContents"/>
              <w:bidi w:val="0"/>
              <w:spacing w:before="0" w:after="283"/>
              <w:jc w:val="right"/>
              <w:rPr/>
            </w:pPr>
            <w:r>
              <w:rPr/>
              <w:t>(0.43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9" w:type="dxa"/>
            <w:tcBorders>
              <w:bottom w:val="double" w:sz="6" w:space="0" w:color="000000"/>
            </w:tcBorders>
            <w:shd w:fill="FFFFFF" w:val="clear"/>
            <w:tcMar>
              <w:bottom w:w="28" w:type="dxa"/>
            </w:tcMar>
            <w:vAlign w:val="center"/>
          </w:tcPr>
          <w:p>
            <w:pPr>
              <w:pStyle w:val="TableContents"/>
              <w:bidi w:val="0"/>
              <w:spacing w:before="0" w:after="283"/>
              <w:jc w:val="right"/>
              <w:rPr/>
            </w:pPr>
            <w:r>
              <w:rPr/>
              <w:t>(0.14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86" w:type="dxa"/>
            <w:tcBorders>
              <w:bottom w:val="double" w:sz="6" w:space="0" w:color="000000"/>
            </w:tcBorders>
            <w:shd w:fill="FFFFFF" w:val="clear"/>
            <w:tcMar>
              <w:bottom w:w="28" w:type="dxa"/>
            </w:tcMar>
            <w:vAlign w:val="center"/>
          </w:tcPr>
          <w:p>
            <w:pPr>
              <w:pStyle w:val="TableContents"/>
              <w:bidi w:val="0"/>
              <w:spacing w:before="0" w:after="283"/>
              <w:jc w:val="right"/>
              <w:rPr/>
            </w:pPr>
            <w:r>
              <w:rPr/>
              <w:t>(0.31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23" w:type="dxa"/>
            <w:tcBorders>
              <w:bottom w:val="double" w:sz="6" w:space="0" w:color="000000"/>
            </w:tcBorders>
            <w:shd w:fill="FFFFFF" w:val="clear"/>
            <w:tcMar>
              <w:bottom w:w="28" w:type="dxa"/>
            </w:tcMar>
            <w:vAlign w:val="center"/>
          </w:tcPr>
          <w:p>
            <w:pPr>
              <w:pStyle w:val="TableContents"/>
              <w:bidi w:val="0"/>
              <w:spacing w:before="0" w:after="283"/>
              <w:jc w:val="right"/>
              <w:rPr/>
            </w:pPr>
            <w:r>
              <w:rPr/>
              <w:t>(0.81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9" w:type="dxa"/>
            <w:tcBorders>
              <w:bottom w:val="double" w:sz="6" w:space="0" w:color="000000"/>
            </w:tcBorders>
            <w:shd w:fill="FFFFFF" w:val="clear"/>
            <w:tcMar>
              <w:bottom w:w="28" w:type="dxa"/>
            </w:tcMar>
            <w:vAlign w:val="center"/>
          </w:tcPr>
          <w:p>
            <w:pPr>
              <w:pStyle w:val="TableContents"/>
              <w:bidi w:val="0"/>
              <w:spacing w:before="0" w:after="283"/>
              <w:jc w:val="right"/>
              <w:rPr/>
            </w:pPr>
            <w:r>
              <w:rPr/>
              <w:t>(2.38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(22.99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9" w:type="dxa"/>
            <w:tcBorders>
              <w:bottom w:val="double" w:sz="6" w:space="0" w:color="000000"/>
            </w:tcBorders>
            <w:shd w:fill="FFFFFF" w:val="clear"/>
            <w:tcMar>
              <w:bottom w:w="28" w:type="dxa"/>
            </w:tcMar>
            <w:vAlign w:val="center"/>
          </w:tcPr>
          <w:p>
            <w:pPr>
              <w:pStyle w:val="TableContents"/>
              <w:bidi w:val="0"/>
              <w:spacing w:before="0" w:after="283"/>
              <w:jc w:val="right"/>
              <w:rPr/>
            </w:pPr>
            <w:r>
              <w:rPr/>
              <w:t>4.39</w:t>
            </w:r>
          </w:p>
        </w:tc>
        <w:tc>
          <w:tcPr>
            <w:tcW w:w="11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SOLAREDGE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FINANCIAL MEASURES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 and percentages)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1499"/>
        <w:gridCol w:w="60"/>
        <w:gridCol w:w="142"/>
        <w:gridCol w:w="523"/>
        <w:gridCol w:w="95"/>
        <w:gridCol w:w="60"/>
        <w:gridCol w:w="153"/>
        <w:gridCol w:w="568"/>
        <w:gridCol w:w="95"/>
        <w:gridCol w:w="60"/>
        <w:gridCol w:w="227"/>
        <w:gridCol w:w="839"/>
        <w:gridCol w:w="95"/>
        <w:gridCol w:w="60"/>
        <w:gridCol w:w="240"/>
        <w:gridCol w:w="886"/>
        <w:gridCol w:w="95"/>
        <w:gridCol w:w="60"/>
        <w:gridCol w:w="142"/>
        <w:gridCol w:w="523"/>
        <w:gridCol w:w="95"/>
        <w:gridCol w:w="60"/>
        <w:gridCol w:w="227"/>
        <w:gridCol w:w="839"/>
        <w:gridCol w:w="95"/>
        <w:gridCol w:w="60"/>
        <w:gridCol w:w="192"/>
        <w:gridCol w:w="875"/>
        <w:gridCol w:w="95"/>
        <w:gridCol w:w="60"/>
        <w:gridCol w:w="227"/>
        <w:gridCol w:w="839"/>
        <w:gridCol w:w="119"/>
      </w:tblGrid>
      <w:tr>
        <w:trPr/>
        <w:tc>
          <w:tcPr>
            <w:tcW w:w="14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863"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509"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9" w:type="dxa"/>
            <w:tcBorders/>
            <w:vAlign w:val="center"/>
          </w:tcPr>
          <w:p>
            <w:pPr>
              <w:pStyle w:val="TableContents"/>
              <w:bidi w:val="0"/>
              <w:spacing w:before="0" w:after="283"/>
              <w:jc w:val="left"/>
              <w:rPr/>
            </w:pPr>
            <w:r>
              <w:rPr/>
              <w:t> </w:t>
            </w:r>
          </w:p>
        </w:tc>
      </w:tr>
      <w:tr>
        <w:trPr/>
        <w:tc>
          <w:tcPr>
            <w:tcW w:w="1499"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21"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2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6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6"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119" w:type="dxa"/>
            <w:tcBorders/>
            <w:vAlign w:val="center"/>
          </w:tcPr>
          <w:p>
            <w:pPr>
              <w:pStyle w:val="TableContents"/>
              <w:bidi w:val="0"/>
              <w:spacing w:before="0" w:after="283"/>
              <w:jc w:val="left"/>
              <w:rPr/>
            </w:pPr>
            <w:r>
              <w:rPr/>
              <w:t> </w:t>
            </w:r>
          </w:p>
        </w:tc>
      </w:tr>
      <w:tr>
        <w:trPr/>
        <w:tc>
          <w:tcPr>
            <w:tcW w:w="1499" w:type="dxa"/>
            <w:tcBorders/>
            <w:shd w:fill="CCEEFF" w:val="clear"/>
            <w:vAlign w:val="center"/>
          </w:tcPr>
          <w:p>
            <w:pPr>
              <w:pStyle w:val="TableContents"/>
              <w:bidi w:val="0"/>
              <w:spacing w:before="0" w:after="283"/>
              <w:jc w:val="left"/>
              <w:rPr>
                <w:b/>
              </w:rPr>
            </w:pPr>
            <w:r>
              <w:rPr>
                <w:b/>
              </w:rPr>
              <w:t>Net diluted earnings (loss) per share (GAAP)</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23" w:type="dxa"/>
            <w:tcBorders/>
            <w:shd w:fill="CCEEFF" w:val="clear"/>
            <w:vAlign w:val="center"/>
          </w:tcPr>
          <w:p>
            <w:pPr>
              <w:pStyle w:val="TableContents"/>
              <w:bidi w:val="0"/>
              <w:spacing w:before="0" w:after="283"/>
              <w:jc w:val="right"/>
              <w:rPr/>
            </w:pPr>
            <w:r>
              <w:rPr/>
              <w:t>(0.50</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w:t>
            </w:r>
          </w:p>
        </w:tc>
        <w:tc>
          <w:tcPr>
            <w:tcW w:w="568" w:type="dxa"/>
            <w:tcBorders/>
            <w:shd w:fill="CCEEFF" w:val="clear"/>
            <w:vAlign w:val="center"/>
          </w:tcPr>
          <w:p>
            <w:pPr>
              <w:pStyle w:val="TableContents"/>
              <w:bidi w:val="0"/>
              <w:spacing w:before="0" w:after="283"/>
              <w:jc w:val="right"/>
              <w:rPr/>
            </w:pPr>
            <w:r>
              <w:rPr/>
              <w:t>(0.95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839" w:type="dxa"/>
            <w:tcBorders/>
            <w:shd w:fill="CCEEFF" w:val="clear"/>
            <w:vAlign w:val="center"/>
          </w:tcPr>
          <w:p>
            <w:pPr>
              <w:pStyle w:val="TableContents"/>
              <w:bidi w:val="0"/>
              <w:spacing w:before="0" w:after="283"/>
              <w:jc w:val="right"/>
              <w:rPr/>
            </w:pPr>
            <w:r>
              <w:rPr/>
              <w:t>(2.21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w:t>
            </w:r>
          </w:p>
        </w:tc>
        <w:tc>
          <w:tcPr>
            <w:tcW w:w="886" w:type="dxa"/>
            <w:tcBorders/>
            <w:shd w:fill="CCEEFF" w:val="clear"/>
            <w:vAlign w:val="center"/>
          </w:tcPr>
          <w:p>
            <w:pPr>
              <w:pStyle w:val="TableContents"/>
              <w:bidi w:val="0"/>
              <w:spacing w:before="0" w:after="283"/>
              <w:jc w:val="right"/>
              <w:rPr/>
            </w:pPr>
            <w:r>
              <w:rPr/>
              <w:t>(0.84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w:t>
            </w:r>
          </w:p>
        </w:tc>
        <w:tc>
          <w:tcPr>
            <w:tcW w:w="523" w:type="dxa"/>
            <w:tcBorders/>
            <w:shd w:fill="CCEEFF" w:val="clear"/>
            <w:vAlign w:val="center"/>
          </w:tcPr>
          <w:p>
            <w:pPr>
              <w:pStyle w:val="TableContents"/>
              <w:bidi w:val="0"/>
              <w:spacing w:before="0" w:after="283"/>
              <w:jc w:val="right"/>
              <w:rPr/>
            </w:pPr>
            <w:r>
              <w:rPr/>
              <w:t>(2.13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839" w:type="dxa"/>
            <w:tcBorders/>
            <w:shd w:fill="CCEEFF" w:val="clear"/>
            <w:vAlign w:val="center"/>
          </w:tcPr>
          <w:p>
            <w:pPr>
              <w:pStyle w:val="TableContents"/>
              <w:bidi w:val="0"/>
              <w:spacing w:before="0" w:after="283"/>
              <w:jc w:val="right"/>
              <w:rPr/>
            </w:pPr>
            <w:r>
              <w:rPr/>
              <w:t>(6.88</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w:t>
            </w:r>
          </w:p>
        </w:tc>
        <w:tc>
          <w:tcPr>
            <w:tcW w:w="875" w:type="dxa"/>
            <w:tcBorders/>
            <w:shd w:fill="CCEEFF" w:val="clear"/>
            <w:vAlign w:val="center"/>
          </w:tcPr>
          <w:p>
            <w:pPr>
              <w:pStyle w:val="TableContents"/>
              <w:bidi w:val="0"/>
              <w:spacing w:before="0" w:after="283"/>
              <w:jc w:val="right"/>
              <w:rPr/>
            </w:pPr>
            <w:r>
              <w:rPr/>
              <w:t>(31.64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w:t>
            </w:r>
          </w:p>
        </w:tc>
        <w:tc>
          <w:tcPr>
            <w:tcW w:w="839" w:type="dxa"/>
            <w:tcBorders/>
            <w:shd w:fill="CCEEFF" w:val="clear"/>
            <w:vAlign w:val="center"/>
          </w:tcPr>
          <w:p>
            <w:pPr>
              <w:pStyle w:val="TableContents"/>
              <w:bidi w:val="0"/>
              <w:spacing w:before="0" w:after="283"/>
              <w:jc w:val="right"/>
              <w:rPr/>
            </w:pPr>
            <w:r>
              <w:rPr/>
              <w:t>0.60</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Revenues from finance component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(0.01</w:t>
            </w:r>
          </w:p>
        </w:tc>
        <w:tc>
          <w:tcPr>
            <w:tcW w:w="119" w:type="dxa"/>
            <w:tcBorders/>
            <w:shd w:fill="FFFFFF" w:val="clear"/>
            <w:vAlign w:val="center"/>
          </w:tcPr>
          <w:p>
            <w:pPr>
              <w:pStyle w:val="TableContents"/>
              <w:bidi w:val="0"/>
              <w:spacing w:before="0" w:after="283"/>
              <w:jc w:val="left"/>
              <w:rPr/>
            </w:pPr>
            <w:r>
              <w:rPr/>
              <w:t>)</w:t>
            </w:r>
          </w:p>
        </w:tc>
      </w:tr>
      <w:tr>
        <w:trPr/>
        <w:tc>
          <w:tcPr>
            <w:tcW w:w="1499" w:type="dxa"/>
            <w:tcBorders/>
            <w:shd w:fill="CCEEFF" w:val="clear"/>
            <w:vAlign w:val="center"/>
          </w:tcPr>
          <w:p>
            <w:pPr>
              <w:pStyle w:val="TableContents"/>
              <w:bidi w:val="0"/>
              <w:spacing w:before="0" w:after="283"/>
              <w:jc w:val="left"/>
              <w:rPr/>
            </w:pPr>
            <w:r>
              <w:rPr/>
              <w:t>Discontinued operation</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(0.04</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0.12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(0.23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0.50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0.29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0.49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0.64</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0.34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0.37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0.33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1.57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2.41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2.57</w:t>
            </w:r>
          </w:p>
        </w:tc>
        <w:tc>
          <w:tcPr>
            <w:tcW w:w="119" w:type="dxa"/>
            <w:tcBorders/>
            <w:shd w:fill="FFFFFF" w:val="clear"/>
            <w:vAlign w:val="center"/>
          </w:tcPr>
          <w:p>
            <w:pPr>
              <w:pStyle w:val="TableContents"/>
              <w:bidi w:val="0"/>
              <w:spacing w:before="0" w:after="283"/>
              <w:jc w:val="left"/>
              <w:rPr/>
            </w:pPr>
            <w:r>
              <w:rPr/>
              <w:t> </w:t>
            </w:r>
          </w:p>
        </w:tc>
      </w:tr>
      <w:tr>
        <w:trPr/>
        <w:tc>
          <w:tcPr>
            <w:tcW w:w="1499" w:type="dxa"/>
            <w:tcBorders/>
            <w:shd w:fill="CCEEFF" w:val="clear"/>
            <w:vAlign w:val="center"/>
          </w:tcPr>
          <w:p>
            <w:pPr>
              <w:pStyle w:val="TableContents"/>
              <w:bidi w:val="0"/>
              <w:spacing w:before="0" w:after="283"/>
              <w:jc w:val="left"/>
              <w:rPr/>
            </w:pPr>
            <w:r>
              <w:rPr/>
              <w:t>Amortization of stock-based compensation capitalized in inventories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0.02</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Amortization and depreciation of acquired assets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0.14</w:t>
            </w:r>
          </w:p>
        </w:tc>
        <w:tc>
          <w:tcPr>
            <w:tcW w:w="119" w:type="dxa"/>
            <w:tcBorders/>
            <w:shd w:fill="FFFFFF" w:val="clear"/>
            <w:vAlign w:val="center"/>
          </w:tcPr>
          <w:p>
            <w:pPr>
              <w:pStyle w:val="TableContents"/>
              <w:bidi w:val="0"/>
              <w:spacing w:before="0" w:after="283"/>
              <w:jc w:val="left"/>
              <w:rPr/>
            </w:pPr>
            <w:r>
              <w:rPr/>
              <w:t> </w:t>
            </w:r>
          </w:p>
        </w:tc>
      </w:tr>
      <w:tr>
        <w:trPr/>
        <w:tc>
          <w:tcPr>
            <w:tcW w:w="1499" w:type="dxa"/>
            <w:tcBorders/>
            <w:shd w:fill="CCEEFF" w:val="clear"/>
            <w:vAlign w:val="center"/>
          </w:tcPr>
          <w:p>
            <w:pPr>
              <w:pStyle w:val="TableContents"/>
              <w:bidi w:val="0"/>
              <w:spacing w:before="0" w:after="283"/>
              <w:jc w:val="left"/>
              <w:rPr/>
            </w:pPr>
            <w:r>
              <w:rPr/>
              <w:t>Amortization of stock-based compensation capitalized in assets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Restructuring charges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0.37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0.40</w:t>
            </w:r>
          </w:p>
        </w:tc>
        <w:tc>
          <w:tcPr>
            <w:tcW w:w="119" w:type="dxa"/>
            <w:tcBorders/>
            <w:shd w:fill="FFFFFF" w:val="clear"/>
            <w:vAlign w:val="center"/>
          </w:tcPr>
          <w:p>
            <w:pPr>
              <w:pStyle w:val="TableContents"/>
              <w:bidi w:val="0"/>
              <w:spacing w:before="0" w:after="283"/>
              <w:jc w:val="left"/>
              <w:rPr/>
            </w:pPr>
            <w:r>
              <w:rPr/>
              <w:t> </w:t>
            </w:r>
          </w:p>
        </w:tc>
      </w:tr>
      <w:tr>
        <w:trPr/>
        <w:tc>
          <w:tcPr>
            <w:tcW w:w="1499" w:type="dxa"/>
            <w:tcBorders/>
            <w:shd w:fill="CCEEFF" w:val="clear"/>
            <w:vAlign w:val="center"/>
          </w:tcPr>
          <w:p>
            <w:pPr>
              <w:pStyle w:val="TableContents"/>
              <w:bidi w:val="0"/>
              <w:spacing w:before="0" w:after="283"/>
              <w:jc w:val="left"/>
              <w:rPr/>
            </w:pPr>
            <w:r>
              <w:rPr/>
              <w:t>Assets impairment and disposal by abandonment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0.10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4.41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0.53</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Loss (gain) from assets sales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0.14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0.30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0.40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0.10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(0.02</w:t>
            </w:r>
          </w:p>
        </w:tc>
        <w:tc>
          <w:tcPr>
            <w:tcW w:w="119" w:type="dxa"/>
            <w:tcBorders/>
            <w:shd w:fill="FFFFFF" w:val="clear"/>
            <w:vAlign w:val="center"/>
          </w:tcPr>
          <w:p>
            <w:pPr>
              <w:pStyle w:val="TableContents"/>
              <w:bidi w:val="0"/>
              <w:spacing w:before="0" w:after="283"/>
              <w:jc w:val="left"/>
              <w:rPr/>
            </w:pPr>
            <w:r>
              <w:rPr/>
              <w:t>)</w:t>
            </w:r>
          </w:p>
        </w:tc>
      </w:tr>
      <w:tr>
        <w:trPr/>
        <w:tc>
          <w:tcPr>
            <w:tcW w:w="1499" w:type="dxa"/>
            <w:tcBorders/>
            <w:shd w:fill="CCEEFF" w:val="clear"/>
            <w:vAlign w:val="center"/>
          </w:tcPr>
          <w:p>
            <w:pPr>
              <w:pStyle w:val="TableContents"/>
              <w:bidi w:val="0"/>
              <w:spacing w:before="0" w:after="283"/>
              <w:jc w:val="left"/>
              <w:rPr/>
            </w:pPr>
            <w:r>
              <w:rPr/>
              <w:t>Certain litigation and other contingencies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0.03</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Acquisition costs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0.00</w:t>
            </w:r>
          </w:p>
        </w:tc>
        <w:tc>
          <w:tcPr>
            <w:tcW w:w="119" w:type="dxa"/>
            <w:tcBorders/>
            <w:shd w:fill="FFFFFF" w:val="clear"/>
            <w:vAlign w:val="center"/>
          </w:tcPr>
          <w:p>
            <w:pPr>
              <w:pStyle w:val="TableContents"/>
              <w:bidi w:val="0"/>
              <w:spacing w:before="0" w:after="283"/>
              <w:jc w:val="left"/>
              <w:rPr/>
            </w:pPr>
            <w:r>
              <w:rPr/>
              <w:t> </w:t>
            </w:r>
          </w:p>
        </w:tc>
      </w:tr>
      <w:tr>
        <w:trPr/>
        <w:tc>
          <w:tcPr>
            <w:tcW w:w="1499" w:type="dxa"/>
            <w:tcBorders/>
            <w:shd w:fill="CCEEFF" w:val="clear"/>
            <w:vAlign w:val="center"/>
          </w:tcPr>
          <w:p>
            <w:pPr>
              <w:pStyle w:val="TableContents"/>
              <w:bidi w:val="0"/>
              <w:spacing w:before="0" w:after="283"/>
              <w:jc w:val="left"/>
              <w:rPr/>
            </w:pPr>
            <w:r>
              <w:rPr/>
              <w:t>Non cash interest expense</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0.08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0.07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0.30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0.03</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CTA reclassification upon liquidation of a foreign subsidiary</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1.00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1.01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r>
      <w:tr>
        <w:trPr/>
        <w:tc>
          <w:tcPr>
            <w:tcW w:w="1499" w:type="dxa"/>
            <w:tcBorders/>
            <w:shd w:fill="CCEEFF" w:val="clear"/>
            <w:vAlign w:val="center"/>
          </w:tcPr>
          <w:p>
            <w:pPr>
              <w:pStyle w:val="TableContents"/>
              <w:bidi w:val="0"/>
              <w:spacing w:before="0" w:after="283"/>
              <w:jc w:val="left"/>
              <w:rPr/>
            </w:pPr>
            <w:r>
              <w:rPr/>
              <w:t>One-time foreign exchange impact from VAT settlement agreement</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(0.06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0.18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Currency fluctuation related to lease standard</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0.12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0.18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(0.05</w:t>
            </w:r>
          </w:p>
        </w:tc>
        <w:tc>
          <w:tcPr>
            <w:tcW w:w="119" w:type="dxa"/>
            <w:tcBorders/>
            <w:shd w:fill="FFFFFF" w:val="clear"/>
            <w:vAlign w:val="center"/>
          </w:tcPr>
          <w:p>
            <w:pPr>
              <w:pStyle w:val="TableContents"/>
              <w:bidi w:val="0"/>
              <w:spacing w:before="0" w:after="283"/>
              <w:jc w:val="left"/>
              <w:rPr/>
            </w:pPr>
            <w:r>
              <w:rPr/>
              <w:t>)</w:t>
            </w:r>
          </w:p>
        </w:tc>
      </w:tr>
      <w:tr>
        <w:trPr/>
        <w:tc>
          <w:tcPr>
            <w:tcW w:w="1499" w:type="dxa"/>
            <w:tcBorders/>
            <w:shd w:fill="CCEEFF" w:val="clear"/>
            <w:vAlign w:val="center"/>
          </w:tcPr>
          <w:p>
            <w:pPr>
              <w:pStyle w:val="TableContents"/>
              <w:bidi w:val="0"/>
              <w:spacing w:before="0" w:after="283"/>
              <w:jc w:val="left"/>
              <w:rPr/>
            </w:pPr>
            <w:r>
              <w:rPr/>
              <w:t>Loss (gain) from sale of equity and debt investments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(0.05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0.00</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Gain from business combination</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(0.02</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r>
      <w:tr>
        <w:trPr/>
        <w:tc>
          <w:tcPr>
            <w:tcW w:w="1499" w:type="dxa"/>
            <w:tcBorders/>
            <w:shd w:fill="CCEEFF" w:val="clear"/>
            <w:vAlign w:val="center"/>
          </w:tcPr>
          <w:p>
            <w:pPr>
              <w:pStyle w:val="TableContents"/>
              <w:bidi w:val="0"/>
              <w:spacing w:before="0" w:after="283"/>
              <w:jc w:val="left"/>
              <w:rPr/>
            </w:pPr>
            <w:r>
              <w:rPr/>
              <w:t>Gain from the repurchase of convertible notes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(0.27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Loss (gain) From sale from private held companies</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(0.06</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w:t>
            </w:r>
          </w:p>
        </w:tc>
        <w:tc>
          <w:tcPr>
            <w:tcW w:w="119" w:type="dxa"/>
            <w:tcBorders/>
            <w:shd w:fill="FFFFFF" w:val="clear"/>
            <w:vAlign w:val="center"/>
          </w:tcPr>
          <w:p>
            <w:pPr>
              <w:pStyle w:val="TableContents"/>
              <w:bidi w:val="0"/>
              <w:spacing w:before="0" w:after="283"/>
              <w:jc w:val="left"/>
              <w:rPr/>
            </w:pPr>
            <w:r>
              <w:rPr/>
              <w:t> </w:t>
            </w:r>
          </w:p>
        </w:tc>
      </w:tr>
      <w:tr>
        <w:trPr/>
        <w:tc>
          <w:tcPr>
            <w:tcW w:w="1499" w:type="dxa"/>
            <w:tcBorders/>
            <w:shd w:fill="CCEEFF" w:val="clear"/>
            <w:vAlign w:val="center"/>
          </w:tcPr>
          <w:p>
            <w:pPr>
              <w:pStyle w:val="TableContents"/>
              <w:bidi w:val="0"/>
              <w:spacing w:before="0" w:after="283"/>
              <w:jc w:val="left"/>
              <w:rPr/>
            </w:pPr>
            <w:r>
              <w:rPr/>
              <w:t>Loss from impairment of  private held companies</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shd w:fill="CCEEFF" w:val="clear"/>
            <w:vAlign w:val="center"/>
          </w:tcPr>
          <w:p>
            <w:pPr>
              <w:pStyle w:val="TableContents"/>
              <w:bidi w:val="0"/>
              <w:spacing w:before="0" w:after="283"/>
              <w:jc w:val="left"/>
              <w:rPr/>
            </w:pPr>
            <w:r>
              <w:rPr/>
              <w:t> </w:t>
            </w:r>
          </w:p>
        </w:tc>
        <w:tc>
          <w:tcPr>
            <w:tcW w:w="568"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0.11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shd w:fill="CCEEFF" w:val="clear"/>
            <w:vAlign w:val="center"/>
          </w:tcPr>
          <w:p>
            <w:pPr>
              <w:pStyle w:val="TableContents"/>
              <w:bidi w:val="0"/>
              <w:spacing w:before="0" w:after="283"/>
              <w:jc w:val="left"/>
              <w:rPr/>
            </w:pPr>
            <w:r>
              <w:rPr/>
              <w:t> </w:t>
            </w:r>
          </w:p>
        </w:tc>
        <w:tc>
          <w:tcPr>
            <w:tcW w:w="886" w:type="dxa"/>
            <w:tcBorders/>
            <w:shd w:fill="CCEEFF" w:val="clear"/>
            <w:vAlign w:val="center"/>
          </w:tcPr>
          <w:p>
            <w:pPr>
              <w:pStyle w:val="TableContents"/>
              <w:bidi w:val="0"/>
              <w:spacing w:before="0" w:after="283"/>
              <w:jc w:val="right"/>
              <w:rPr/>
            </w:pPr>
            <w:r>
              <w:rPr/>
              <w:t>0.26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23"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0.36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0.09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shd w:fill="CCEEFF" w:val="clear"/>
            <w:vAlign w:val="center"/>
          </w:tcPr>
          <w:p>
            <w:pPr>
              <w:pStyle w:val="TableContents"/>
              <w:bidi w:val="0"/>
              <w:spacing w:before="0" w:after="283"/>
              <w:jc w:val="left"/>
              <w:rPr/>
            </w:pPr>
            <w:r>
              <w:rPr/>
              <w:t> </w:t>
            </w:r>
          </w:p>
        </w:tc>
        <w:tc>
          <w:tcPr>
            <w:tcW w:w="839" w:type="dxa"/>
            <w:tcBorders/>
            <w:shd w:fill="CCEEFF" w:val="clear"/>
            <w:vAlign w:val="center"/>
          </w:tcPr>
          <w:p>
            <w:pPr>
              <w:pStyle w:val="TableContents"/>
              <w:bidi w:val="0"/>
              <w:spacing w:before="0" w:after="283"/>
              <w:jc w:val="right"/>
              <w:rPr/>
            </w:pPr>
            <w:r>
              <w:rPr/>
              <w:t>—</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pPr>
            <w:r>
              <w:rPr/>
              <w:t>Income tax adjustment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shd w:fill="FFFFFF" w:val="clear"/>
            <w:vAlign w:val="center"/>
          </w:tcPr>
          <w:p>
            <w:pPr>
              <w:pStyle w:val="TableContents"/>
              <w:bidi w:val="0"/>
              <w:spacing w:before="0" w:after="283"/>
              <w:jc w:val="left"/>
              <w:rPr/>
            </w:pPr>
            <w:r>
              <w:rPr/>
              <w:t> </w:t>
            </w:r>
          </w:p>
        </w:tc>
        <w:tc>
          <w:tcPr>
            <w:tcW w:w="568"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0" w:type="dxa"/>
            <w:tcBorders/>
            <w:shd w:fill="FFFFFF" w:val="clear"/>
            <w:vAlign w:val="center"/>
          </w:tcPr>
          <w:p>
            <w:pPr>
              <w:pStyle w:val="TableContents"/>
              <w:bidi w:val="0"/>
              <w:spacing w:before="0" w:after="283"/>
              <w:jc w:val="left"/>
              <w:rPr/>
            </w:pPr>
            <w:r>
              <w:rPr/>
              <w:t> </w:t>
            </w:r>
          </w:p>
        </w:tc>
        <w:tc>
          <w:tcPr>
            <w:tcW w:w="886" w:type="dxa"/>
            <w:tcBorders/>
            <w:shd w:fill="FFFFFF" w:val="clear"/>
            <w:vAlign w:val="center"/>
          </w:tcPr>
          <w:p>
            <w:pPr>
              <w:pStyle w:val="TableContents"/>
              <w:bidi w:val="0"/>
              <w:spacing w:before="0" w:after="283"/>
              <w:jc w:val="right"/>
              <w:rPr/>
            </w:pPr>
            <w:r>
              <w:rPr/>
              <w:t>(0.01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23"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0.00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2" w:type="dxa"/>
            <w:tcBorders/>
            <w:shd w:fill="FFFFFF" w:val="clear"/>
            <w:vAlign w:val="center"/>
          </w:tcPr>
          <w:p>
            <w:pPr>
              <w:pStyle w:val="TableContents"/>
              <w:bidi w:val="0"/>
              <w:spacing w:before="0" w:after="283"/>
              <w:jc w:val="left"/>
              <w:rPr/>
            </w:pPr>
            <w:r>
              <w:rPr/>
              <w:t> </w:t>
            </w:r>
          </w:p>
        </w:tc>
        <w:tc>
          <w:tcPr>
            <w:tcW w:w="875" w:type="dxa"/>
            <w:tcBorders/>
            <w:shd w:fill="FFFFFF" w:val="clear"/>
            <w:vAlign w:val="center"/>
          </w:tcPr>
          <w:p>
            <w:pPr>
              <w:pStyle w:val="TableContents"/>
              <w:bidi w:val="0"/>
              <w:spacing w:before="0" w:after="283"/>
              <w:jc w:val="right"/>
              <w:rPr/>
            </w:pPr>
            <w:r>
              <w:rPr/>
              <w:t>0.68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7" w:type="dxa"/>
            <w:tcBorders/>
            <w:shd w:fill="FFFFFF" w:val="clear"/>
            <w:vAlign w:val="center"/>
          </w:tcPr>
          <w:p>
            <w:pPr>
              <w:pStyle w:val="TableContents"/>
              <w:bidi w:val="0"/>
              <w:spacing w:before="0" w:after="283"/>
              <w:jc w:val="left"/>
              <w:rPr/>
            </w:pPr>
            <w:r>
              <w:rPr/>
              <w:t> </w:t>
            </w:r>
          </w:p>
        </w:tc>
        <w:tc>
          <w:tcPr>
            <w:tcW w:w="839" w:type="dxa"/>
            <w:tcBorders/>
            <w:shd w:fill="FFFFFF" w:val="clear"/>
            <w:vAlign w:val="center"/>
          </w:tcPr>
          <w:p>
            <w:pPr>
              <w:pStyle w:val="TableContents"/>
              <w:bidi w:val="0"/>
              <w:spacing w:before="0" w:after="283"/>
              <w:jc w:val="right"/>
              <w:rPr/>
            </w:pPr>
            <w:r>
              <w:rPr/>
              <w:t>(0.76</w:t>
            </w:r>
          </w:p>
        </w:tc>
        <w:tc>
          <w:tcPr>
            <w:tcW w:w="119" w:type="dxa"/>
            <w:tcBorders/>
            <w:shd w:fill="FFFFFF" w:val="clear"/>
            <w:vAlign w:val="center"/>
          </w:tcPr>
          <w:p>
            <w:pPr>
              <w:pStyle w:val="TableContents"/>
              <w:bidi w:val="0"/>
              <w:spacing w:before="0" w:after="283"/>
              <w:jc w:val="left"/>
              <w:rPr/>
            </w:pPr>
            <w:r>
              <w:rPr/>
              <w:t>)</w:t>
            </w:r>
          </w:p>
        </w:tc>
      </w:tr>
      <w:tr>
        <w:trPr/>
        <w:tc>
          <w:tcPr>
            <w:tcW w:w="1499" w:type="dxa"/>
            <w:tcBorders/>
            <w:shd w:fill="CCEEFF" w:val="clear"/>
            <w:vAlign w:val="center"/>
          </w:tcPr>
          <w:p>
            <w:pPr>
              <w:pStyle w:val="TableContents"/>
              <w:bidi w:val="0"/>
              <w:spacing w:before="0" w:after="283"/>
              <w:jc w:val="left"/>
              <w:rPr/>
            </w:pPr>
            <w:r>
              <w:rPr/>
              <w:t>Equity method adjustments</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3"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3"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68"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shd w:fill="CCEEFF" w:val="clear"/>
            <w:tcMar>
              <w:bottom w:w="28" w:type="dxa"/>
            </w:tcM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86" w:type="dxa"/>
            <w:tcBorders>
              <w:bottom w:val="single" w:sz="8" w:space="0" w:color="000000"/>
            </w:tcBorders>
            <w:shd w:fill="CCEEFF" w:val="clear"/>
            <w:tcMar>
              <w:bottom w:w="28" w:type="dxa"/>
            </w:tcMar>
            <w:vAlign w:val="center"/>
          </w:tcPr>
          <w:p>
            <w:pPr>
              <w:pStyle w:val="TableContents"/>
              <w:bidi w:val="0"/>
              <w:spacing w:before="0" w:after="283"/>
              <w:jc w:val="right"/>
              <w:rPr/>
            </w:pPr>
            <w:r>
              <w:rPr/>
              <w:t>0.01</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523" w:type="dxa"/>
            <w:tcBorders>
              <w:bottom w:val="single" w:sz="8" w:space="0" w:color="000000"/>
            </w:tcBorders>
            <w:shd w:fill="CCEEFF" w:val="clear"/>
            <w:tcMar>
              <w:bottom w:w="28" w:type="dxa"/>
            </w:tcMar>
            <w:vAlign w:val="center"/>
          </w:tcPr>
          <w:p>
            <w:pPr>
              <w:pStyle w:val="TableContents"/>
              <w:bidi w:val="0"/>
              <w:spacing w:before="0" w:after="283"/>
              <w:jc w:val="right"/>
              <w:rPr/>
            </w:pPr>
            <w:r>
              <w:rPr/>
              <w:t>0.00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shd w:fill="CCEEFF" w:val="clear"/>
            <w:tcMar>
              <w:bottom w:w="28" w:type="dxa"/>
            </w:tcMar>
            <w:vAlign w:val="center"/>
          </w:tcPr>
          <w:p>
            <w:pPr>
              <w:pStyle w:val="TableContents"/>
              <w:bidi w:val="0"/>
              <w:spacing w:before="0" w:after="283"/>
              <w:jc w:val="right"/>
              <w:rPr/>
            </w:pPr>
            <w:r>
              <w:rPr/>
              <w:t>0.02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2"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75" w:type="dxa"/>
            <w:tcBorders>
              <w:bottom w:val="single" w:sz="8" w:space="0" w:color="000000"/>
            </w:tcBorders>
            <w:shd w:fill="CCEEFF" w:val="clear"/>
            <w:tcMar>
              <w:bottom w:w="28" w:type="dxa"/>
            </w:tcMar>
            <w:vAlign w:val="center"/>
          </w:tcPr>
          <w:p>
            <w:pPr>
              <w:pStyle w:val="TableContents"/>
              <w:bidi w:val="0"/>
              <w:spacing w:before="0" w:after="283"/>
              <w:jc w:val="right"/>
              <w:rPr/>
            </w:pPr>
            <w:r>
              <w:rPr/>
              <w:t>0.03</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7"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839" w:type="dxa"/>
            <w:tcBorders>
              <w:bottom w:val="single" w:sz="8" w:space="0" w:color="000000"/>
            </w:tcBorders>
            <w:shd w:fill="CCEEFF" w:val="clear"/>
            <w:tcMar>
              <w:bottom w:w="28" w:type="dxa"/>
            </w:tcMar>
            <w:vAlign w:val="center"/>
          </w:tcPr>
          <w:p>
            <w:pPr>
              <w:pStyle w:val="TableContents"/>
              <w:bidi w:val="0"/>
              <w:spacing w:before="0" w:after="283"/>
              <w:jc w:val="right"/>
              <w:rPr/>
            </w:pPr>
            <w:r>
              <w:rPr/>
              <w:t>0.00</w:t>
            </w:r>
          </w:p>
        </w:tc>
        <w:tc>
          <w:tcPr>
            <w:tcW w:w="119" w:type="dxa"/>
            <w:tcBorders/>
            <w:shd w:fill="CCEEFF" w:val="clear"/>
            <w:vAlign w:val="center"/>
          </w:tcPr>
          <w:p>
            <w:pPr>
              <w:pStyle w:val="TableContents"/>
              <w:bidi w:val="0"/>
              <w:spacing w:before="0" w:after="283"/>
              <w:jc w:val="left"/>
              <w:rPr/>
            </w:pPr>
            <w:r>
              <w:rPr/>
              <w:t> </w:t>
            </w:r>
          </w:p>
        </w:tc>
      </w:tr>
      <w:tr>
        <w:trPr/>
        <w:tc>
          <w:tcPr>
            <w:tcW w:w="1499" w:type="dxa"/>
            <w:tcBorders/>
            <w:shd w:fill="FFFFFF" w:val="clear"/>
            <w:vAlign w:val="center"/>
          </w:tcPr>
          <w:p>
            <w:pPr>
              <w:pStyle w:val="TableContents"/>
              <w:bidi w:val="0"/>
              <w:spacing w:before="0" w:after="283"/>
              <w:jc w:val="left"/>
              <w:rPr>
                <w:b/>
              </w:rPr>
            </w:pPr>
            <w:r>
              <w:rPr>
                <w:b/>
              </w:rPr>
              <w:t>Net diluted earnings (loss) per share (Non-GAAP)</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23" w:type="dxa"/>
            <w:tcBorders>
              <w:bottom w:val="double" w:sz="6" w:space="0" w:color="000000"/>
            </w:tcBorders>
            <w:shd w:fill="FFFFFF" w:val="clear"/>
            <w:tcMar>
              <w:bottom w:w="28" w:type="dxa"/>
            </w:tcMar>
            <w:vAlign w:val="center"/>
          </w:tcPr>
          <w:p>
            <w:pPr>
              <w:pStyle w:val="TableContents"/>
              <w:bidi w:val="0"/>
              <w:spacing w:before="0" w:after="283"/>
              <w:jc w:val="right"/>
              <w:rPr/>
            </w:pPr>
            <w:r>
              <w:rPr/>
              <w:t>0.05</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3"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68" w:type="dxa"/>
            <w:tcBorders>
              <w:bottom w:val="double" w:sz="6" w:space="0" w:color="000000"/>
            </w:tcBorders>
            <w:shd w:fill="FFFFFF" w:val="clear"/>
            <w:tcMar>
              <w:bottom w:w="28" w:type="dxa"/>
            </w:tcMar>
            <w:vAlign w:val="center"/>
          </w:tcPr>
          <w:p>
            <w:pPr>
              <w:pStyle w:val="TableContents"/>
              <w:bidi w:val="0"/>
              <w:spacing w:before="0" w:after="283"/>
              <w:jc w:val="right"/>
              <w:rPr/>
            </w:pPr>
            <w:r>
              <w:rPr/>
              <w:t>(0.43</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9" w:type="dxa"/>
            <w:tcBorders>
              <w:bottom w:val="double" w:sz="6" w:space="0" w:color="000000"/>
            </w:tcBorders>
            <w:shd w:fill="FFFFFF" w:val="clear"/>
            <w:tcMar>
              <w:bottom w:w="28" w:type="dxa"/>
            </w:tcMar>
            <w:vAlign w:val="center"/>
          </w:tcPr>
          <w:p>
            <w:pPr>
              <w:pStyle w:val="TableContents"/>
              <w:bidi w:val="0"/>
              <w:spacing w:before="0" w:after="283"/>
              <w:jc w:val="right"/>
              <w:rPr/>
            </w:pPr>
            <w:r>
              <w:rPr/>
              <w:t>(0.14</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40"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86" w:type="dxa"/>
            <w:tcBorders>
              <w:bottom w:val="double" w:sz="6" w:space="0" w:color="000000"/>
            </w:tcBorders>
            <w:shd w:fill="FFFFFF" w:val="clear"/>
            <w:tcMar>
              <w:bottom w:w="28" w:type="dxa"/>
            </w:tcMar>
            <w:vAlign w:val="center"/>
          </w:tcPr>
          <w:p>
            <w:pPr>
              <w:pStyle w:val="TableContents"/>
              <w:bidi w:val="0"/>
              <w:spacing w:before="0" w:after="283"/>
              <w:jc w:val="right"/>
              <w:rPr/>
            </w:pPr>
            <w:r>
              <w:rPr/>
              <w:t>(0.31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523" w:type="dxa"/>
            <w:tcBorders>
              <w:bottom w:val="double" w:sz="6" w:space="0" w:color="000000"/>
            </w:tcBorders>
            <w:shd w:fill="FFFFFF" w:val="clear"/>
            <w:tcMar>
              <w:bottom w:w="28" w:type="dxa"/>
            </w:tcMar>
            <w:vAlign w:val="center"/>
          </w:tcPr>
          <w:p>
            <w:pPr>
              <w:pStyle w:val="TableContents"/>
              <w:bidi w:val="0"/>
              <w:spacing w:before="0" w:after="283"/>
              <w:jc w:val="right"/>
              <w:rPr/>
            </w:pPr>
            <w:r>
              <w:rPr/>
              <w:t>(0.81</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9" w:type="dxa"/>
            <w:tcBorders>
              <w:bottom w:val="double" w:sz="6" w:space="0" w:color="000000"/>
            </w:tcBorders>
            <w:shd w:fill="FFFFFF" w:val="clear"/>
            <w:tcMar>
              <w:bottom w:w="28" w:type="dxa"/>
            </w:tcMar>
            <w:vAlign w:val="center"/>
          </w:tcPr>
          <w:p>
            <w:pPr>
              <w:pStyle w:val="TableContents"/>
              <w:bidi w:val="0"/>
              <w:spacing w:before="0" w:after="283"/>
              <w:jc w:val="right"/>
              <w:rPr/>
            </w:pPr>
            <w:r>
              <w:rPr/>
              <w:t>(2.38</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92"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75" w:type="dxa"/>
            <w:tcBorders>
              <w:bottom w:val="double" w:sz="6" w:space="0" w:color="000000"/>
            </w:tcBorders>
            <w:shd w:fill="FFFFFF" w:val="clear"/>
            <w:tcMar>
              <w:bottom w:w="28" w:type="dxa"/>
            </w:tcMar>
            <w:vAlign w:val="center"/>
          </w:tcPr>
          <w:p>
            <w:pPr>
              <w:pStyle w:val="TableContents"/>
              <w:bidi w:val="0"/>
              <w:spacing w:before="0" w:after="283"/>
              <w:jc w:val="right"/>
              <w:rPr/>
            </w:pPr>
            <w:r>
              <w:rPr/>
              <w:t>(22.99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227" w:type="dxa"/>
            <w:tcBorders>
              <w:bottom w:val="double" w:sz="6" w:space="0" w:color="000000"/>
            </w:tcBorders>
            <w:shd w:fill="FFFFFF" w:val="clear"/>
            <w:tcMar>
              <w:bottom w:w="28" w:type="dxa"/>
            </w:tcMar>
            <w:vAlign w:val="center"/>
          </w:tcPr>
          <w:p>
            <w:pPr>
              <w:pStyle w:val="TableContents"/>
              <w:bidi w:val="0"/>
              <w:spacing w:before="0" w:after="283"/>
              <w:jc w:val="left"/>
              <w:rPr/>
            </w:pPr>
            <w:r>
              <w:rPr/>
              <w:t>$</w:t>
            </w:r>
          </w:p>
        </w:tc>
        <w:tc>
          <w:tcPr>
            <w:tcW w:w="839" w:type="dxa"/>
            <w:tcBorders>
              <w:bottom w:val="double" w:sz="6" w:space="0" w:color="000000"/>
            </w:tcBorders>
            <w:shd w:fill="FFFFFF" w:val="clear"/>
            <w:tcMar>
              <w:bottom w:w="28" w:type="dxa"/>
            </w:tcMar>
            <w:vAlign w:val="center"/>
          </w:tcPr>
          <w:p>
            <w:pPr>
              <w:pStyle w:val="TableContents"/>
              <w:bidi w:val="0"/>
              <w:spacing w:before="0" w:after="283"/>
              <w:jc w:val="right"/>
              <w:rPr/>
            </w:pPr>
            <w:r>
              <w:rPr/>
              <w:t>4.12</w:t>
            </w:r>
          </w:p>
        </w:tc>
        <w:tc>
          <w:tcPr>
            <w:tcW w:w="119"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bdr w:val="single" w:sz="8" w:space="1" w:color="000000"/>
        </w:rPr>
      </w:pPr>
      <w:r>
        <w:rPr>
          <w:caps w:val="false"/>
          <w:smallCaps w:val="false"/>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SOLAREDGE TECHNOLOGIES,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RECONCILIATION OF NON-GAAP FINANCIAL MEASURES (Unaudited)</w:t>
      </w:r>
    </w:p>
    <w:p>
      <w:pPr>
        <w:pStyle w:val="TextBody"/>
        <w:bidi w:val="0"/>
        <w:spacing w:before="0" w:after="0"/>
        <w:ind w:left="0" w:right="0" w:hanging="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thousands, except per share data and percentages)</w:t>
      </w:r>
    </w:p>
    <w:p>
      <w:pPr>
        <w:pStyle w:val="TextBody"/>
        <w:bidi w:val="0"/>
        <w:spacing w:before="0" w:after="0"/>
        <w:ind w:left="0" w:right="0" w:hanging="0"/>
        <w:jc w:val="left"/>
        <w:rPr>
          <w:caps w:val="false"/>
          <w:smallCaps w:val="false"/>
        </w:rPr>
      </w:pPr>
      <w:r>
        <w:rPr>
          <w:caps w:val="false"/>
          <w:smallCaps w:val="false"/>
        </w:rPr>
        <w:t> </w:t>
      </w:r>
    </w:p>
    <w:tbl>
      <w:tblPr>
        <w:tblW w:w="12515" w:type="dxa"/>
        <w:jc w:val="left"/>
        <w:tblInd w:w="0" w:type="dxa"/>
        <w:tblLayout w:type="fixed"/>
        <w:tblCellMar>
          <w:top w:w="0" w:type="dxa"/>
          <w:left w:w="0" w:type="dxa"/>
          <w:bottom w:w="0" w:type="dxa"/>
          <w:right w:w="0" w:type="dxa"/>
        </w:tblCellMar>
      </w:tblPr>
      <w:tblGrid>
        <w:gridCol w:w="1340"/>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95"/>
        <w:gridCol w:w="60"/>
        <w:gridCol w:w="140"/>
        <w:gridCol w:w="1100"/>
        <w:gridCol w:w="110"/>
      </w:tblGrid>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20" w:type="dxa"/>
            <w:gridSpan w:val="18"/>
            <w:tcBorders>
              <w:bottom w:val="single" w:sz="8" w:space="0" w:color="000000"/>
            </w:tcBorders>
            <w:tcMar>
              <w:bottom w:w="28" w:type="dxa"/>
            </w:tcMar>
            <w:vAlign w:val="center"/>
          </w:tcPr>
          <w:p>
            <w:pPr>
              <w:pStyle w:val="TableContents"/>
              <w:bidi w:val="0"/>
              <w:spacing w:before="0" w:after="283"/>
              <w:jc w:val="center"/>
              <w:rPr>
                <w:b/>
              </w:rPr>
            </w:pPr>
            <w:r>
              <w:rPr>
                <w:b/>
              </w:rPr>
              <w:t>Three months ended</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030" w:type="dxa"/>
            <w:gridSpan w:val="10"/>
            <w:tcBorders>
              <w:bottom w:val="single" w:sz="8" w:space="0" w:color="000000"/>
            </w:tcBorders>
            <w:tcMar>
              <w:bottom w:w="28" w:type="dxa"/>
            </w:tcMar>
            <w:vAlign w:val="center"/>
          </w:tcPr>
          <w:p>
            <w:pPr>
              <w:pStyle w:val="TableContents"/>
              <w:bidi w:val="0"/>
              <w:spacing w:before="0" w:after="283"/>
              <w:jc w:val="center"/>
              <w:rPr>
                <w:b/>
              </w:rPr>
            </w:pPr>
            <w:r>
              <w:rPr>
                <w:b/>
              </w:rPr>
              <w:t>Year ended</w:t>
            </w:r>
          </w:p>
        </w:tc>
        <w:tc>
          <w:tcPr>
            <w:tcW w:w="110" w:type="dxa"/>
            <w:tcBorders/>
            <w:vAlign w:val="center"/>
          </w:tcPr>
          <w:p>
            <w:pPr>
              <w:pStyle w:val="TableContents"/>
              <w:bidi w:val="0"/>
              <w:spacing w:before="0" w:after="283"/>
              <w:jc w:val="left"/>
              <w:rPr/>
            </w:pPr>
            <w:r>
              <w:rPr/>
              <w:t> </w:t>
            </w:r>
          </w:p>
        </w:tc>
      </w:tr>
      <w:tr>
        <w:trPr/>
        <w:tc>
          <w:tcPr>
            <w:tcW w:w="13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March 31, 2026</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September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June 30,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2025</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2024</w:t>
            </w:r>
          </w:p>
        </w:tc>
        <w:tc>
          <w:tcPr>
            <w:tcW w:w="9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December 31, 2023</w:t>
            </w:r>
          </w:p>
        </w:tc>
        <w:tc>
          <w:tcPr>
            <w:tcW w:w="110" w:type="dxa"/>
            <w:tcBorders/>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Number of shares used in computing net diluted earnings (loss) per share (GAAP)</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61,045,194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60,517,248</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59,828,042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59,278,269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58,567,394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58,954,380</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57,082,182</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57,237,518</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pPr>
            <w:r>
              <w:rPr/>
              <w:t>Stock-based compensation</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4,772,503</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right"/>
              <w:rPr/>
            </w:pPr>
            <w:r>
              <w:rPr/>
              <w:t>725,859</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Notes due 2025</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single" w:sz="8" w:space="0" w:color="000000"/>
            </w:tcBorders>
            <w:shd w:fill="CCEE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CCEEFF" w:val="clear"/>
            <w:tcMar>
              <w:bottom w:w="28" w:type="dxa"/>
            </w:tcMar>
            <w:vAlign w:val="center"/>
          </w:tcPr>
          <w:p>
            <w:pPr>
              <w:pStyle w:val="TableContents"/>
              <w:bidi w:val="0"/>
              <w:spacing w:before="0" w:after="283"/>
              <w:jc w:val="right"/>
              <w:rPr/>
            </w:pPr>
            <w:r>
              <w:rPr/>
              <w:t>2,276,818</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b/>
              </w:rPr>
            </w:pPr>
            <w:r>
              <w:rPr>
                <w:b/>
              </w:rPr>
              <w:t>Number of shares used in computing net diluted earnings (loss) per share (Non-GAAP)</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65,817,697</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60,517,248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59,828,042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59,278,269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58,567,394</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58,954,380</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57,082,182</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double" w:sz="6" w:space="0" w:color="000000"/>
            </w:tcBorders>
            <w:shd w:fill="FFFFFF" w:val="clear"/>
            <w:tcMar>
              <w:bottom w:w="28" w:type="dxa"/>
            </w:tcMar>
            <w:vAlign w:val="center"/>
          </w:tcPr>
          <w:p>
            <w:pPr>
              <w:pStyle w:val="TableContents"/>
              <w:bidi w:val="0"/>
              <w:spacing w:before="0" w:after="283"/>
              <w:jc w:val="right"/>
              <w:rPr/>
            </w:pPr>
            <w:r>
              <w:rPr/>
              <w:t>60,240,195</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 </w:t>
            </w:r>
          </w:p>
        </w:tc>
        <w:tc>
          <w:tcPr>
            <w:tcW w:w="110" w:type="dxa"/>
            <w:tcBorders/>
            <w:shd w:fill="CCEEFF" w:val="clear"/>
            <w:vAlign w:val="center"/>
          </w:tcPr>
          <w:p>
            <w:pPr>
              <w:pStyle w:val="TableContents"/>
              <w:bidi w:val="0"/>
              <w:spacing w:before="0" w:after="283"/>
              <w:jc w:val="left"/>
              <w:rPr/>
            </w:pPr>
            <w:r>
              <w:rPr/>
              <w:t> </w:t>
            </w:r>
          </w:p>
        </w:tc>
      </w:tr>
      <w:tr>
        <w:trPr/>
        <w:tc>
          <w:tcPr>
            <w:tcW w:w="1340" w:type="dxa"/>
            <w:tcBorders/>
            <w:shd w:fill="FFFFFF" w:val="clear"/>
            <w:vAlign w:val="center"/>
          </w:tcPr>
          <w:p>
            <w:pPr>
              <w:pStyle w:val="TableContents"/>
              <w:bidi w:val="0"/>
              <w:spacing w:before="0" w:after="283"/>
              <w:jc w:val="left"/>
              <w:rPr>
                <w:b/>
              </w:rPr>
            </w:pPr>
            <w:r>
              <w:rPr>
                <w:b/>
              </w:rPr>
              <w:t>Net cash provided by (used in) operating activities (GAAP)</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11,416</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24,428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52,629</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25,608</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(7,799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104,261</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(313,319</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shd w:fill="FFFFFF" w:val="clear"/>
            <w:vAlign w:val="center"/>
          </w:tcPr>
          <w:p>
            <w:pPr>
              <w:pStyle w:val="TableContents"/>
              <w:bidi w:val="0"/>
              <w:spacing w:before="0" w:after="283"/>
              <w:jc w:val="left"/>
              <w:rPr/>
            </w:pPr>
            <w:r>
              <w:rPr/>
              <w:t>$</w:t>
            </w:r>
          </w:p>
        </w:tc>
        <w:tc>
          <w:tcPr>
            <w:tcW w:w="1100" w:type="dxa"/>
            <w:tcBorders/>
            <w:shd w:fill="FFFFFF" w:val="clear"/>
            <w:vAlign w:val="center"/>
          </w:tcPr>
          <w:p>
            <w:pPr>
              <w:pStyle w:val="TableContents"/>
              <w:bidi w:val="0"/>
              <w:spacing w:before="0" w:after="283"/>
              <w:jc w:val="right"/>
              <w:rPr/>
            </w:pPr>
            <w:r>
              <w:rPr/>
              <w:t>(180,113</w:t>
            </w:r>
          </w:p>
        </w:tc>
        <w:tc>
          <w:tcPr>
            <w:tcW w:w="110" w:type="dxa"/>
            <w:tcBorders/>
            <w:shd w:fill="FFFFFF" w:val="clear"/>
            <w:vAlign w:val="center"/>
          </w:tcPr>
          <w:p>
            <w:pPr>
              <w:pStyle w:val="TableContents"/>
              <w:bidi w:val="0"/>
              <w:spacing w:before="0" w:after="283"/>
              <w:jc w:val="left"/>
              <w:rPr/>
            </w:pPr>
            <w:r>
              <w:rPr/>
              <w:t>)</w:t>
            </w:r>
          </w:p>
        </w:tc>
      </w:tr>
      <w:tr>
        <w:trPr/>
        <w:tc>
          <w:tcPr>
            <w:tcW w:w="1340" w:type="dxa"/>
            <w:tcBorders/>
            <w:shd w:fill="CCEEFF" w:val="clear"/>
            <w:vAlign w:val="center"/>
          </w:tcPr>
          <w:p>
            <w:pPr>
              <w:pStyle w:val="TableContents"/>
              <w:bidi w:val="0"/>
              <w:spacing w:before="0" w:after="283"/>
              <w:jc w:val="left"/>
              <w:rPr/>
            </w:pPr>
            <w:r>
              <w:rPr/>
              <w:t>Purchases of property and equipment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(8,282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(3,701</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(9,293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(2,809</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(1,256</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(23,467</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(108,163</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(170,523</w:t>
            </w:r>
          </w:p>
        </w:tc>
        <w:tc>
          <w:tcPr>
            <w:tcW w:w="110" w:type="dxa"/>
            <w:tcBorders/>
            <w:shd w:fill="CCEEFF" w:val="clear"/>
            <w:vAlign w:val="center"/>
          </w:tcPr>
          <w:p>
            <w:pPr>
              <w:pStyle w:val="TableContents"/>
              <w:bidi w:val="0"/>
              <w:spacing w:before="0" w:after="283"/>
              <w:jc w:val="left"/>
              <w:rPr/>
            </w:pPr>
            <w:r>
              <w:rPr/>
              <w:t>)</w:t>
            </w:r>
          </w:p>
        </w:tc>
      </w:tr>
      <w:tr>
        <w:trPr/>
        <w:tc>
          <w:tcPr>
            <w:tcW w:w="1340" w:type="dxa"/>
            <w:tcBorders/>
            <w:shd w:fill="FFFFFF" w:val="clear"/>
            <w:vAlign w:val="center"/>
          </w:tcPr>
          <w:p>
            <w:pPr>
              <w:pStyle w:val="TableContents"/>
              <w:bidi w:val="0"/>
              <w:spacing w:before="0" w:after="283"/>
              <w:jc w:val="left"/>
              <w:rPr/>
            </w:pPr>
            <w:r>
              <w:rPr/>
              <w:t>Discontinued operation</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(3,867</w:t>
            </w:r>
          </w:p>
        </w:tc>
        <w:tc>
          <w:tcPr>
            <w:tcW w:w="95" w:type="dxa"/>
            <w:tcBorders/>
            <w:shd w:fill="FFFFFF" w:val="clear"/>
            <w:vAlign w:val="center"/>
          </w:tcPr>
          <w:p>
            <w:pPr>
              <w:pStyle w:val="TableContents"/>
              <w:bidi w:val="0"/>
              <w:spacing w:before="0" w:after="283"/>
              <w:jc w:val="left"/>
              <w:rPr/>
            </w:pPr>
            <w:r>
              <w:rPr/>
              <w:t>)</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0" w:type="dxa"/>
            <w:tcBorders>
              <w:bottom w:val="single" w:sz="8" w:space="0" w:color="000000"/>
            </w:tcBorders>
            <w:shd w:fill="FFFFFF" w:val="clear"/>
            <w:tcMar>
              <w:bottom w:w="28" w:type="dxa"/>
            </w:tcMar>
            <w:vAlign w:val="center"/>
          </w:tcPr>
          <w:p>
            <w:pPr>
              <w:pStyle w:val="TableContents"/>
              <w:bidi w:val="0"/>
              <w:spacing w:before="0" w:after="283"/>
              <w:jc w:val="left"/>
              <w:rPr/>
            </w:pPr>
            <w:r>
              <w:rPr/>
              <w:t> </w:t>
            </w:r>
          </w:p>
        </w:tc>
        <w:tc>
          <w:tcPr>
            <w:tcW w:w="1100" w:type="dxa"/>
            <w:tcBorders>
              <w:bottom w:val="single" w:sz="8" w:space="0" w:color="000000"/>
            </w:tcBorders>
            <w:shd w:fill="FFFFFF" w:val="clear"/>
            <w:tcMar>
              <w:bottom w:w="28" w:type="dxa"/>
            </w:tcMar>
            <w:vAlign w:val="center"/>
          </w:tcPr>
          <w:p>
            <w:pPr>
              <w:pStyle w:val="TableContents"/>
              <w:bidi w:val="0"/>
              <w:spacing w:before="0" w:after="283"/>
              <w:jc w:val="right"/>
              <w:rPr/>
            </w:pPr>
            <w:r>
              <w:rPr/>
              <w:t>—</w:t>
            </w:r>
          </w:p>
        </w:tc>
        <w:tc>
          <w:tcPr>
            <w:tcW w:w="110" w:type="dxa"/>
            <w:tcBorders/>
            <w:shd w:fill="FFFFFF" w:val="clear"/>
            <w:vAlign w:val="center"/>
          </w:tcPr>
          <w:p>
            <w:pPr>
              <w:pStyle w:val="TableContents"/>
              <w:bidi w:val="0"/>
              <w:spacing w:before="0" w:after="283"/>
              <w:jc w:val="left"/>
              <w:rPr/>
            </w:pPr>
            <w:r>
              <w:rPr/>
              <w:t> </w:t>
            </w:r>
          </w:p>
        </w:tc>
      </w:tr>
      <w:tr>
        <w:trPr/>
        <w:tc>
          <w:tcPr>
            <w:tcW w:w="1340" w:type="dxa"/>
            <w:tcBorders/>
            <w:shd w:fill="CCEEFF" w:val="clear"/>
            <w:vAlign w:val="center"/>
          </w:tcPr>
          <w:p>
            <w:pPr>
              <w:pStyle w:val="TableContents"/>
              <w:bidi w:val="0"/>
              <w:spacing w:before="0" w:after="283"/>
              <w:jc w:val="left"/>
              <w:rPr>
                <w:b/>
              </w:rPr>
            </w:pPr>
            <w:r>
              <w:rPr>
                <w:b/>
              </w:rPr>
              <w:t>Free cash flow (deficit) (Non-GAAP)</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3,134</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20,727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43,336</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22,799</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(9,055</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76,927</w:t>
            </w:r>
          </w:p>
        </w:tc>
        <w:tc>
          <w:tcPr>
            <w:tcW w:w="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(421,482</w:t>
            </w:r>
          </w:p>
        </w:tc>
        <w:tc>
          <w:tcPr>
            <w:tcW w:w="95" w:type="dxa"/>
            <w:tcBorders/>
            <w:shd w:fill="CCEEFF" w:val="clear"/>
            <w:vAlign w:val="center"/>
          </w:tcPr>
          <w:p>
            <w:pPr>
              <w:pStyle w:val="TableContents"/>
              <w:bidi w:val="0"/>
              <w:spacing w:before="0" w:after="283"/>
              <w:jc w:val="left"/>
              <w:rPr/>
            </w:pPr>
            <w:r>
              <w:rPr/>
              <w:t>)</w:t>
            </w:r>
          </w:p>
        </w:tc>
        <w:tc>
          <w:tcPr>
            <w:tcW w:w="60" w:type="dxa"/>
            <w:tcBorders/>
            <w:shd w:fill="CCEEFF" w:val="clear"/>
            <w:vAlign w:val="center"/>
          </w:tcPr>
          <w:p>
            <w:pPr>
              <w:pStyle w:val="TableContents"/>
              <w:bidi w:val="0"/>
              <w:spacing w:before="0" w:after="283"/>
              <w:jc w:val="left"/>
              <w:rPr/>
            </w:pPr>
            <w:r>
              <w:rPr/>
              <w:t> </w:t>
            </w:r>
          </w:p>
        </w:tc>
        <w:tc>
          <w:tcPr>
            <w:tcW w:w="140" w:type="dxa"/>
            <w:tcBorders>
              <w:bottom w:val="double" w:sz="6" w:space="0" w:color="000000"/>
            </w:tcBorders>
            <w:shd w:fill="CCEEFF" w:val="clear"/>
            <w:tcMar>
              <w:bottom w:w="28" w:type="dxa"/>
            </w:tcMar>
            <w:vAlign w:val="center"/>
          </w:tcPr>
          <w:p>
            <w:pPr>
              <w:pStyle w:val="TableContents"/>
              <w:bidi w:val="0"/>
              <w:spacing w:before="0" w:after="283"/>
              <w:jc w:val="left"/>
              <w:rPr/>
            </w:pPr>
            <w:r>
              <w:rPr/>
              <w:t>$</w:t>
            </w:r>
          </w:p>
        </w:tc>
        <w:tc>
          <w:tcPr>
            <w:tcW w:w="1100" w:type="dxa"/>
            <w:tcBorders>
              <w:bottom w:val="double" w:sz="6" w:space="0" w:color="000000"/>
            </w:tcBorders>
            <w:shd w:fill="CCEEFF" w:val="clear"/>
            <w:tcMar>
              <w:bottom w:w="28" w:type="dxa"/>
            </w:tcMar>
            <w:vAlign w:val="center"/>
          </w:tcPr>
          <w:p>
            <w:pPr>
              <w:pStyle w:val="TableContents"/>
              <w:bidi w:val="0"/>
              <w:spacing w:before="0" w:after="283"/>
              <w:jc w:val="right"/>
              <w:rPr/>
            </w:pPr>
            <w:r>
              <w:rPr/>
              <w:t>(350,636</w:t>
            </w:r>
          </w:p>
        </w:tc>
        <w:tc>
          <w:tcPr>
            <w:tcW w:w="110" w:type="dxa"/>
            <w:tcBorders/>
            <w:shd w:fill="CCEEFF" w:val="clear"/>
            <w:vAlign w:val="center"/>
          </w:tcPr>
          <w:p>
            <w:pPr>
              <w:pStyle w:val="TableContents"/>
              <w:bidi w:val="0"/>
              <w:spacing w:before="0" w:after="283"/>
              <w:jc w:val="left"/>
              <w:rPr/>
            </w:pPr>
            <w:r>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60" w:after="240"/>
        <w:jc w:val="left"/>
        <w:rPr>
          <w:bdr w:val="single" w:sz="8" w:space="1" w:color="000000"/>
        </w:rPr>
      </w:pPr>
      <w:r>
        <w:rPr>
          <w:bdr w:val="single" w:sz="8" w:space="1" w:color="000000"/>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6324</Words>
  <Characters>34653</Characters>
  <CharactersWithSpaces>43069</CharactersWithSpaces>
  <Paragraphs>6674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