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spacing w:lineRule="auto" w:line="300"/>
        <w:jc w:val="left"/>
        <w:rPr/>
      </w:pPr>
      <w:r>
        <w:rPr/>
      </w:r>
      <w:bookmarkStart w:id="0" w:name="zk2635807.htm"/>
      <w:bookmarkStart w:id="1" w:name="kszk2635807"/>
      <w:bookmarkStart w:id="2" w:name="zk2635807.htm"/>
      <w:bookmarkStart w:id="3" w:name="kszk2635807"/>
      <w:bookmarkEnd w:id="2"/>
      <w:bookmarkEnd w:id="3"/>
    </w:p>
    <w:p>
      <w:pPr>
        <w:pStyle w:val="TextBody"/>
        <w:bidi w:val="0"/>
        <w:spacing w:lineRule="auto" w:line="300" w:before="0" w:after="0"/>
        <w:jc w:val="left"/>
        <w:rPr/>
      </w:pPr>
      <w:r>
        <w:rPr/>
        <w:t> </w:t>
      </w:r>
    </w:p>
    <w:p>
      <w:pPr>
        <w:pStyle w:val="TextBody"/>
        <w:bidi w:val="0"/>
        <w:spacing w:lineRule="auto" w:line="300" w:before="0" w:after="0"/>
        <w:jc w:val="center"/>
        <w:rPr>
          <w:rFonts w:ascii="Times New Roman;Times;serif" w:hAnsi="Times New Roman;Times;serif"/>
          <w:b/>
          <w:sz w:val="28"/>
        </w:rPr>
      </w:pPr>
      <w:r>
        <w:rPr>
          <w:rFonts w:ascii="Times New Roman;Times;serif" w:hAnsi="Times New Roman;Times;serif"/>
          <w:b/>
          <w:sz w:val="28"/>
        </w:rPr>
        <w:t>UNITED STATES</w:t>
      </w:r>
    </w:p>
    <w:p>
      <w:pPr>
        <w:pStyle w:val="TextBody"/>
        <w:bidi w:val="0"/>
        <w:spacing w:lineRule="auto" w:line="300" w:before="0" w:after="0"/>
        <w:jc w:val="center"/>
        <w:rPr>
          <w:rFonts w:ascii="Times New Roman;Times;serif" w:hAnsi="Times New Roman;Times;serif"/>
          <w:b/>
          <w:sz w:val="28"/>
        </w:rPr>
      </w:pPr>
      <w:r>
        <w:rPr>
          <w:rFonts w:ascii="Times New Roman;Times;serif" w:hAnsi="Times New Roman;Times;serif"/>
          <w:b/>
          <w:sz w:val="28"/>
        </w:rPr>
        <w:t>SECURITIES AND EXCHANGE COMMISSION</w:t>
      </w:r>
    </w:p>
    <w:p>
      <w:pPr>
        <w:pStyle w:val="TextBody"/>
        <w:bidi w:val="0"/>
        <w:spacing w:lineRule="auto" w:line="300" w:before="0" w:after="0"/>
        <w:jc w:val="center"/>
        <w:rPr>
          <w:rFonts w:ascii="Times New Roman;Times;serif" w:hAnsi="Times New Roman;Times;serif"/>
          <w:b/>
          <w:sz w:val="20"/>
        </w:rPr>
      </w:pPr>
      <w:r>
        <w:rPr>
          <w:rFonts w:ascii="Times New Roman;Times;serif" w:hAnsi="Times New Roman;Times;serif"/>
          <w:b/>
          <w:sz w:val="20"/>
        </w:rPr>
        <w:t>WASHINGTON, D.C. 20549</w:t>
      </w:r>
    </w:p>
    <w:p>
      <w:pPr>
        <w:pStyle w:val="TextBody"/>
        <w:bidi w:val="0"/>
        <w:spacing w:lineRule="auto" w:line="300" w:before="0" w:after="0"/>
        <w:jc w:val="left"/>
        <w:rPr/>
      </w:pPr>
      <w:r>
        <w:rPr/>
        <w:t> </w:t>
      </w:r>
    </w:p>
    <w:p>
      <w:pPr>
        <w:pStyle w:val="TextBody"/>
        <w:bidi w:val="0"/>
        <w:spacing w:lineRule="auto" w:line="300" w:before="0" w:after="0"/>
        <w:jc w:val="center"/>
        <w:rPr>
          <w:rFonts w:ascii="Times New Roman;Times;serif" w:hAnsi="Times New Roman;Times;serif"/>
          <w:b/>
          <w:sz w:val="28"/>
        </w:rPr>
      </w:pPr>
      <w:r>
        <w:rPr>
          <w:rFonts w:ascii="Times New Roman;Times;serif" w:hAnsi="Times New Roman;Times;serif"/>
          <w:b/>
          <w:sz w:val="28"/>
        </w:rPr>
        <w:t>FORM 10-Q</w:t>
      </w:r>
    </w:p>
    <w:p>
      <w:pPr>
        <w:pStyle w:val="TextBody"/>
        <w:bidi w:val="0"/>
        <w:spacing w:lineRule="auto" w:line="300" w:before="0" w:after="0"/>
        <w:jc w:val="left"/>
        <w:rPr/>
      </w:pPr>
      <w:r>
        <w:rPr/>
        <w:t> </w:t>
      </w:r>
    </w:p>
    <w:tbl>
      <w:tblPr>
        <w:tblW w:w="10195" w:type="dxa"/>
        <w:jc w:val="left"/>
        <w:tblInd w:w="0" w:type="dxa"/>
        <w:tblLayout w:type="fixed"/>
        <w:tblCellMar>
          <w:top w:w="0" w:type="dxa"/>
          <w:left w:w="0" w:type="dxa"/>
          <w:bottom w:w="0" w:type="dxa"/>
          <w:right w:w="0" w:type="dxa"/>
        </w:tblCellMar>
      </w:tblPr>
      <w:tblGrid>
        <w:gridCol w:w="245"/>
        <w:gridCol w:w="60"/>
        <w:gridCol w:w="9890"/>
      </w:tblGrid>
      <w:tr>
        <w:trPr/>
        <w:tc>
          <w:tcPr>
            <w:tcW w:w="24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890" w:type="dxa"/>
            <w:tcBorders/>
            <w:vAlign w:val="center"/>
          </w:tcPr>
          <w:p>
            <w:pPr>
              <w:pStyle w:val="TableContents"/>
              <w:bidi w:val="0"/>
              <w:spacing w:lineRule="auto" w:line="300" w:before="0" w:after="0"/>
              <w:jc w:val="left"/>
              <w:rPr>
                <w:rFonts w:ascii="Times New Roman;Times;serif" w:hAnsi="Times New Roman;Times;serif"/>
                <w:b/>
                <w:sz w:val="20"/>
              </w:rPr>
            </w:pPr>
            <w:r>
              <w:rPr>
                <w:rFonts w:ascii="Times New Roman;Times;serif" w:hAnsi="Times New Roman;Times;serif"/>
                <w:b/>
                <w:sz w:val="20"/>
              </w:rPr>
              <w:t>QUARTERLY REPORT PURSUANT TO SECTION 13 OR 15(d) OF THE SECURITIES EXCHANGE ACT OF 1934</w:t>
            </w:r>
          </w:p>
        </w:tc>
      </w:tr>
    </w:tbl>
    <w:p>
      <w:pPr>
        <w:pStyle w:val="TextBody"/>
        <w:bidi w:val="0"/>
        <w:spacing w:lineRule="auto" w:line="300" w:before="0" w:after="0"/>
        <w:jc w:val="left"/>
        <w:rPr/>
      </w:pPr>
      <w:r>
        <w:rPr/>
        <w:t> </w:t>
      </w:r>
    </w:p>
    <w:p>
      <w:pPr>
        <w:pStyle w:val="TextBody"/>
        <w:bidi w:val="0"/>
        <w:spacing w:lineRule="auto" w:line="300" w:before="0" w:after="0"/>
        <w:jc w:val="center"/>
        <w:rPr>
          <w:rFonts w:ascii="Times New Roman;Times;serif" w:hAnsi="Times New Roman;Times;serif"/>
          <w:b/>
          <w:sz w:val="20"/>
        </w:rPr>
      </w:pPr>
      <w:r>
        <w:rPr>
          <w:rFonts w:ascii="Times New Roman;Times;serif" w:hAnsi="Times New Roman;Times;serif"/>
          <w:b/>
          <w:sz w:val="20"/>
        </w:rPr>
        <w:t>For the quarterly period ended June 30, 2026</w:t>
      </w:r>
    </w:p>
    <w:p>
      <w:pPr>
        <w:pStyle w:val="TextBody"/>
        <w:bidi w:val="0"/>
        <w:spacing w:lineRule="auto" w:line="300" w:before="0" w:after="0"/>
        <w:jc w:val="left"/>
        <w:rPr/>
      </w:pPr>
      <w:r>
        <w:rPr/>
        <w:t> </w:t>
      </w:r>
    </w:p>
    <w:p>
      <w:pPr>
        <w:pStyle w:val="TextBody"/>
        <w:bidi w:val="0"/>
        <w:spacing w:lineRule="auto" w:line="300" w:before="0" w:after="0"/>
        <w:jc w:val="center"/>
        <w:rPr>
          <w:rFonts w:ascii="Times New Roman;Times;serif" w:hAnsi="Times New Roman;Times;serif"/>
          <w:b/>
          <w:sz w:val="20"/>
        </w:rPr>
      </w:pPr>
      <w:r>
        <w:rPr>
          <w:rFonts w:ascii="Times New Roman;Times;serif" w:hAnsi="Times New Roman;Times;serif"/>
          <w:b/>
          <w:sz w:val="20"/>
        </w:rPr>
        <w:t>OR</w:t>
      </w:r>
    </w:p>
    <w:p>
      <w:pPr>
        <w:pStyle w:val="TextBody"/>
        <w:bidi w:val="0"/>
        <w:spacing w:lineRule="auto" w:line="300" w:before="0" w:after="0"/>
        <w:jc w:val="left"/>
        <w:rPr/>
      </w:pPr>
      <w:r>
        <w:rPr/>
        <w:t> </w:t>
      </w:r>
    </w:p>
    <w:tbl>
      <w:tblPr>
        <w:tblW w:w="10180" w:type="dxa"/>
        <w:jc w:val="left"/>
        <w:tblInd w:w="0" w:type="dxa"/>
        <w:tblLayout w:type="fixed"/>
        <w:tblCellMar>
          <w:top w:w="0" w:type="dxa"/>
          <w:left w:w="0" w:type="dxa"/>
          <w:bottom w:w="0" w:type="dxa"/>
          <w:right w:w="0" w:type="dxa"/>
        </w:tblCellMar>
      </w:tblPr>
      <w:tblGrid>
        <w:gridCol w:w="245"/>
        <w:gridCol w:w="60"/>
        <w:gridCol w:w="9875"/>
      </w:tblGrid>
      <w:tr>
        <w:trPr/>
        <w:tc>
          <w:tcPr>
            <w:tcW w:w="24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lineRule="auto" w:line="300" w:before="0" w:after="0"/>
              <w:jc w:val="left"/>
              <w:rPr/>
            </w:pPr>
            <w:r>
              <w:rPr/>
              <w:t> </w:t>
            </w:r>
          </w:p>
        </w:tc>
        <w:tc>
          <w:tcPr>
            <w:tcW w:w="9875" w:type="dxa"/>
            <w:tcBorders/>
            <w:vAlign w:val="center"/>
          </w:tcPr>
          <w:p>
            <w:pPr>
              <w:pStyle w:val="TableContents"/>
              <w:bidi w:val="0"/>
              <w:spacing w:lineRule="auto" w:line="300" w:before="0" w:after="0"/>
              <w:jc w:val="left"/>
              <w:rPr>
                <w:rFonts w:ascii="Times New Roman;Times;serif" w:hAnsi="Times New Roman;Times;serif"/>
                <w:b/>
                <w:sz w:val="20"/>
              </w:rPr>
            </w:pPr>
            <w:r>
              <w:rPr>
                <w:rFonts w:ascii="Times New Roman;Times;serif" w:hAnsi="Times New Roman;Times;serif"/>
                <w:b/>
                <w:sz w:val="20"/>
              </w:rPr>
              <w:t>TRANSITION REPORT PURSUANT TO SECTION 13 OR 15(d) OF THE SECURITIES EXCHANGE ACT OF 1934</w:t>
            </w:r>
          </w:p>
        </w:tc>
      </w:tr>
    </w:tbl>
    <w:p>
      <w:pPr>
        <w:pStyle w:val="TextBody"/>
        <w:bidi w:val="0"/>
        <w:spacing w:lineRule="auto" w:line="300" w:before="0" w:after="0"/>
        <w:jc w:val="left"/>
        <w:rPr/>
      </w:pPr>
      <w:r>
        <w:rPr/>
        <w:t> </w:t>
      </w:r>
    </w:p>
    <w:p>
      <w:pPr>
        <w:pStyle w:val="TextBody"/>
        <w:bidi w:val="0"/>
        <w:spacing w:lineRule="auto" w:line="300" w:before="0" w:after="0"/>
        <w:jc w:val="center"/>
        <w:rPr>
          <w:rFonts w:ascii="Times New Roman;Times;serif" w:hAnsi="Times New Roman;Times;serif"/>
          <w:b/>
          <w:sz w:val="20"/>
        </w:rPr>
      </w:pPr>
      <w:r>
        <w:rPr>
          <w:rFonts w:ascii="Times New Roman;Times;serif" w:hAnsi="Times New Roman;Times;serif"/>
          <w:b/>
          <w:sz w:val="20"/>
        </w:rPr>
        <w:t>For the transition period from _________ to __________</w:t>
      </w:r>
    </w:p>
    <w:p>
      <w:pPr>
        <w:pStyle w:val="TextBody"/>
        <w:bidi w:val="0"/>
        <w:spacing w:lineRule="auto" w:line="300" w:before="0" w:after="0"/>
        <w:jc w:val="left"/>
        <w:rPr/>
      </w:pPr>
      <w:r>
        <w:rPr/>
        <w:t> </w:t>
      </w:r>
    </w:p>
    <w:p>
      <w:pPr>
        <w:pStyle w:val="TextBody"/>
        <w:bidi w:val="0"/>
        <w:spacing w:lineRule="auto" w:line="300" w:before="0" w:after="0"/>
        <w:jc w:val="center"/>
        <w:rPr>
          <w:rFonts w:ascii="Times New Roman;Times;serif" w:hAnsi="Times New Roman;Times;serif"/>
          <w:b/>
          <w:sz w:val="20"/>
        </w:rPr>
      </w:pPr>
      <w:r>
        <w:rPr>
          <w:rFonts w:ascii="Times New Roman;Times;serif" w:hAnsi="Times New Roman;Times;serif"/>
          <w:b/>
          <w:sz w:val="20"/>
        </w:rPr>
        <w:t>Commission File Number: 001-36894</w:t>
      </w:r>
    </w:p>
    <w:p>
      <w:pPr>
        <w:pStyle w:val="TextBody"/>
        <w:bidi w:val="0"/>
        <w:spacing w:lineRule="auto" w:line="300" w:before="0" w:after="0"/>
        <w:jc w:val="left"/>
        <w:rPr/>
      </w:pPr>
      <w:r>
        <w:rPr/>
        <w:t> </w:t>
      </w:r>
    </w:p>
    <w:p>
      <w:pPr>
        <w:pStyle w:val="TextBody"/>
        <w:bidi w:val="0"/>
        <w:spacing w:lineRule="auto" w:line="300" w:before="0" w:after="0"/>
        <w:ind w:left="0" w:right="0" w:firstLine="360"/>
        <w:jc w:val="left"/>
        <w:rPr/>
      </w:pPr>
      <w:r>
        <w:rPr/>
        <w:t> </w:t>
      </w:r>
    </w:p>
    <w:tbl>
      <w:tblPr>
        <w:tblW w:w="5570" w:type="dxa"/>
        <w:jc w:val="left"/>
        <w:tblInd w:w="0" w:type="dxa"/>
        <w:tblLayout w:type="fixed"/>
        <w:tblCellMar>
          <w:top w:w="28" w:type="dxa"/>
          <w:left w:w="0" w:type="dxa"/>
          <w:bottom w:w="28" w:type="dxa"/>
          <w:right w:w="0" w:type="dxa"/>
        </w:tblCellMar>
      </w:tblPr>
      <w:tblGrid>
        <w:gridCol w:w="5570"/>
      </w:tblGrid>
      <w:tr>
        <w:trPr/>
        <w:tc>
          <w:tcPr>
            <w:tcW w:w="5570" w:type="dxa"/>
            <w:tcBorders>
              <w:top w:val="single" w:sz="12" w:space="0" w:color="000000"/>
              <w:bottom w:val="single" w:sz="12" w:space="0" w:color="000000"/>
            </w:tcBorders>
            <w:vAlign w:val="center"/>
          </w:tcPr>
          <w:p>
            <w:pPr>
              <w:pStyle w:val="TableContents"/>
              <w:bidi w:val="0"/>
              <w:spacing w:lineRule="auto" w:line="300" w:before="0" w:after="0"/>
              <w:ind w:left="135" w:right="135" w:hanging="0"/>
              <w:jc w:val="center"/>
              <w:rPr>
                <w:rFonts w:ascii="Times New Roman;Times;serif" w:hAnsi="Times New Roman;Times;serif"/>
                <w:b/>
                <w:sz w:val="32"/>
              </w:rPr>
            </w:pPr>
            <w:r>
              <w:rPr>
                <w:rFonts w:ascii="Times New Roman;Times;serif" w:hAnsi="Times New Roman;Times;serif"/>
                <w:b/>
                <w:sz w:val="32"/>
              </w:rPr>
              <w:t>SOLAREDGE TECHNOLOGIES, INC.</w:t>
            </w:r>
          </w:p>
        </w:tc>
      </w:tr>
    </w:tbl>
    <w:p>
      <w:pPr>
        <w:pStyle w:val="TextBody"/>
        <w:bidi w:val="0"/>
        <w:spacing w:lineRule="auto" w:line="300" w:before="0" w:after="0"/>
        <w:jc w:val="center"/>
        <w:rPr>
          <w:rFonts w:ascii="Times New Roman;Times;serif" w:hAnsi="Times New Roman;Times;serif"/>
          <w:b/>
          <w:sz w:val="20"/>
        </w:rPr>
      </w:pPr>
      <w:r>
        <w:rPr>
          <w:rFonts w:ascii="Times New Roman;Times;serif" w:hAnsi="Times New Roman;Times;serif"/>
          <w:b/>
          <w:sz w:val="20"/>
        </w:rPr>
        <w:t>(Exact name of registrant as specified in its charter)</w:t>
      </w:r>
    </w:p>
    <w:p>
      <w:pPr>
        <w:pStyle w:val="TextBody"/>
        <w:bidi w:val="0"/>
        <w:spacing w:lineRule="auto" w:line="300" w:before="0" w:after="0"/>
        <w:jc w:val="left"/>
        <w:rPr/>
      </w:pPr>
      <w:r>
        <w:rPr/>
        <w:t> </w:t>
      </w:r>
    </w:p>
    <w:tbl>
      <w:tblPr>
        <w:tblW w:w="4255" w:type="dxa"/>
        <w:jc w:val="left"/>
        <w:tblInd w:w="0" w:type="dxa"/>
        <w:tblLayout w:type="fixed"/>
        <w:tblCellMar>
          <w:top w:w="0" w:type="dxa"/>
          <w:left w:w="0" w:type="dxa"/>
          <w:bottom w:w="0" w:type="dxa"/>
          <w:right w:w="0" w:type="dxa"/>
        </w:tblCellMar>
      </w:tblPr>
      <w:tblGrid>
        <w:gridCol w:w="2645"/>
        <w:gridCol w:w="60"/>
        <w:gridCol w:w="1550"/>
      </w:tblGrid>
      <w:tr>
        <w:trPr/>
        <w:tc>
          <w:tcPr>
            <w:tcW w:w="2645" w:type="dxa"/>
            <w:tcBorders/>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Delaware</w:t>
            </w:r>
          </w:p>
        </w:tc>
        <w:tc>
          <w:tcPr>
            <w:tcW w:w="60" w:type="dxa"/>
            <w:tcBorders/>
            <w:vAlign w:val="center"/>
          </w:tcPr>
          <w:p>
            <w:pPr>
              <w:pStyle w:val="TableContents"/>
              <w:bidi w:val="0"/>
              <w:spacing w:lineRule="auto" w:line="300" w:before="0" w:after="0"/>
              <w:jc w:val="left"/>
              <w:rPr/>
            </w:pPr>
            <w:r>
              <w:rPr/>
              <w:t> </w:t>
            </w:r>
          </w:p>
        </w:tc>
        <w:tc>
          <w:tcPr>
            <w:tcW w:w="1550" w:type="dxa"/>
            <w:tcBorders/>
            <w:vAlign w:val="center"/>
          </w:tcPr>
          <w:p>
            <w:pPr>
              <w:pStyle w:val="TableContents"/>
              <w:bidi w:val="0"/>
              <w:spacing w:lineRule="auto" w:line="300" w:before="0" w:after="0"/>
              <w:jc w:val="center"/>
              <w:rPr>
                <w:b/>
              </w:rPr>
            </w:pPr>
            <w:r>
              <w:rPr>
                <w:b/>
              </w:rPr>
              <w:t>20-5338862</w:t>
            </w:r>
          </w:p>
        </w:tc>
      </w:tr>
      <w:tr>
        <w:trPr/>
        <w:tc>
          <w:tcPr>
            <w:tcW w:w="2645" w:type="dxa"/>
            <w:tcBorders/>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(State or other jurisdiction of</w:t>
            </w:r>
          </w:p>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incorporation or organization)</w:t>
            </w:r>
          </w:p>
        </w:tc>
        <w:tc>
          <w:tcPr>
            <w:tcW w:w="60" w:type="dxa"/>
            <w:tcBorders/>
            <w:vAlign w:val="center"/>
          </w:tcPr>
          <w:p>
            <w:pPr>
              <w:pStyle w:val="TableContents"/>
              <w:bidi w:val="0"/>
              <w:spacing w:lineRule="auto" w:line="300" w:before="0" w:after="0"/>
              <w:jc w:val="left"/>
              <w:rPr/>
            </w:pPr>
            <w:r>
              <w:rPr/>
              <w:t> </w:t>
            </w:r>
          </w:p>
        </w:tc>
        <w:tc>
          <w:tcPr>
            <w:tcW w:w="1550" w:type="dxa"/>
            <w:tcBorders/>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(IRS Employer</w:t>
            </w:r>
          </w:p>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Identification No.)</w:t>
            </w:r>
          </w:p>
        </w:tc>
      </w:tr>
      <w:tr>
        <w:trPr/>
        <w:tc>
          <w:tcPr>
            <w:tcW w:w="2645" w:type="dxa"/>
            <w:tcBorders/>
            <w:vAlign w:val="center"/>
          </w:tcPr>
          <w:p>
            <w:pPr>
              <w:pStyle w:val="TableContents"/>
              <w:bidi w:val="0"/>
              <w:spacing w:lineRule="auto" w:line="300" w:before="0" w:after="0"/>
              <w:jc w:val="left"/>
              <w:rPr/>
            </w:pPr>
            <w:r>
              <w:rPr/>
              <w:t> </w:t>
            </w:r>
          </w:p>
        </w:tc>
        <w:tc>
          <w:tcPr>
            <w:tcW w:w="1610" w:type="dxa"/>
            <w:gridSpan w:val="2"/>
            <w:tcBorders/>
            <w:vAlign w:val="center"/>
          </w:tcPr>
          <w:p>
            <w:pPr>
              <w:pStyle w:val="TableContents"/>
              <w:bidi w:val="0"/>
              <w:spacing w:lineRule="auto" w:line="300" w:before="0" w:after="0"/>
              <w:jc w:val="left"/>
              <w:rPr/>
            </w:pPr>
            <w:r>
              <w:rPr/>
              <w:t> </w:t>
            </w:r>
          </w:p>
        </w:tc>
      </w:tr>
      <w:tr>
        <w:trPr/>
        <w:tc>
          <w:tcPr>
            <w:tcW w:w="4255" w:type="dxa"/>
            <w:gridSpan w:val="3"/>
            <w:tcBorders/>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1 HaMada Street</w:t>
            </w:r>
          </w:p>
        </w:tc>
      </w:tr>
      <w:tr>
        <w:trPr/>
        <w:tc>
          <w:tcPr>
            <w:tcW w:w="4255" w:type="dxa"/>
            <w:gridSpan w:val="3"/>
            <w:tcBorders/>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Herziliya Pituach, 4673335, Israel</w:t>
            </w:r>
          </w:p>
        </w:tc>
      </w:tr>
      <w:tr>
        <w:trPr/>
        <w:tc>
          <w:tcPr>
            <w:tcW w:w="4255" w:type="dxa"/>
            <w:gridSpan w:val="3"/>
            <w:tcBorders/>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(Address of Principal Executive Offices, zip code)</w:t>
            </w:r>
          </w:p>
        </w:tc>
      </w:tr>
    </w:tbl>
    <w:p>
      <w:pPr>
        <w:pStyle w:val="TextBody"/>
        <w:bidi w:val="0"/>
        <w:spacing w:lineRule="auto" w:line="300" w:before="0" w:after="0"/>
        <w:jc w:val="left"/>
        <w:rPr/>
      </w:pPr>
      <w:r>
        <w:rPr/>
        <w:t> </w:t>
      </w:r>
    </w:p>
    <w:p>
      <w:pPr>
        <w:pStyle w:val="TextBody"/>
        <w:bidi w:val="0"/>
        <w:spacing w:lineRule="auto" w:line="300" w:before="0" w:after="0"/>
        <w:jc w:val="center"/>
        <w:rPr>
          <w:rFonts w:ascii="Times New Roman;Times;serif" w:hAnsi="Times New Roman;Times;serif"/>
          <w:b/>
        </w:rPr>
      </w:pPr>
      <w:r>
        <w:rPr>
          <w:rFonts w:ascii="Times New Roman;Times;serif" w:hAnsi="Times New Roman;Times;serif"/>
          <w:b/>
          <w:sz w:val="20"/>
        </w:rPr>
        <w:t>972</w:t>
      </w:r>
      <w:r>
        <w:rPr>
          <w:rFonts w:ascii="Times New Roman;Times;serif" w:hAnsi="Times New Roman;Times;serif"/>
          <w:b/>
        </w:rPr>
        <w:t> </w:t>
      </w:r>
      <w:r>
        <w:rPr>
          <w:rFonts w:ascii="Times New Roman;Times;serif" w:hAnsi="Times New Roman;Times;serif"/>
          <w:b/>
          <w:sz w:val="20"/>
        </w:rPr>
        <w:t>(9) 957-6620</w:t>
      </w:r>
    </w:p>
    <w:p>
      <w:pPr>
        <w:pStyle w:val="TextBody"/>
        <w:bidi w:val="0"/>
        <w:spacing w:lineRule="auto" w:line="300" w:before="0" w:after="0"/>
        <w:jc w:val="center"/>
        <w:rPr>
          <w:rFonts w:ascii="Times New Roman;Times;serif" w:hAnsi="Times New Roman;Times;serif"/>
          <w:b/>
          <w:sz w:val="20"/>
        </w:rPr>
      </w:pPr>
      <w:r>
        <w:rPr>
          <w:rFonts w:ascii="Times New Roman;Times;serif" w:hAnsi="Times New Roman;Times;serif"/>
          <w:b/>
          <w:sz w:val="20"/>
        </w:rPr>
        <w:t>(Registrant’s telephone number, including area code)</w:t>
      </w:r>
    </w:p>
    <w:p>
      <w:pPr>
        <w:pStyle w:val="TextBody"/>
        <w:bidi w:val="0"/>
        <w:spacing w:lineRule="auto" w:line="300" w:before="0" w:after="0"/>
        <w:jc w:val="left"/>
        <w:rPr/>
      </w:pPr>
      <w:r>
        <w:rPr/>
        <w:t> </w:t>
      </w:r>
    </w:p>
    <w:p>
      <w:pPr>
        <w:pStyle w:val="TextBody"/>
        <w:bidi w:val="0"/>
        <w:spacing w:lineRule="auto" w:line="300" w:before="0" w:after="0"/>
        <w:jc w:val="center"/>
        <w:rPr>
          <w:rFonts w:ascii="Times New Roman;Times;serif" w:hAnsi="Times New Roman;Times;serif"/>
          <w:b/>
          <w:sz w:val="20"/>
        </w:rPr>
      </w:pPr>
      <w:r>
        <w:rPr>
          <w:rFonts w:ascii="Times New Roman;Times;serif" w:hAnsi="Times New Roman;Times;serif"/>
          <w:b/>
          <w:sz w:val="20"/>
        </w:rPr>
        <w:t>Securities registered pursuant to Section 12(b) of the Act:</w:t>
      </w:r>
    </w:p>
    <w:p>
      <w:pPr>
        <w:pStyle w:val="TextBody"/>
        <w:bidi w:val="0"/>
        <w:spacing w:lineRule="auto" w:line="300" w:before="0" w:after="0"/>
        <w:jc w:val="left"/>
        <w:rPr/>
      </w:pPr>
      <w:r>
        <w:rPr/>
        <w:t> </w:t>
      </w:r>
    </w:p>
    <w:tbl>
      <w:tblPr>
        <w:tblW w:w="9060" w:type="dxa"/>
        <w:jc w:val="left"/>
        <w:tblInd w:w="-15" w:type="dxa"/>
        <w:tblLayout w:type="fixed"/>
        <w:tblCellMar>
          <w:top w:w="28" w:type="dxa"/>
          <w:left w:w="28" w:type="dxa"/>
          <w:bottom w:w="0" w:type="dxa"/>
          <w:right w:w="0" w:type="dxa"/>
        </w:tblCellMar>
      </w:tblPr>
      <w:tblGrid>
        <w:gridCol w:w="3635"/>
        <w:gridCol w:w="1670"/>
        <w:gridCol w:w="3755"/>
      </w:tblGrid>
      <w:tr>
        <w:trPr/>
        <w:tc>
          <w:tcPr>
            <w:tcW w:w="3635" w:type="dxa"/>
            <w:tcBorders>
              <w:top w:val="single" w:sz="12" w:space="0" w:color="000000"/>
              <w:left w:val="single" w:sz="12" w:space="0" w:color="000000"/>
            </w:tcBorders>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Title of each class</w:t>
            </w:r>
          </w:p>
        </w:tc>
        <w:tc>
          <w:tcPr>
            <w:tcW w:w="1670" w:type="dxa"/>
            <w:tcBorders>
              <w:top w:val="single" w:sz="12" w:space="0" w:color="000000"/>
              <w:left w:val="single" w:sz="12" w:space="0" w:color="000000"/>
            </w:tcBorders>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Trading Symbol(s)</w:t>
            </w:r>
          </w:p>
        </w:tc>
        <w:tc>
          <w:tcPr>
            <w:tcW w:w="3755" w:type="dxa"/>
            <w:tcBorders>
              <w:top w:val="single" w:sz="12" w:space="0" w:color="000000"/>
              <w:left w:val="single" w:sz="12" w:space="0" w:color="000000"/>
              <w:right w:val="single" w:sz="12" w:space="0" w:color="000000"/>
            </w:tcBorders>
            <w:tcMar>
              <w:right w:w="28" w:type="dxa"/>
            </w:tcMar>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Name of each exchange on which registered</w:t>
            </w:r>
          </w:p>
        </w:tc>
      </w:tr>
      <w:tr>
        <w:trPr/>
        <w:tc>
          <w:tcPr>
            <w:tcW w:w="3635" w:type="dxa"/>
            <w:tcBorders>
              <w:top w:val="single" w:sz="12" w:space="0" w:color="000000"/>
              <w:left w:val="single" w:sz="12" w:space="0" w:color="000000"/>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sz w:val="20"/>
              </w:rPr>
            </w:pPr>
            <w:r>
              <w:rPr>
                <w:rFonts w:ascii="Times New Roman;Times;serif" w:hAnsi="Times New Roman;Times;serif"/>
                <w:sz w:val="20"/>
              </w:rPr>
              <w:t>Common stock, par value $0.0001 per share</w:t>
            </w:r>
          </w:p>
        </w:tc>
        <w:tc>
          <w:tcPr>
            <w:tcW w:w="1670" w:type="dxa"/>
            <w:tcBorders>
              <w:top w:val="single" w:sz="12" w:space="0" w:color="000000"/>
              <w:left w:val="single" w:sz="12" w:space="0" w:color="000000"/>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sz w:val="20"/>
              </w:rPr>
            </w:pPr>
            <w:r>
              <w:rPr>
                <w:rFonts w:ascii="Times New Roman;Times;serif" w:hAnsi="Times New Roman;Times;serif"/>
                <w:sz w:val="20"/>
              </w:rPr>
              <w:t>SEDG</w:t>
            </w:r>
          </w:p>
        </w:tc>
        <w:tc>
          <w:tcPr>
            <w:tcW w:w="3755" w:type="dxa"/>
            <w:tcBorders>
              <w:top w:val="single" w:sz="12" w:space="0" w:color="000000"/>
              <w:left w:val="single" w:sz="12" w:space="0" w:color="000000"/>
              <w:bottom w:val="single" w:sz="12" w:space="0" w:color="000000"/>
              <w:right w:val="single" w:sz="12" w:space="0" w:color="000000"/>
            </w:tcBorders>
            <w:tcMar>
              <w:bottom w:w="28" w:type="dxa"/>
              <w:right w:w="28" w:type="dxa"/>
            </w:tcMar>
            <w:vAlign w:val="center"/>
          </w:tcPr>
          <w:p>
            <w:pPr>
              <w:pStyle w:val="TableContents"/>
              <w:bidi w:val="0"/>
              <w:spacing w:lineRule="auto" w:line="300" w:before="0" w:after="0"/>
              <w:jc w:val="center"/>
              <w:rPr>
                <w:rFonts w:ascii="Times New Roman;Times;serif" w:hAnsi="Times New Roman;Times;serif"/>
                <w:sz w:val="20"/>
              </w:rPr>
            </w:pPr>
            <w:r>
              <w:rPr>
                <w:rFonts w:ascii="Times New Roman;Times;serif" w:hAnsi="Times New Roman;Times;serif"/>
                <w:sz w:val="20"/>
              </w:rPr>
              <w:t>Nasdaq (Global Select Market)</w:t>
            </w:r>
          </w:p>
        </w:tc>
      </w:tr>
    </w:tbl>
    <w:p>
      <w:pPr>
        <w:pStyle w:val="TextBody"/>
        <w:bidi w:val="0"/>
        <w:spacing w:lineRule="auto" w:line="300" w:before="0" w:after="0"/>
        <w:jc w:val="left"/>
        <w:rPr/>
      </w:pPr>
      <w:r>
        <w:rPr/>
        <w:t> </w:t>
      </w:r>
    </w:p>
    <w:p>
      <w:pPr>
        <w:pStyle w:val="TextBody"/>
        <w:bidi w:val="0"/>
        <w:spacing w:lineRule="auto" w:line="300" w:before="0" w:after="0"/>
        <w:jc w:val="center"/>
        <w:rPr>
          <w:rFonts w:ascii="Times New Roman;Times;serif" w:hAnsi="Times New Roman;Times;serif"/>
          <w:b/>
          <w:sz w:val="20"/>
        </w:rPr>
      </w:pPr>
      <w:r>
        <w:rPr>
          <w:rFonts w:ascii="Times New Roman;Times;serif" w:hAnsi="Times New Roman;Times;serif"/>
          <w:b/>
          <w:sz w:val="20"/>
        </w:rPr>
        <w:t>Securities registered pursuant to Section 12(g) of the Act: None</w:t>
      </w:r>
    </w:p>
    <w:p>
      <w:pPr>
        <w:pStyle w:val="TextBody"/>
        <w:bidi w:val="0"/>
        <w:spacing w:lineRule="auto" w:line="300" w:before="0" w:after="0"/>
        <w:jc w:val="left"/>
        <w:rPr/>
      </w:pPr>
      <w:r>
        <w:rPr/>
        <w:t> </w:t>
      </w:r>
    </w:p>
    <w:p>
      <w:pPr>
        <w:pStyle w:val="TextBody"/>
        <w:bidi w:val="0"/>
        <w:spacing w:lineRule="auto" w:line="300" w:before="0" w:after="0"/>
        <w:ind w:left="0" w:right="0" w:firstLine="540"/>
        <w:jc w:val="left"/>
        <w:rPr>
          <w:rFonts w:ascii="Times New Roman;Times;serif" w:hAnsi="Times New Roman;Times;serif"/>
          <w:sz w:val="20"/>
        </w:rPr>
      </w:pPr>
      <w:r>
        <w:rPr>
          <w:rFonts w:ascii="Times New Roman;Times;serif" w:hAnsi="Times New Roman;Times;serif"/>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p>
    <w:p>
      <w:pPr>
        <w:pStyle w:val="TextBody"/>
        <w:bidi w:val="0"/>
        <w:spacing w:lineRule="auto" w:line="300" w:before="0" w:after="0"/>
        <w:jc w:val="center"/>
        <w:rPr/>
      </w:pPr>
      <w:r>
        <w:rPr/>
        <w:t> </w:t>
      </w:r>
    </w:p>
    <w:p>
      <w:pPr>
        <w:pStyle w:val="TextBody"/>
        <w:bidi w:val="0"/>
        <w:spacing w:lineRule="auto" w:line="300" w:before="0" w:after="0"/>
        <w:jc w:val="center"/>
        <w:rPr>
          <w:rFonts w:ascii="Times New Roman;Times;serif" w:hAnsi="Times New Roman;Times;serif"/>
          <w:sz w:val="20"/>
        </w:rPr>
      </w:pPr>
      <w:r>
        <w:rPr>
          <w:rFonts w:ascii="Times New Roman;Times;serif" w:hAnsi="Times New Roman;Times;serif"/>
          <w:sz w:val="20"/>
        </w:rPr>
        <w:t>Yes ☒      No ☐</w:t>
      </w:r>
    </w:p>
    <w:p>
      <w:pPr>
        <w:pStyle w:val="TextBody"/>
        <w:bidi w:val="0"/>
        <w:spacing w:lineRule="auto" w:line="300" w:before="0" w:after="0"/>
        <w:jc w:val="center"/>
        <w:rPr/>
      </w:pPr>
      <w:r>
        <w:rPr/>
        <w:t> </w:t>
      </w:r>
    </w:p>
    <w:p>
      <w:pPr>
        <w:pStyle w:val="TextBody"/>
        <w:bidi w:val="0"/>
        <w:spacing w:lineRule="auto" w:line="300" w:before="0" w:after="0"/>
        <w:ind w:left="0" w:right="0" w:firstLine="540"/>
        <w:jc w:val="left"/>
        <w:rPr>
          <w:rFonts w:ascii="Times New Roman;Times;serif" w:hAnsi="Times New Roman;Times;serif"/>
          <w:sz w:val="20"/>
        </w:rPr>
      </w:pPr>
      <w:r>
        <w:rPr>
          <w:rFonts w:ascii="Times New Roman;Times;serif" w:hAnsi="Times New Roman;Times;serif"/>
          <w:sz w:val="20"/>
        </w:rPr>
        <w:t>Indicate by check mark whether the registrant has submitted electronically every Interactive Data File required to be submitted pursuant to Rule 405 of Regulation S-T during the preceding 12 months (or for such shorter period that the registrant was required to submit such files). </w:t>
      </w:r>
    </w:p>
    <w:p>
      <w:pPr>
        <w:pStyle w:val="TextBody"/>
        <w:bidi w:val="0"/>
        <w:spacing w:lineRule="auto" w:line="300" w:before="0" w:after="0"/>
        <w:jc w:val="center"/>
        <w:rPr/>
      </w:pPr>
      <w:r>
        <w:rPr/>
        <w:t> </w:t>
      </w:r>
    </w:p>
    <w:p>
      <w:pPr>
        <w:pStyle w:val="TextBody"/>
        <w:bidi w:val="0"/>
        <w:spacing w:lineRule="auto" w:line="300" w:before="0" w:after="0"/>
        <w:jc w:val="center"/>
        <w:rPr>
          <w:rFonts w:ascii="Times New Roman;Times;serif" w:hAnsi="Times New Roman;Times;serif"/>
          <w:sz w:val="20"/>
        </w:rPr>
      </w:pPr>
      <w:r>
        <w:rPr>
          <w:rFonts w:ascii="Times New Roman;Times;serif" w:hAnsi="Times New Roman;Times;serif"/>
          <w:sz w:val="20"/>
        </w:rPr>
        <w:t>Yes ☒      No ☐</w:t>
      </w:r>
    </w:p>
    <w:p>
      <w:pPr>
        <w:pStyle w:val="TextBody"/>
        <w:bidi w:val="0"/>
        <w:spacing w:lineRule="auto" w:line="300" w:before="0" w:after="0"/>
        <w:jc w:val="left"/>
        <w:rPr/>
      </w:pPr>
      <w:r>
        <w:rPr/>
        <w:t> </w:t>
      </w:r>
    </w:p>
    <w:p>
      <w:pPr>
        <w:pStyle w:val="TextBody"/>
        <w:bidi w:val="0"/>
        <w:spacing w:lineRule="auto" w:line="300" w:before="0" w:after="0"/>
        <w:ind w:left="0" w:right="0" w:firstLine="540"/>
        <w:jc w:val="left"/>
        <w:rPr>
          <w:rFonts w:ascii="Times New Roman;Times;serif" w:hAnsi="Times New Roman;Times;serif"/>
          <w:sz w:val="20"/>
        </w:rPr>
      </w:pPr>
      <w:r>
        <w:rPr>
          <w:rFonts w:ascii="Times New Roman;Times;serif" w:hAnsi="Times New Roman;Times;serif"/>
          <w:sz w:val="20"/>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pStyle w:val="TextBody"/>
        <w:bidi w:val="0"/>
        <w:spacing w:lineRule="auto" w:line="300" w:before="0" w:after="0"/>
        <w:jc w:val="left"/>
        <w:rPr/>
      </w:pPr>
      <w:r>
        <w:rPr/>
        <w:t> </w:t>
      </w:r>
    </w:p>
    <w:tbl>
      <w:tblPr>
        <w:tblW w:w="4655" w:type="dxa"/>
        <w:jc w:val="left"/>
        <w:tblInd w:w="0" w:type="dxa"/>
        <w:tblLayout w:type="fixed"/>
        <w:tblCellMar>
          <w:top w:w="0" w:type="dxa"/>
          <w:left w:w="0" w:type="dxa"/>
          <w:bottom w:w="0" w:type="dxa"/>
          <w:right w:w="0" w:type="dxa"/>
        </w:tblCellMar>
      </w:tblPr>
      <w:tblGrid>
        <w:gridCol w:w="1835"/>
        <w:gridCol w:w="230"/>
        <w:gridCol w:w="2345"/>
        <w:gridCol w:w="245"/>
      </w:tblGrid>
      <w:tr>
        <w:trPr/>
        <w:tc>
          <w:tcPr>
            <w:tcW w:w="1835" w:type="dxa"/>
            <w:tcBorders/>
            <w:vAlign w:val="center"/>
          </w:tcPr>
          <w:p>
            <w:pPr>
              <w:pStyle w:val="TableContents"/>
              <w:bidi w:val="0"/>
              <w:spacing w:lineRule="auto" w:line="300" w:before="0" w:after="0"/>
              <w:jc w:val="center"/>
              <w:rPr>
                <w:rFonts w:ascii="Times New Roman;Times;serif" w:hAnsi="Times New Roman;Times;serif"/>
                <w:sz w:val="20"/>
              </w:rPr>
            </w:pPr>
            <w:r>
              <w:rPr>
                <w:rFonts w:ascii="Times New Roman;Times;serif" w:hAnsi="Times New Roman;Times;serif"/>
                <w:sz w:val="20"/>
              </w:rPr>
              <w:t>Large accelerated filer</w:t>
            </w:r>
          </w:p>
        </w:tc>
        <w:tc>
          <w:tcPr>
            <w:tcW w:w="230" w:type="dxa"/>
            <w:tcBorders/>
            <w:vAlign w:val="center"/>
          </w:tcPr>
          <w:p>
            <w:pPr>
              <w:pStyle w:val="TableContents"/>
              <w:bidi w:val="0"/>
              <w:spacing w:lineRule="auto" w:line="300" w:before="0" w:after="0"/>
              <w:jc w:val="left"/>
              <w:rPr/>
            </w:pPr>
            <w:r>
              <w:rPr/>
              <w:t>☒</w:t>
            </w:r>
          </w:p>
        </w:tc>
        <w:tc>
          <w:tcPr>
            <w:tcW w:w="2345" w:type="dxa"/>
            <w:tcBorders/>
            <w:vAlign w:val="center"/>
          </w:tcPr>
          <w:p>
            <w:pPr>
              <w:pStyle w:val="TableContents"/>
              <w:bidi w:val="0"/>
              <w:spacing w:lineRule="auto" w:line="300" w:before="0" w:after="0"/>
              <w:jc w:val="center"/>
              <w:rPr>
                <w:rFonts w:ascii="Times New Roman;Times;serif" w:hAnsi="Times New Roman;Times;serif"/>
                <w:sz w:val="20"/>
              </w:rPr>
            </w:pPr>
            <w:r>
              <w:rPr>
                <w:rFonts w:ascii="Times New Roman;Times;serif" w:hAnsi="Times New Roman;Times;serif"/>
                <w:sz w:val="20"/>
              </w:rPr>
              <w:t>Accelerated filer</w:t>
            </w:r>
          </w:p>
        </w:tc>
        <w:tc>
          <w:tcPr>
            <w:tcW w:w="245" w:type="dxa"/>
            <w:tcBorders/>
            <w:vAlign w:val="center"/>
          </w:tcPr>
          <w:p>
            <w:pPr>
              <w:pStyle w:val="TableContents"/>
              <w:bidi w:val="0"/>
              <w:spacing w:lineRule="auto" w:line="300" w:before="0" w:after="0"/>
              <w:jc w:val="center"/>
              <w:rPr/>
            </w:pPr>
            <w:r>
              <w:rPr/>
              <w:t>☐</w:t>
            </w:r>
          </w:p>
        </w:tc>
      </w:tr>
      <w:tr>
        <w:trPr/>
        <w:tc>
          <w:tcPr>
            <w:tcW w:w="1835" w:type="dxa"/>
            <w:tcBorders/>
            <w:vAlign w:val="center"/>
          </w:tcPr>
          <w:p>
            <w:pPr>
              <w:pStyle w:val="TableContents"/>
              <w:bidi w:val="0"/>
              <w:spacing w:lineRule="auto" w:line="300" w:before="0" w:after="0"/>
              <w:jc w:val="center"/>
              <w:rPr>
                <w:rFonts w:ascii="Times New Roman;Times;serif" w:hAnsi="Times New Roman;Times;serif"/>
                <w:sz w:val="20"/>
              </w:rPr>
            </w:pPr>
            <w:r>
              <w:rPr>
                <w:rFonts w:ascii="Times New Roman;Times;serif" w:hAnsi="Times New Roman;Times;serif"/>
                <w:sz w:val="20"/>
              </w:rPr>
              <w:t>Non-accelerated filer</w:t>
            </w:r>
          </w:p>
        </w:tc>
        <w:tc>
          <w:tcPr>
            <w:tcW w:w="230" w:type="dxa"/>
            <w:tcBorders/>
            <w:vAlign w:val="center"/>
          </w:tcPr>
          <w:p>
            <w:pPr>
              <w:pStyle w:val="TableContents"/>
              <w:bidi w:val="0"/>
              <w:spacing w:lineRule="auto" w:line="300" w:before="0" w:after="0"/>
              <w:jc w:val="left"/>
              <w:rPr/>
            </w:pPr>
            <w:r>
              <w:rPr/>
              <w:t>☐</w:t>
            </w:r>
          </w:p>
        </w:tc>
        <w:tc>
          <w:tcPr>
            <w:tcW w:w="2345" w:type="dxa"/>
            <w:tcBorders/>
            <w:vAlign w:val="center"/>
          </w:tcPr>
          <w:p>
            <w:pPr>
              <w:pStyle w:val="TableContents"/>
              <w:bidi w:val="0"/>
              <w:spacing w:lineRule="auto" w:line="300" w:before="0" w:after="0"/>
              <w:jc w:val="center"/>
              <w:rPr>
                <w:rFonts w:ascii="Times New Roman;Times;serif" w:hAnsi="Times New Roman;Times;serif"/>
                <w:sz w:val="20"/>
              </w:rPr>
            </w:pPr>
            <w:r>
              <w:rPr>
                <w:rFonts w:ascii="Times New Roman;Times;serif" w:hAnsi="Times New Roman;Times;serif"/>
                <w:sz w:val="20"/>
              </w:rPr>
              <w:t>Smaller Reporting Company</w:t>
            </w:r>
          </w:p>
        </w:tc>
        <w:tc>
          <w:tcPr>
            <w:tcW w:w="245" w:type="dxa"/>
            <w:tcBorders/>
            <w:vAlign w:val="center"/>
          </w:tcPr>
          <w:p>
            <w:pPr>
              <w:pStyle w:val="TableContents"/>
              <w:bidi w:val="0"/>
              <w:spacing w:lineRule="auto" w:line="300" w:before="0" w:after="0"/>
              <w:jc w:val="center"/>
              <w:rPr/>
            </w:pPr>
            <w:r>
              <w:rPr/>
              <w:t>☐</w:t>
            </w:r>
          </w:p>
        </w:tc>
      </w:tr>
      <w:tr>
        <w:trPr/>
        <w:tc>
          <w:tcPr>
            <w:tcW w:w="183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c>
          <w:tcPr>
            <w:tcW w:w="2345" w:type="dxa"/>
            <w:tcBorders/>
            <w:vAlign w:val="center"/>
          </w:tcPr>
          <w:p>
            <w:pPr>
              <w:pStyle w:val="TableContents"/>
              <w:bidi w:val="0"/>
              <w:spacing w:lineRule="auto" w:line="300" w:before="0" w:after="0"/>
              <w:jc w:val="center"/>
              <w:rPr>
                <w:rFonts w:ascii="Times New Roman;Times;serif" w:hAnsi="Times New Roman;Times;serif"/>
                <w:sz w:val="20"/>
              </w:rPr>
            </w:pPr>
            <w:r>
              <w:rPr>
                <w:rFonts w:ascii="Times New Roman;Times;serif" w:hAnsi="Times New Roman;Times;serif"/>
                <w:sz w:val="20"/>
              </w:rPr>
              <w:t>Emerging growth company</w:t>
            </w:r>
          </w:p>
        </w:tc>
        <w:tc>
          <w:tcPr>
            <w:tcW w:w="245" w:type="dxa"/>
            <w:tcBorders/>
            <w:vAlign w:val="center"/>
          </w:tcPr>
          <w:p>
            <w:pPr>
              <w:pStyle w:val="TableContents"/>
              <w:bidi w:val="0"/>
              <w:spacing w:lineRule="auto" w:line="300" w:before="0" w:after="0"/>
              <w:jc w:val="center"/>
              <w:rPr/>
            </w:pPr>
            <w:r>
              <w:rPr/>
              <w:t>☐</w:t>
            </w:r>
          </w:p>
        </w:tc>
      </w:tr>
    </w:tbl>
    <w:p>
      <w:pPr>
        <w:pStyle w:val="TextBody"/>
        <w:bidi w:val="0"/>
        <w:spacing w:lineRule="auto" w:line="300" w:before="0" w:after="0"/>
        <w:jc w:val="left"/>
        <w:rPr/>
      </w:pPr>
      <w:r>
        <w:rPr/>
        <w:t> </w:t>
      </w:r>
    </w:p>
    <w:p>
      <w:pPr>
        <w:pStyle w:val="TextBody"/>
        <w:bidi w:val="0"/>
        <w:spacing w:lineRule="auto" w:line="300" w:before="0" w:after="0"/>
        <w:ind w:left="0" w:right="0" w:firstLine="540"/>
        <w:jc w:val="left"/>
        <w:rPr>
          <w:rFonts w:ascii="Times New Roman;Times;serif" w:hAnsi="Times New Roman;Times;serif"/>
          <w:sz w:val="20"/>
        </w:rPr>
      </w:pPr>
      <w:r>
        <w:rPr>
          <w:rFonts w:ascii="Times New Roman;Times;serif" w:hAnsi="Times New Roman;Times;serif"/>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lineRule="auto" w:line="300" w:before="0" w:after="0"/>
        <w:jc w:val="left"/>
        <w:rPr/>
      </w:pPr>
      <w:r>
        <w:rPr/>
        <w:t> </w:t>
      </w:r>
    </w:p>
    <w:p>
      <w:pPr>
        <w:pStyle w:val="TextBody"/>
        <w:bidi w:val="0"/>
        <w:spacing w:lineRule="auto" w:line="300" w:before="0" w:after="0"/>
        <w:ind w:left="0" w:right="0" w:firstLine="540"/>
        <w:jc w:val="both"/>
        <w:rPr>
          <w:rFonts w:ascii="Times New Roman;Times;serif" w:hAnsi="Times New Roman;Times;serif"/>
          <w:sz w:val="20"/>
        </w:rPr>
      </w:pPr>
      <w:r>
        <w:rPr>
          <w:rFonts w:ascii="Times New Roman;Times;serif" w:hAnsi="Times New Roman;Times;serif"/>
          <w:sz w:val="20"/>
        </w:rPr>
        <w:t xml:space="preserve">Indicate by checkmark whether the registrant is a shell company (as defined in Rule 12b-2 of the Exchange Act).  </w:t>
      </w:r>
    </w:p>
    <w:p>
      <w:pPr>
        <w:pStyle w:val="TextBody"/>
        <w:bidi w:val="0"/>
        <w:spacing w:lineRule="auto" w:line="300" w:before="0" w:after="0"/>
        <w:jc w:val="both"/>
        <w:rPr/>
      </w:pPr>
      <w:r>
        <w:rPr/>
        <w:t> </w:t>
      </w:r>
    </w:p>
    <w:p>
      <w:pPr>
        <w:pStyle w:val="TextBody"/>
        <w:bidi w:val="0"/>
        <w:spacing w:lineRule="auto" w:line="300" w:before="0" w:after="0"/>
        <w:jc w:val="center"/>
        <w:rPr>
          <w:rFonts w:ascii="Times New Roman;Times;serif" w:hAnsi="Times New Roman;Times;serif"/>
          <w:sz w:val="20"/>
        </w:rPr>
      </w:pPr>
      <w:r>
        <w:rPr>
          <w:rFonts w:ascii="Times New Roman;Times;serif" w:hAnsi="Times New Roman;Times;serif"/>
          <w:sz w:val="20"/>
        </w:rPr>
        <w:t>Yes ☐      No ☒</w:t>
      </w:r>
    </w:p>
    <w:p>
      <w:pPr>
        <w:pStyle w:val="TextBody"/>
        <w:bidi w:val="0"/>
        <w:spacing w:lineRule="auto" w:line="300" w:before="0" w:after="0"/>
        <w:jc w:val="left"/>
        <w:rPr/>
      </w:pPr>
      <w:r>
        <w:rPr/>
        <w:t> </w:t>
      </w:r>
    </w:p>
    <w:p>
      <w:pPr>
        <w:pStyle w:val="TextBody"/>
        <w:bidi w:val="0"/>
        <w:spacing w:lineRule="auto" w:line="300" w:before="0" w:after="0"/>
        <w:ind w:left="0" w:right="0" w:firstLine="540"/>
        <w:jc w:val="left"/>
        <w:rPr>
          <w:rFonts w:ascii="Times New Roman;Times;serif" w:hAnsi="Times New Roman;Times;serif"/>
          <w:sz w:val="20"/>
        </w:rPr>
      </w:pPr>
      <w:r>
        <w:rPr>
          <w:rFonts w:ascii="Times New Roman;Times;serif" w:hAnsi="Times New Roman;Times;serif"/>
          <w:sz w:val="20"/>
        </w:rPr>
        <w:t>As of August 3, 2026, there were 61,525,748 shares of the registrant’s common stock, par value of $0.0001 per share, outstanding.</w:t>
      </w:r>
    </w:p>
    <w:p>
      <w:pPr>
        <w:pStyle w:val="TextBody"/>
        <w:bidi w:val="0"/>
        <w:spacing w:lineRule="auto" w:line="300" w:before="0" w:after="0"/>
        <w:jc w:val="left"/>
        <w:rPr/>
      </w:pPr>
      <w:r>
        <w:rPr/>
        <w:t> </w:t>
      </w:r>
    </w:p>
    <w:p>
      <w:pPr>
        <w:pStyle w:val="HorizontalLine"/>
        <w:bidi w:val="0"/>
        <w:spacing w:before="200" w:after="200"/>
        <w:jc w:val="left"/>
        <w:rPr/>
      </w:pPr>
      <w:r>
        <w:rPr/>
      </w:r>
    </w:p>
    <w:p>
      <w:pPr>
        <w:pStyle w:val="TextBody"/>
        <w:bidi w:val="0"/>
        <w:spacing w:lineRule="auto" w:line="300" w:before="0" w:after="0"/>
        <w:jc w:val="center"/>
        <w:rPr>
          <w:rFonts w:ascii="Times New Roman;Times;serif" w:hAnsi="Times New Roman;Times;serif"/>
          <w:b/>
          <w:sz w:val="20"/>
        </w:rPr>
      </w:pPr>
      <w:r>
        <w:rPr>
          <w:rFonts w:ascii="Times New Roman;Times;serif" w:hAnsi="Times New Roman;Times;serif"/>
          <w:b/>
          <w:sz w:val="20"/>
        </w:rPr>
        <w:t>TABLE OF CONTENTS</w:t>
      </w:r>
    </w:p>
    <w:p>
      <w:pPr>
        <w:pStyle w:val="TextBody"/>
        <w:bidi w:val="0"/>
        <w:spacing w:lineRule="auto" w:line="300" w:before="0" w:after="0"/>
        <w:jc w:val="left"/>
        <w:rPr/>
      </w:pPr>
      <w:r>
        <w:rPr/>
        <w:t> </w:t>
      </w:r>
    </w:p>
    <w:tbl>
      <w:tblPr>
        <w:tblW w:w="8515" w:type="dxa"/>
        <w:jc w:val="left"/>
        <w:tblInd w:w="0" w:type="dxa"/>
        <w:tblLayout w:type="fixed"/>
        <w:tblCellMar>
          <w:top w:w="30" w:type="dxa"/>
          <w:left w:w="30" w:type="dxa"/>
          <w:bottom w:w="30" w:type="dxa"/>
          <w:right w:w="30" w:type="dxa"/>
        </w:tblCellMar>
      </w:tblPr>
      <w:tblGrid>
        <w:gridCol w:w="8060"/>
        <w:gridCol w:w="455"/>
      </w:tblGrid>
      <w:tr>
        <w:trPr/>
        <w:tc>
          <w:tcPr>
            <w:tcW w:w="8060" w:type="dxa"/>
            <w:tcBorders/>
            <w:vAlign w:val="center"/>
          </w:tcPr>
          <w:p>
            <w:pPr>
              <w:pStyle w:val="TableContents"/>
              <w:bidi w:val="0"/>
              <w:spacing w:lineRule="auto" w:line="300" w:before="0" w:after="0"/>
              <w:jc w:val="left"/>
              <w:rPr/>
            </w:pPr>
            <w:hyperlink w:anchor="PARTI.FINANCIALINFORMATIO">
              <w:r>
                <w:rPr>
                  <w:rStyle w:val="InternetLink"/>
                  <w:rFonts w:ascii="Times New Roman;Times;serif" w:hAnsi="Times New Roman;Times;serif"/>
                  <w:b/>
                  <w:sz w:val="20"/>
                </w:rPr>
                <w:t>PART I. FINANCIAL INFORMATION</w:t>
              </w:r>
            </w:hyperlink>
          </w:p>
        </w:tc>
        <w:tc>
          <w:tcPr>
            <w:tcW w:w="455" w:type="dxa"/>
            <w:tcBorders/>
            <w:vAlign w:val="center"/>
          </w:tcPr>
          <w:p>
            <w:pPr>
              <w:pStyle w:val="TableContents"/>
              <w:bidi w:val="0"/>
              <w:spacing w:before="0" w:after="283"/>
              <w:jc w:val="left"/>
              <w:rPr/>
            </w:pPr>
            <w:r>
              <w:rPr/>
              <w:t> </w:t>
            </w:r>
          </w:p>
        </w:tc>
      </w:tr>
      <w:tr>
        <w:trPr/>
        <w:tc>
          <w:tcPr>
            <w:tcW w:w="8060" w:type="dxa"/>
            <w:tcBorders/>
            <w:vAlign w:val="center"/>
          </w:tcPr>
          <w:p>
            <w:pPr>
              <w:pStyle w:val="TableContents"/>
              <w:bidi w:val="0"/>
              <w:spacing w:lineRule="auto" w:line="300" w:before="0" w:after="0"/>
              <w:jc w:val="left"/>
              <w:rPr/>
            </w:pPr>
            <w:hyperlink w:anchor="PARTI.FINANCIALINFORMATIO">
              <w:r>
                <w:rPr>
                  <w:rStyle w:val="InternetLink"/>
                  <w:rFonts w:ascii="Times New Roman;Times;serif" w:hAnsi="Times New Roman;Times;serif"/>
                  <w:sz w:val="20"/>
                </w:rPr>
                <w:t>ITEM 1. Financial Statements</w:t>
              </w:r>
            </w:hyperlink>
          </w:p>
        </w:tc>
        <w:tc>
          <w:tcPr>
            <w:tcW w:w="455"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F - 1</w:t>
            </w:r>
          </w:p>
        </w:tc>
      </w:tr>
      <w:tr>
        <w:trPr/>
        <w:tc>
          <w:tcPr>
            <w:tcW w:w="8060" w:type="dxa"/>
            <w:tcBorders/>
            <w:vAlign w:val="center"/>
          </w:tcPr>
          <w:p>
            <w:pPr>
              <w:pStyle w:val="TableContents"/>
              <w:bidi w:val="0"/>
              <w:spacing w:lineRule="auto" w:line="300" w:before="0" w:after="0"/>
              <w:ind w:left="120" w:right="0" w:hanging="0"/>
              <w:jc w:val="left"/>
              <w:rPr/>
            </w:pPr>
            <w:hyperlink w:anchor="PARTI.FINANCIALINFORMATIO">
              <w:r>
                <w:rPr>
                  <w:rStyle w:val="InternetLink"/>
                  <w:rFonts w:ascii="Times New Roman;Times;serif" w:hAnsi="Times New Roman;Times;serif"/>
                  <w:sz w:val="20"/>
                </w:rPr>
                <w:t>Condensed Consolidated Balance Sheets</w:t>
              </w:r>
            </w:hyperlink>
          </w:p>
        </w:tc>
        <w:tc>
          <w:tcPr>
            <w:tcW w:w="455"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F - 1</w:t>
            </w:r>
          </w:p>
        </w:tc>
      </w:tr>
      <w:tr>
        <w:trPr/>
        <w:tc>
          <w:tcPr>
            <w:tcW w:w="8060" w:type="dxa"/>
            <w:tcBorders/>
            <w:vAlign w:val="center"/>
          </w:tcPr>
          <w:p>
            <w:pPr>
              <w:pStyle w:val="TableContents"/>
              <w:bidi w:val="0"/>
              <w:spacing w:lineRule="auto" w:line="300" w:before="0" w:after="0"/>
              <w:ind w:left="120" w:right="0" w:hanging="0"/>
              <w:jc w:val="left"/>
              <w:rPr/>
            </w:pPr>
            <w:hyperlink w:anchor="STATEMENTSOFLOSS">
              <w:r>
                <w:rPr>
                  <w:rStyle w:val="InternetLink"/>
                  <w:rFonts w:ascii="Times New Roman;Times;serif" w:hAnsi="Times New Roman;Times;serif"/>
                  <w:sz w:val="20"/>
                </w:rPr>
                <w:t>Condensed Consolidated Statements of  Loss</w:t>
              </w:r>
            </w:hyperlink>
          </w:p>
        </w:tc>
        <w:tc>
          <w:tcPr>
            <w:tcW w:w="455"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F - 3</w:t>
            </w:r>
          </w:p>
        </w:tc>
      </w:tr>
      <w:tr>
        <w:trPr/>
        <w:tc>
          <w:tcPr>
            <w:tcW w:w="8060" w:type="dxa"/>
            <w:tcBorders/>
            <w:vAlign w:val="center"/>
          </w:tcPr>
          <w:p>
            <w:pPr>
              <w:pStyle w:val="TableContents"/>
              <w:bidi w:val="0"/>
              <w:spacing w:lineRule="auto" w:line="300" w:before="0" w:after="0"/>
              <w:ind w:left="120" w:right="0" w:hanging="0"/>
              <w:jc w:val="left"/>
              <w:rPr/>
            </w:pPr>
            <w:hyperlink w:anchor="COMPREHENSIVELOSS">
              <w:r>
                <w:rPr>
                  <w:rStyle w:val="InternetLink"/>
                  <w:rFonts w:ascii="Times New Roman;Times;serif" w:hAnsi="Times New Roman;Times;serif"/>
                  <w:sz w:val="20"/>
                </w:rPr>
                <w:t>Condensed Consolidated Statements of Comprehensive Loss</w:t>
              </w:r>
            </w:hyperlink>
          </w:p>
        </w:tc>
        <w:tc>
          <w:tcPr>
            <w:tcW w:w="455"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F - 4</w:t>
            </w:r>
          </w:p>
        </w:tc>
      </w:tr>
      <w:tr>
        <w:trPr/>
        <w:tc>
          <w:tcPr>
            <w:tcW w:w="8060" w:type="dxa"/>
            <w:tcBorders/>
            <w:vAlign w:val="center"/>
          </w:tcPr>
          <w:p>
            <w:pPr>
              <w:pStyle w:val="TableContents"/>
              <w:bidi w:val="0"/>
              <w:spacing w:lineRule="auto" w:line="300" w:before="0" w:after="0"/>
              <w:ind w:left="120" w:right="0" w:hanging="0"/>
              <w:jc w:val="left"/>
              <w:rPr/>
            </w:pPr>
            <w:hyperlink w:anchor="QUITY">
              <w:r>
                <w:rPr>
                  <w:rStyle w:val="InternetLink"/>
                  <w:rFonts w:ascii="Times New Roman;Times;serif" w:hAnsi="Times New Roman;Times;serif"/>
                  <w:sz w:val="20"/>
                </w:rPr>
                <w:t>Condensed Consolidated Statements of Stockholders’ Equity</w:t>
              </w:r>
            </w:hyperlink>
          </w:p>
        </w:tc>
        <w:tc>
          <w:tcPr>
            <w:tcW w:w="455"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F - 5</w:t>
            </w:r>
          </w:p>
        </w:tc>
      </w:tr>
      <w:tr>
        <w:trPr/>
        <w:tc>
          <w:tcPr>
            <w:tcW w:w="8060" w:type="dxa"/>
            <w:tcBorders/>
            <w:vAlign w:val="center"/>
          </w:tcPr>
          <w:p>
            <w:pPr>
              <w:pStyle w:val="TableContents"/>
              <w:bidi w:val="0"/>
              <w:spacing w:lineRule="auto" w:line="300" w:before="0" w:after="0"/>
              <w:ind w:left="120" w:right="0" w:hanging="0"/>
              <w:jc w:val="left"/>
              <w:rPr/>
            </w:pPr>
            <w:hyperlink w:anchor="ASHFLOWS">
              <w:r>
                <w:rPr>
                  <w:rStyle w:val="InternetLink"/>
                  <w:rFonts w:ascii="Times New Roman;Times;serif" w:hAnsi="Times New Roman;Times;serif"/>
                  <w:sz w:val="20"/>
                </w:rPr>
                <w:t>Condensed Consolidated Statements of Cash Flows</w:t>
              </w:r>
            </w:hyperlink>
          </w:p>
        </w:tc>
        <w:tc>
          <w:tcPr>
            <w:tcW w:w="455"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F - 7</w:t>
            </w:r>
          </w:p>
        </w:tc>
      </w:tr>
      <w:tr>
        <w:trPr/>
        <w:tc>
          <w:tcPr>
            <w:tcW w:w="8060" w:type="dxa"/>
            <w:tcBorders/>
            <w:vAlign w:val="center"/>
          </w:tcPr>
          <w:p>
            <w:pPr>
              <w:pStyle w:val="TableContents"/>
              <w:bidi w:val="0"/>
              <w:spacing w:lineRule="auto" w:line="300" w:before="0" w:after="0"/>
              <w:ind w:left="120" w:right="0" w:hanging="0"/>
              <w:jc w:val="left"/>
              <w:rPr/>
            </w:pPr>
            <w:hyperlink w:anchor="NOTE">
              <w:r>
                <w:rPr>
                  <w:rStyle w:val="InternetLink"/>
                  <w:rFonts w:ascii="Times New Roman;Times;serif" w:hAnsi="Times New Roman;Times;serif"/>
                  <w:sz w:val="20"/>
                </w:rPr>
                <w:t>Notes to Condensed Consolidated Financial Statements</w:t>
              </w:r>
            </w:hyperlink>
          </w:p>
        </w:tc>
        <w:tc>
          <w:tcPr>
            <w:tcW w:w="455"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F - 9</w:t>
            </w:r>
          </w:p>
        </w:tc>
      </w:tr>
      <w:tr>
        <w:trPr/>
        <w:tc>
          <w:tcPr>
            <w:tcW w:w="8060" w:type="dxa"/>
            <w:tcBorders/>
            <w:vAlign w:val="center"/>
          </w:tcPr>
          <w:p>
            <w:pPr>
              <w:pStyle w:val="TableContents"/>
              <w:bidi w:val="0"/>
              <w:spacing w:lineRule="auto" w:line="300" w:before="0" w:after="0"/>
              <w:jc w:val="left"/>
              <w:rPr/>
            </w:pPr>
            <w:hyperlink w:anchor="ITEM2">
              <w:r>
                <w:rPr>
                  <w:rStyle w:val="InternetLink"/>
                  <w:rFonts w:ascii="Times New Roman;Times;serif" w:hAnsi="Times New Roman;Times;serif"/>
                  <w:sz w:val="20"/>
                </w:rPr>
                <w:t>ITEM 2. Management’s Discussion and Analysis of Financial Condition and Results of Operations</w:t>
              </w:r>
            </w:hyperlink>
          </w:p>
        </w:tc>
        <w:tc>
          <w:tcPr>
            <w:tcW w:w="455" w:type="dxa"/>
            <w:tcBorders/>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3</w:t>
            </w:r>
          </w:p>
        </w:tc>
      </w:tr>
      <w:tr>
        <w:trPr/>
        <w:tc>
          <w:tcPr>
            <w:tcW w:w="8060" w:type="dxa"/>
            <w:tcBorders/>
            <w:vAlign w:val="center"/>
          </w:tcPr>
          <w:p>
            <w:pPr>
              <w:pStyle w:val="TableContents"/>
              <w:bidi w:val="0"/>
              <w:spacing w:lineRule="auto" w:line="300" w:before="0" w:after="0"/>
              <w:jc w:val="left"/>
              <w:rPr/>
            </w:pPr>
            <w:hyperlink w:anchor="ITEM3">
              <w:r>
                <w:rPr>
                  <w:rStyle w:val="InternetLink"/>
                  <w:rFonts w:ascii="Times New Roman;Times;serif" w:hAnsi="Times New Roman;Times;serif"/>
                  <w:sz w:val="20"/>
                </w:rPr>
                <w:t>ITEM 3. Quantitative and Qualitative Disclosures About Market Risk</w:t>
              </w:r>
            </w:hyperlink>
          </w:p>
        </w:tc>
        <w:tc>
          <w:tcPr>
            <w:tcW w:w="455"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19</w:t>
            </w:r>
          </w:p>
        </w:tc>
      </w:tr>
      <w:tr>
        <w:trPr/>
        <w:tc>
          <w:tcPr>
            <w:tcW w:w="8060" w:type="dxa"/>
            <w:tcBorders/>
            <w:vAlign w:val="center"/>
          </w:tcPr>
          <w:p>
            <w:pPr>
              <w:pStyle w:val="TableContents"/>
              <w:bidi w:val="0"/>
              <w:spacing w:lineRule="auto" w:line="300" w:before="0" w:after="0"/>
              <w:jc w:val="left"/>
              <w:rPr/>
            </w:pPr>
            <w:hyperlink w:anchor="ITEM4">
              <w:r>
                <w:rPr>
                  <w:rStyle w:val="InternetLink"/>
                  <w:rFonts w:ascii="Times New Roman;Times;serif" w:hAnsi="Times New Roman;Times;serif"/>
                  <w:sz w:val="20"/>
                </w:rPr>
                <w:t>ITEM 4. Controls and Procedures</w:t>
              </w:r>
            </w:hyperlink>
          </w:p>
        </w:tc>
        <w:tc>
          <w:tcPr>
            <w:tcW w:w="455"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w:t>
            </w:r>
          </w:p>
        </w:tc>
      </w:tr>
      <w:tr>
        <w:trPr/>
        <w:tc>
          <w:tcPr>
            <w:tcW w:w="8060"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spacing w:before="0" w:after="283"/>
              <w:jc w:val="left"/>
              <w:rPr/>
            </w:pPr>
            <w:r>
              <w:rPr/>
              <w:t> </w:t>
            </w:r>
          </w:p>
        </w:tc>
      </w:tr>
      <w:tr>
        <w:trPr/>
        <w:tc>
          <w:tcPr>
            <w:tcW w:w="8060" w:type="dxa"/>
            <w:tcBorders/>
            <w:vAlign w:val="center"/>
          </w:tcPr>
          <w:p>
            <w:pPr>
              <w:pStyle w:val="TableContents"/>
              <w:bidi w:val="0"/>
              <w:spacing w:lineRule="auto" w:line="300" w:before="0" w:after="0"/>
              <w:jc w:val="left"/>
              <w:rPr/>
            </w:pPr>
            <w:hyperlink w:anchor="PARTII.OTHERINFORMATION.">
              <w:r>
                <w:rPr>
                  <w:rStyle w:val="InternetLink"/>
                  <w:rFonts w:ascii="Times New Roman;Times;serif" w:hAnsi="Times New Roman;Times;serif"/>
                  <w:b/>
                  <w:sz w:val="20"/>
                </w:rPr>
                <w:t>PART II. OTHER INFORMATION</w:t>
              </w:r>
            </w:hyperlink>
          </w:p>
        </w:tc>
        <w:tc>
          <w:tcPr>
            <w:tcW w:w="455" w:type="dxa"/>
            <w:tcBorders/>
            <w:vAlign w:val="center"/>
          </w:tcPr>
          <w:p>
            <w:pPr>
              <w:pStyle w:val="TableContents"/>
              <w:bidi w:val="0"/>
              <w:spacing w:before="0" w:after="283"/>
              <w:jc w:val="left"/>
              <w:rPr/>
            </w:pPr>
            <w:r>
              <w:rPr/>
              <w:t> </w:t>
            </w:r>
          </w:p>
        </w:tc>
      </w:tr>
      <w:tr>
        <w:trPr/>
        <w:tc>
          <w:tcPr>
            <w:tcW w:w="8060" w:type="dxa"/>
            <w:tcBorders/>
            <w:vAlign w:val="center"/>
          </w:tcPr>
          <w:p>
            <w:pPr>
              <w:pStyle w:val="TableContents"/>
              <w:bidi w:val="0"/>
              <w:spacing w:lineRule="auto" w:line="300" w:before="0" w:after="0"/>
              <w:jc w:val="left"/>
              <w:rPr/>
            </w:pPr>
            <w:hyperlink w:anchor="ITEM1p2">
              <w:r>
                <w:rPr>
                  <w:rStyle w:val="InternetLink"/>
                  <w:rFonts w:ascii="Times New Roman;Times;serif" w:hAnsi="Times New Roman;Times;serif"/>
                  <w:sz w:val="20"/>
                </w:rPr>
                <w:t>ITEM 1. Legal Proceedings</w:t>
              </w:r>
            </w:hyperlink>
          </w:p>
        </w:tc>
        <w:tc>
          <w:tcPr>
            <w:tcW w:w="455"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21</w:t>
            </w:r>
          </w:p>
        </w:tc>
      </w:tr>
      <w:tr>
        <w:trPr/>
        <w:tc>
          <w:tcPr>
            <w:tcW w:w="8060" w:type="dxa"/>
            <w:tcBorders/>
            <w:vAlign w:val="center"/>
          </w:tcPr>
          <w:p>
            <w:pPr>
              <w:pStyle w:val="TableContents"/>
              <w:bidi w:val="0"/>
              <w:spacing w:lineRule="auto" w:line="300" w:before="0" w:after="0"/>
              <w:jc w:val="left"/>
              <w:rPr/>
            </w:pPr>
            <w:hyperlink w:anchor="ITEM1Ap2">
              <w:r>
                <w:rPr>
                  <w:rStyle w:val="InternetLink"/>
                  <w:rFonts w:ascii="Times New Roman;Times;serif" w:hAnsi="Times New Roman;Times;serif"/>
                  <w:sz w:val="20"/>
                </w:rPr>
                <w:t>ITEM 1A. Risk Factors</w:t>
              </w:r>
            </w:hyperlink>
          </w:p>
        </w:tc>
        <w:tc>
          <w:tcPr>
            <w:tcW w:w="455"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21</w:t>
            </w:r>
          </w:p>
        </w:tc>
      </w:tr>
      <w:tr>
        <w:trPr/>
        <w:tc>
          <w:tcPr>
            <w:tcW w:w="8060" w:type="dxa"/>
            <w:tcBorders/>
            <w:vAlign w:val="center"/>
          </w:tcPr>
          <w:p>
            <w:pPr>
              <w:pStyle w:val="TableContents"/>
              <w:bidi w:val="0"/>
              <w:spacing w:lineRule="auto" w:line="300" w:before="0" w:after="0"/>
              <w:jc w:val="left"/>
              <w:rPr/>
            </w:pPr>
            <w:hyperlink w:anchor="ITEM2p2">
              <w:r>
                <w:rPr>
                  <w:rStyle w:val="InternetLink"/>
                  <w:rFonts w:ascii="Times New Roman;Times;serif" w:hAnsi="Times New Roman;Times;serif"/>
                  <w:sz w:val="20"/>
                </w:rPr>
                <w:t>ITEM 2. Unregistered Sales of Equity Securities and Use of Proceeds</w:t>
              </w:r>
            </w:hyperlink>
          </w:p>
        </w:tc>
        <w:tc>
          <w:tcPr>
            <w:tcW w:w="455"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23</w:t>
            </w:r>
          </w:p>
        </w:tc>
      </w:tr>
      <w:tr>
        <w:trPr/>
        <w:tc>
          <w:tcPr>
            <w:tcW w:w="8060" w:type="dxa"/>
            <w:tcBorders/>
            <w:vAlign w:val="center"/>
          </w:tcPr>
          <w:p>
            <w:pPr>
              <w:pStyle w:val="TableContents"/>
              <w:bidi w:val="0"/>
              <w:spacing w:lineRule="auto" w:line="300" w:before="0" w:after="0"/>
              <w:jc w:val="left"/>
              <w:rPr/>
            </w:pPr>
            <w:hyperlink w:anchor="ITEM3p2">
              <w:r>
                <w:rPr>
                  <w:rStyle w:val="InternetLink"/>
                  <w:rFonts w:ascii="Times New Roman;Times;serif" w:hAnsi="Times New Roman;Times;serif"/>
                  <w:sz w:val="20"/>
                </w:rPr>
                <w:t>ITEM 3. Defaults upon Senior Securities</w:t>
              </w:r>
            </w:hyperlink>
          </w:p>
        </w:tc>
        <w:tc>
          <w:tcPr>
            <w:tcW w:w="455"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23</w:t>
            </w:r>
          </w:p>
        </w:tc>
      </w:tr>
      <w:tr>
        <w:trPr/>
        <w:tc>
          <w:tcPr>
            <w:tcW w:w="8060" w:type="dxa"/>
            <w:tcBorders/>
            <w:vAlign w:val="center"/>
          </w:tcPr>
          <w:p>
            <w:pPr>
              <w:pStyle w:val="TableContents"/>
              <w:bidi w:val="0"/>
              <w:spacing w:lineRule="auto" w:line="300" w:before="0" w:after="0"/>
              <w:jc w:val="left"/>
              <w:rPr/>
            </w:pPr>
            <w:hyperlink w:anchor="ITEM4p2">
              <w:r>
                <w:rPr>
                  <w:rStyle w:val="InternetLink"/>
                  <w:rFonts w:ascii="Times New Roman;Times;serif" w:hAnsi="Times New Roman;Times;serif"/>
                  <w:sz w:val="20"/>
                </w:rPr>
                <w:t>ITEM 4. Mine Safety Disclosures</w:t>
              </w:r>
            </w:hyperlink>
          </w:p>
        </w:tc>
        <w:tc>
          <w:tcPr>
            <w:tcW w:w="455"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23</w:t>
            </w:r>
          </w:p>
        </w:tc>
      </w:tr>
      <w:tr>
        <w:trPr/>
        <w:tc>
          <w:tcPr>
            <w:tcW w:w="8060" w:type="dxa"/>
            <w:tcBorders/>
            <w:vAlign w:val="center"/>
          </w:tcPr>
          <w:p>
            <w:pPr>
              <w:pStyle w:val="TableContents"/>
              <w:bidi w:val="0"/>
              <w:spacing w:lineRule="auto" w:line="300" w:before="0" w:after="0"/>
              <w:jc w:val="left"/>
              <w:rPr/>
            </w:pPr>
            <w:hyperlink w:anchor="ITEM5p2">
              <w:r>
                <w:rPr>
                  <w:rStyle w:val="InternetLink"/>
                  <w:rFonts w:ascii="Times New Roman;Times;serif" w:hAnsi="Times New Roman;Times;serif"/>
                  <w:sz w:val="20"/>
                </w:rPr>
                <w:t>ITEM 5. Other Information</w:t>
              </w:r>
            </w:hyperlink>
          </w:p>
        </w:tc>
        <w:tc>
          <w:tcPr>
            <w:tcW w:w="455"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23</w:t>
            </w:r>
          </w:p>
        </w:tc>
      </w:tr>
      <w:tr>
        <w:trPr/>
        <w:tc>
          <w:tcPr>
            <w:tcW w:w="8060" w:type="dxa"/>
            <w:tcBorders/>
            <w:vAlign w:val="center"/>
          </w:tcPr>
          <w:p>
            <w:pPr>
              <w:pStyle w:val="TableContents"/>
              <w:bidi w:val="0"/>
              <w:spacing w:lineRule="auto" w:line="300" w:before="0" w:after="0"/>
              <w:jc w:val="left"/>
              <w:rPr/>
            </w:pPr>
            <w:hyperlink w:anchor="ITEM6p2">
              <w:r>
                <w:rPr>
                  <w:rStyle w:val="InternetLink"/>
                  <w:rFonts w:ascii="Times New Roman;Times;serif" w:hAnsi="Times New Roman;Times;serif"/>
                  <w:sz w:val="20"/>
                </w:rPr>
                <w:t>ITEM 6. Exhibits</w:t>
              </w:r>
            </w:hyperlink>
          </w:p>
        </w:tc>
        <w:tc>
          <w:tcPr>
            <w:tcW w:w="455"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24</w:t>
            </w:r>
          </w:p>
        </w:tc>
      </w:tr>
      <w:tr>
        <w:trPr/>
        <w:tc>
          <w:tcPr>
            <w:tcW w:w="8060" w:type="dxa"/>
            <w:tcBorders/>
            <w:vAlign w:val="center"/>
          </w:tcPr>
          <w:p>
            <w:pPr>
              <w:pStyle w:val="TableContents"/>
              <w:bidi w:val="0"/>
              <w:spacing w:lineRule="auto" w:line="300" w:before="0" w:after="0"/>
              <w:jc w:val="left"/>
              <w:rPr/>
            </w:pPr>
            <w:hyperlink w:anchor="ITEM6p2">
              <w:r>
                <w:rPr>
                  <w:rStyle w:val="InternetLink"/>
                  <w:rFonts w:ascii="Times New Roman;Times;serif" w:hAnsi="Times New Roman;Times;serif"/>
                  <w:sz w:val="20"/>
                </w:rPr>
                <w:t>EXHIBIT INDEX</w:t>
              </w:r>
            </w:hyperlink>
          </w:p>
        </w:tc>
        <w:tc>
          <w:tcPr>
            <w:tcW w:w="455" w:type="dxa"/>
            <w:tcBorders/>
            <w:vAlign w:val="center"/>
          </w:tcPr>
          <w:p>
            <w:pPr>
              <w:pStyle w:val="TableContents"/>
              <w:bidi w:val="0"/>
              <w:spacing w:before="0" w:after="283"/>
              <w:jc w:val="left"/>
              <w:rPr/>
            </w:pPr>
            <w:r>
              <w:rPr/>
              <w:t> </w:t>
            </w:r>
          </w:p>
        </w:tc>
      </w:tr>
    </w:tbl>
    <w:p>
      <w:pPr>
        <w:pStyle w:val="TextBody"/>
        <w:bidi w:val="0"/>
        <w:spacing w:lineRule="auto" w:line="300" w:before="0" w:after="0"/>
        <w:jc w:val="left"/>
        <w:rPr/>
      </w:pPr>
      <w:r>
        <w:rPr/>
        <w:t> </w:t>
      </w:r>
    </w:p>
    <w:p>
      <w:pPr>
        <w:pStyle w:val="TextBody"/>
        <w:bidi w:val="0"/>
        <w:spacing w:lineRule="auto" w:line="300" w:before="0" w:after="0"/>
        <w:jc w:val="center"/>
        <w:rPr>
          <w:rFonts w:ascii="Times New Roman;Times;serif" w:hAnsi="Times New Roman;Times;serif"/>
          <w:b w:val="false"/>
          <w:i w:val="false"/>
          <w:caps w:val="false"/>
          <w:smallCaps w:val="false"/>
          <w:color w:val="000000"/>
          <w:spacing w:val="0"/>
          <w:sz w:val="20"/>
          <w:shd w:fill="FFFFFF" w:val="clear"/>
        </w:rPr>
      </w:pPr>
      <w:r>
        <w:rPr>
          <w:rFonts w:ascii="Times New Roman;Times;serif" w:hAnsi="Times New Roman;Times;serif"/>
          <w:b w:val="false"/>
          <w:i w:val="false"/>
          <w:caps w:val="false"/>
          <w:smallCaps w:val="false"/>
          <w:color w:val="000000"/>
          <w:spacing w:val="0"/>
          <w:sz w:val="20"/>
          <w:shd w:fill="FFFFFF" w:val="clear"/>
        </w:rPr>
        <w:t>SOLAREDGE TECHNOLOGIES INC. | 2026 Form 10-Q | 2</w:t>
      </w:r>
    </w:p>
    <w:p>
      <w:pPr>
        <w:pStyle w:val="HorizontalLine"/>
        <w:bidi w:val="0"/>
        <w:spacing w:before="200" w:after="200"/>
        <w:jc w:val="left"/>
        <w:rPr/>
      </w:pPr>
      <w:r>
        <w:rPr/>
      </w:r>
    </w:p>
    <w:p>
      <w:pPr>
        <w:pStyle w:val="TextBody"/>
        <w:bidi w:val="0"/>
        <w:spacing w:lineRule="auto" w:line="300" w:before="0" w:after="0"/>
        <w:jc w:val="left"/>
        <w:rPr/>
      </w:pPr>
      <w:r>
        <w:rPr/>
        <w:t> </w:t>
      </w:r>
    </w:p>
    <w:p>
      <w:pPr>
        <w:pStyle w:val="TextBody"/>
        <w:bidi w:val="0"/>
        <w:spacing w:lineRule="auto" w:line="300" w:before="0" w:after="0"/>
        <w:jc w:val="left"/>
        <w:rPr>
          <w:rFonts w:ascii="Times New Roman;Times;serif" w:hAnsi="Times New Roman;Times;serif"/>
          <w:b/>
          <w:sz w:val="20"/>
        </w:rPr>
      </w:pPr>
      <w:bookmarkStart w:id="4" w:name="PARTI.FINANCIALINFORMATIO"/>
      <w:bookmarkEnd w:id="4"/>
      <w:r>
        <w:rPr>
          <w:rFonts w:ascii="Times New Roman;Times;serif" w:hAnsi="Times New Roman;Times;serif"/>
          <w:b/>
          <w:sz w:val="20"/>
        </w:rPr>
        <w:t>PART I. FINANCIAL INFORMATION</w:t>
      </w:r>
    </w:p>
    <w:p>
      <w:pPr>
        <w:pStyle w:val="TextBody"/>
        <w:bidi w:val="0"/>
        <w:spacing w:lineRule="auto" w:line="300" w:before="0" w:after="0"/>
        <w:jc w:val="left"/>
        <w:rPr/>
      </w:pPr>
      <w:r>
        <w:rPr/>
        <w:t> </w:t>
      </w:r>
    </w:p>
    <w:p>
      <w:pPr>
        <w:pStyle w:val="TextBody"/>
        <w:bidi w:val="0"/>
        <w:spacing w:lineRule="auto" w:line="300" w:before="0" w:after="0"/>
        <w:jc w:val="left"/>
        <w:rPr>
          <w:rFonts w:ascii="Times New Roman;Times;serif" w:hAnsi="Times New Roman;Times;serif"/>
          <w:b/>
          <w:sz w:val="20"/>
        </w:rPr>
      </w:pPr>
      <w:r>
        <w:rPr>
          <w:rFonts w:ascii="Times New Roman;Times;serif" w:hAnsi="Times New Roman;Times;serif"/>
          <w:b/>
          <w:sz w:val="20"/>
        </w:rPr>
        <w:t>ITEM 1. FINANCIAL STATEMENTS</w:t>
      </w:r>
    </w:p>
    <w:p>
      <w:pPr>
        <w:pStyle w:val="TextBody"/>
        <w:bidi w:val="0"/>
        <w:spacing w:lineRule="auto" w:line="300" w:before="0" w:after="0"/>
        <w:jc w:val="left"/>
        <w:rPr/>
      </w:pPr>
      <w:r>
        <w:rPr/>
        <w:t> </w:t>
      </w:r>
    </w:p>
    <w:p>
      <w:pPr>
        <w:pStyle w:val="TextBody"/>
        <w:bidi w:val="0"/>
        <w:spacing w:lineRule="auto" w:line="300" w:before="0" w:after="0"/>
        <w:ind w:left="0" w:right="0" w:firstLine="360"/>
        <w:jc w:val="center"/>
        <w:rPr>
          <w:rFonts w:ascii="Times New Roman;Times;serif" w:hAnsi="Times New Roman;Times;serif"/>
          <w:b/>
          <w:sz w:val="20"/>
        </w:rPr>
      </w:pPr>
      <w:r>
        <w:rPr>
          <w:rFonts w:ascii="Times New Roman;Times;serif" w:hAnsi="Times New Roman;Times;serif"/>
          <w:b/>
          <w:sz w:val="20"/>
        </w:rPr>
        <w:t>SOLAREDGE TECHNOLOGIES, INC.</w:t>
      </w:r>
    </w:p>
    <w:p>
      <w:pPr>
        <w:pStyle w:val="TextBody"/>
        <w:bidi w:val="0"/>
        <w:spacing w:lineRule="auto" w:line="300" w:before="0" w:after="0"/>
        <w:jc w:val="left"/>
        <w:rPr/>
      </w:pPr>
      <w:r>
        <w:rPr/>
        <w:t> </w:t>
      </w:r>
    </w:p>
    <w:p>
      <w:pPr>
        <w:pStyle w:val="TextBody"/>
        <w:bidi w:val="0"/>
        <w:spacing w:lineRule="auto" w:line="300" w:before="0" w:after="0"/>
        <w:ind w:left="0" w:right="0" w:firstLine="360"/>
        <w:jc w:val="center"/>
        <w:rPr>
          <w:rFonts w:ascii="Times New Roman;Times;serif" w:hAnsi="Times New Roman;Times;serif"/>
          <w:b/>
          <w:sz w:val="20"/>
        </w:rPr>
      </w:pPr>
      <w:r>
        <w:rPr>
          <w:rFonts w:ascii="Times New Roman;Times;serif" w:hAnsi="Times New Roman;Times;serif"/>
          <w:b/>
          <w:sz w:val="20"/>
        </w:rPr>
        <w:t>CONDENSED CONSOLIDATED BALANCE SHEETS (Unaudited)</w:t>
      </w:r>
    </w:p>
    <w:p>
      <w:pPr>
        <w:pStyle w:val="TextBody"/>
        <w:bidi w:val="0"/>
        <w:spacing w:lineRule="auto" w:line="300" w:before="0" w:after="0"/>
        <w:jc w:val="left"/>
        <w:rPr/>
      </w:pPr>
      <w:r>
        <w:rPr/>
        <w:t> </w:t>
      </w:r>
    </w:p>
    <w:p>
      <w:pPr>
        <w:pStyle w:val="TextBody"/>
        <w:bidi w:val="0"/>
        <w:spacing w:lineRule="auto" w:line="300" w:before="0" w:after="0"/>
        <w:ind w:left="0" w:right="0" w:firstLine="360"/>
        <w:jc w:val="center"/>
        <w:rPr>
          <w:rFonts w:ascii="Times New Roman;Times;serif" w:hAnsi="Times New Roman;Times;serif"/>
          <w:b/>
          <w:sz w:val="20"/>
        </w:rPr>
      </w:pPr>
      <w:r>
        <w:rPr>
          <w:rFonts w:ascii="Times New Roman;Times;serif" w:hAnsi="Times New Roman;Times;serif"/>
          <w:b/>
          <w:sz w:val="20"/>
        </w:rPr>
        <w:t>(in thousands, except per share data)</w:t>
      </w:r>
    </w:p>
    <w:p>
      <w:pPr>
        <w:pStyle w:val="TextBody"/>
        <w:bidi w:val="0"/>
        <w:spacing w:lineRule="auto" w:line="300" w:before="0" w:after="0"/>
        <w:jc w:val="left"/>
        <w:rPr/>
      </w:pPr>
      <w:r>
        <w:rPr/>
        <w:t> </w:t>
      </w:r>
    </w:p>
    <w:tbl>
      <w:tblPr>
        <w:tblW w:w="8569" w:type="dxa"/>
        <w:jc w:val="left"/>
        <w:tblInd w:w="0" w:type="dxa"/>
        <w:tblLayout w:type="fixed"/>
        <w:tblCellMar>
          <w:top w:w="0" w:type="dxa"/>
          <w:left w:w="0" w:type="dxa"/>
          <w:bottom w:w="0" w:type="dxa"/>
          <w:right w:w="0" w:type="dxa"/>
        </w:tblCellMar>
      </w:tblPr>
      <w:tblGrid>
        <w:gridCol w:w="6035"/>
        <w:gridCol w:w="60"/>
        <w:gridCol w:w="125"/>
        <w:gridCol w:w="980"/>
        <w:gridCol w:w="60"/>
        <w:gridCol w:w="60"/>
        <w:gridCol w:w="132"/>
        <w:gridCol w:w="1042"/>
        <w:gridCol w:w="75"/>
      </w:tblGrid>
      <w:tr>
        <w:trPr/>
        <w:tc>
          <w:tcPr>
            <w:tcW w:w="60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5"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June 30,</w:t>
            </w:r>
          </w:p>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4"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December 31,</w:t>
            </w:r>
          </w:p>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2025</w:t>
            </w:r>
          </w:p>
        </w:tc>
        <w:tc>
          <w:tcPr>
            <w:tcW w:w="75" w:type="dxa"/>
            <w:tcBorders/>
            <w:vAlign w:val="center"/>
          </w:tcPr>
          <w:p>
            <w:pPr>
              <w:pStyle w:val="TableContents"/>
              <w:bidi w:val="0"/>
              <w:spacing w:before="0" w:after="283"/>
              <w:jc w:val="left"/>
              <w:rPr/>
            </w:pPr>
            <w:r>
              <w:rPr/>
              <w:t> </w:t>
            </w:r>
          </w:p>
        </w:tc>
      </w:tr>
      <w:tr>
        <w:trPr/>
        <w:tc>
          <w:tcPr>
            <w:tcW w:w="6035"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ASSETS</w:t>
            </w:r>
          </w:p>
        </w:tc>
        <w:tc>
          <w:tcPr>
            <w:tcW w:w="60" w:type="dxa"/>
            <w:tcBorders/>
            <w:shd w:fill="CCEEFF" w:val="clear"/>
            <w:vAlign w:val="center"/>
          </w:tcPr>
          <w:p>
            <w:pPr>
              <w:pStyle w:val="TableContents"/>
              <w:bidi w:val="0"/>
              <w:spacing w:before="0" w:after="283"/>
              <w:jc w:val="left"/>
              <w:rPr/>
            </w:pPr>
            <w:r>
              <w:rPr/>
              <w:t> </w:t>
            </w:r>
          </w:p>
        </w:tc>
        <w:tc>
          <w:tcPr>
            <w:tcW w:w="1105" w:type="dxa"/>
            <w:gridSpan w:val="2"/>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4" w:type="dxa"/>
            <w:gridSpan w:val="2"/>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6035"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CURRENT ASSETS:</w:t>
            </w:r>
          </w:p>
        </w:tc>
        <w:tc>
          <w:tcPr>
            <w:tcW w:w="60" w:type="dxa"/>
            <w:tcBorders/>
            <w:vAlign w:val="center"/>
          </w:tcPr>
          <w:p>
            <w:pPr>
              <w:pStyle w:val="TableContents"/>
              <w:bidi w:val="0"/>
              <w:spacing w:before="0" w:after="283"/>
              <w:jc w:val="left"/>
              <w:rPr/>
            </w:pPr>
            <w:r>
              <w:rPr/>
              <w:t> </w:t>
            </w:r>
          </w:p>
        </w:tc>
        <w:tc>
          <w:tcPr>
            <w:tcW w:w="1105"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4"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6035" w:type="dxa"/>
            <w:tcBorders/>
            <w:shd w:fill="CCEEFF" w:val="clear"/>
            <w:vAlign w:val="center"/>
          </w:tcPr>
          <w:p>
            <w:pPr>
              <w:pStyle w:val="TableContents"/>
              <w:bidi w:val="0"/>
              <w:spacing w:lineRule="auto" w:line="300" w:before="0" w:after="0"/>
              <w:ind w:left="270" w:right="0" w:hanging="0"/>
              <w:jc w:val="left"/>
              <w:rPr>
                <w:rFonts w:ascii="Times New Roman;Times;serif" w:hAnsi="Times New Roman;Times;serif"/>
                <w:sz w:val="20"/>
              </w:rPr>
            </w:pPr>
            <w:r>
              <w:rPr>
                <w:rFonts w:ascii="Times New Roman;Times;serif" w:hAnsi="Times New Roman;Times;serif"/>
                <w:sz w:val="20"/>
              </w:rPr>
              <w:t>Cash and cash equivalents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980" w:type="dxa"/>
            <w:tcBorders/>
            <w:shd w:fill="CCEEFF" w:val="clear"/>
            <w:vAlign w:val="center"/>
          </w:tcPr>
          <w:p>
            <w:pPr>
              <w:pStyle w:val="TableContents"/>
              <w:bidi w:val="0"/>
              <w:spacing w:lineRule="auto" w:line="300" w:before="0" w:after="0"/>
              <w:jc w:val="right"/>
              <w:rPr/>
            </w:pPr>
            <w:r>
              <w:rPr/>
              <w:t>527,257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1042" w:type="dxa"/>
            <w:tcBorders/>
            <w:shd w:fill="CCEEFF" w:val="clear"/>
            <w:vAlign w:val="center"/>
          </w:tcPr>
          <w:p>
            <w:pPr>
              <w:pStyle w:val="TableContents"/>
              <w:bidi w:val="0"/>
              <w:spacing w:lineRule="auto" w:line="300" w:before="0" w:after="0"/>
              <w:jc w:val="right"/>
              <w:rPr/>
            </w:pPr>
            <w:r>
              <w:rPr/>
              <w:t>455,075</w:t>
            </w:r>
          </w:p>
        </w:tc>
        <w:tc>
          <w:tcPr>
            <w:tcW w:w="75" w:type="dxa"/>
            <w:tcBorders/>
            <w:shd w:fill="CCEEFF" w:val="clear"/>
            <w:vAlign w:val="center"/>
          </w:tcPr>
          <w:p>
            <w:pPr>
              <w:pStyle w:val="TableContents"/>
              <w:bidi w:val="0"/>
              <w:spacing w:before="0" w:after="283"/>
              <w:jc w:val="left"/>
              <w:rPr/>
            </w:pPr>
            <w:r>
              <w:rPr/>
              <w:t> </w:t>
            </w:r>
          </w:p>
        </w:tc>
      </w:tr>
      <w:tr>
        <w:trPr/>
        <w:tc>
          <w:tcPr>
            <w:tcW w:w="6035" w:type="dxa"/>
            <w:tcBorders/>
            <w:vAlign w:val="center"/>
          </w:tcPr>
          <w:p>
            <w:pPr>
              <w:pStyle w:val="TableContents"/>
              <w:bidi w:val="0"/>
              <w:spacing w:lineRule="auto" w:line="300" w:before="0" w:after="0"/>
              <w:ind w:left="270" w:right="0" w:hanging="0"/>
              <w:jc w:val="left"/>
              <w:rPr>
                <w:rFonts w:ascii="Times New Roman;Times;serif" w:hAnsi="Times New Roman;Times;serif"/>
                <w:sz w:val="20"/>
              </w:rPr>
            </w:pPr>
            <w:r>
              <w:rPr>
                <w:rFonts w:ascii="Times New Roman;Times;serif" w:hAnsi="Times New Roman;Times;serif"/>
                <w:sz w:val="20"/>
              </w:rPr>
              <w:t>Restricted cash</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lineRule="auto" w:line="300" w:before="0" w:after="0"/>
              <w:jc w:val="right"/>
              <w:rPr/>
            </w:pPr>
            <w:r>
              <w:rPr/>
              <w:t>54,660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2" w:type="dxa"/>
            <w:tcBorders/>
            <w:vAlign w:val="center"/>
          </w:tcPr>
          <w:p>
            <w:pPr>
              <w:pStyle w:val="TableContents"/>
              <w:bidi w:val="0"/>
              <w:spacing w:before="0" w:after="283"/>
              <w:jc w:val="left"/>
              <w:rPr/>
            </w:pPr>
            <w:r>
              <w:rPr/>
              <w:t> </w:t>
            </w:r>
          </w:p>
        </w:tc>
        <w:tc>
          <w:tcPr>
            <w:tcW w:w="1042" w:type="dxa"/>
            <w:tcBorders/>
            <w:vAlign w:val="center"/>
          </w:tcPr>
          <w:p>
            <w:pPr>
              <w:pStyle w:val="TableContents"/>
              <w:bidi w:val="0"/>
              <w:spacing w:lineRule="auto" w:line="300" w:before="0" w:after="0"/>
              <w:jc w:val="right"/>
              <w:rPr/>
            </w:pPr>
            <w:r>
              <w:rPr/>
              <w:t>84,771</w:t>
            </w:r>
          </w:p>
        </w:tc>
        <w:tc>
          <w:tcPr>
            <w:tcW w:w="75" w:type="dxa"/>
            <w:tcBorders/>
            <w:vAlign w:val="center"/>
          </w:tcPr>
          <w:p>
            <w:pPr>
              <w:pStyle w:val="TableContents"/>
              <w:bidi w:val="0"/>
              <w:spacing w:before="0" w:after="283"/>
              <w:jc w:val="left"/>
              <w:rPr/>
            </w:pPr>
            <w:r>
              <w:rPr/>
              <w:t> </w:t>
            </w:r>
          </w:p>
        </w:tc>
      </w:tr>
      <w:tr>
        <w:trPr/>
        <w:tc>
          <w:tcPr>
            <w:tcW w:w="6035" w:type="dxa"/>
            <w:tcBorders/>
            <w:shd w:fill="CCEEFF" w:val="clear"/>
            <w:vAlign w:val="center"/>
          </w:tcPr>
          <w:p>
            <w:pPr>
              <w:pStyle w:val="TableContents"/>
              <w:bidi w:val="0"/>
              <w:spacing w:lineRule="auto" w:line="300" w:before="0" w:after="0"/>
              <w:ind w:left="270" w:right="0" w:hanging="0"/>
              <w:jc w:val="left"/>
              <w:rPr>
                <w:rFonts w:ascii="Times New Roman;Times;serif" w:hAnsi="Times New Roman;Times;serif"/>
                <w:sz w:val="20"/>
              </w:rPr>
            </w:pPr>
            <w:r>
              <w:rPr>
                <w:rFonts w:ascii="Times New Roman;Times;serif" w:hAnsi="Times New Roman;Times;serif"/>
                <w:sz w:val="20"/>
              </w:rPr>
              <w:t>Marketable securities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lineRule="auto" w:line="300" w:before="0" w:after="0"/>
              <w:jc w:val="right"/>
              <w:rPr/>
            </w:pPr>
            <w:r>
              <w:rPr/>
              <w:t>19,685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jc w:val="left"/>
              <w:rPr/>
            </w:pPr>
            <w:r>
              <w:rPr/>
              <w:t> </w:t>
            </w:r>
          </w:p>
        </w:tc>
        <w:tc>
          <w:tcPr>
            <w:tcW w:w="1042" w:type="dxa"/>
            <w:tcBorders/>
            <w:shd w:fill="CCEEFF" w:val="clear"/>
            <w:vAlign w:val="center"/>
          </w:tcPr>
          <w:p>
            <w:pPr>
              <w:pStyle w:val="TableContents"/>
              <w:bidi w:val="0"/>
              <w:spacing w:lineRule="auto" w:line="300" w:before="0" w:after="0"/>
              <w:jc w:val="right"/>
              <w:rPr/>
            </w:pPr>
            <w:r>
              <w:rPr/>
              <w:t>38,097</w:t>
            </w:r>
          </w:p>
        </w:tc>
        <w:tc>
          <w:tcPr>
            <w:tcW w:w="75" w:type="dxa"/>
            <w:tcBorders/>
            <w:shd w:fill="CCEEFF" w:val="clear"/>
            <w:vAlign w:val="center"/>
          </w:tcPr>
          <w:p>
            <w:pPr>
              <w:pStyle w:val="TableContents"/>
              <w:bidi w:val="0"/>
              <w:spacing w:before="0" w:after="283"/>
              <w:jc w:val="left"/>
              <w:rPr/>
            </w:pPr>
            <w:r>
              <w:rPr/>
              <w:t> </w:t>
            </w:r>
          </w:p>
        </w:tc>
      </w:tr>
      <w:tr>
        <w:trPr/>
        <w:tc>
          <w:tcPr>
            <w:tcW w:w="6035" w:type="dxa"/>
            <w:tcBorders/>
            <w:vAlign w:val="center"/>
          </w:tcPr>
          <w:p>
            <w:pPr>
              <w:pStyle w:val="TableContents"/>
              <w:bidi w:val="0"/>
              <w:spacing w:lineRule="auto" w:line="300" w:before="0" w:after="0"/>
              <w:ind w:left="270" w:right="0" w:hanging="0"/>
              <w:jc w:val="left"/>
              <w:rPr>
                <w:rFonts w:ascii="Times New Roman;Times;serif" w:hAnsi="Times New Roman;Times;serif"/>
                <w:sz w:val="20"/>
              </w:rPr>
            </w:pPr>
            <w:r>
              <w:rPr>
                <w:rFonts w:ascii="Times New Roman;Times;serif" w:hAnsi="Times New Roman;Times;serif"/>
                <w:sz w:val="20"/>
              </w:rPr>
              <w:t>Trade receivables, net of allowances of $28,909 and $17,224, respectively</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lineRule="auto" w:line="300" w:before="0" w:after="0"/>
              <w:jc w:val="right"/>
              <w:rPr/>
            </w:pPr>
            <w:r>
              <w:rPr/>
              <w:t>211,874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2" w:type="dxa"/>
            <w:tcBorders/>
            <w:vAlign w:val="center"/>
          </w:tcPr>
          <w:p>
            <w:pPr>
              <w:pStyle w:val="TableContents"/>
              <w:bidi w:val="0"/>
              <w:spacing w:before="0" w:after="283"/>
              <w:jc w:val="left"/>
              <w:rPr/>
            </w:pPr>
            <w:r>
              <w:rPr/>
              <w:t> </w:t>
            </w:r>
          </w:p>
        </w:tc>
        <w:tc>
          <w:tcPr>
            <w:tcW w:w="1042" w:type="dxa"/>
            <w:tcBorders/>
            <w:vAlign w:val="center"/>
          </w:tcPr>
          <w:p>
            <w:pPr>
              <w:pStyle w:val="TableContents"/>
              <w:bidi w:val="0"/>
              <w:spacing w:lineRule="auto" w:line="300" w:before="0" w:after="0"/>
              <w:jc w:val="right"/>
              <w:rPr/>
            </w:pPr>
            <w:r>
              <w:rPr/>
              <w:t>267,441</w:t>
            </w:r>
          </w:p>
        </w:tc>
        <w:tc>
          <w:tcPr>
            <w:tcW w:w="75" w:type="dxa"/>
            <w:tcBorders/>
            <w:vAlign w:val="center"/>
          </w:tcPr>
          <w:p>
            <w:pPr>
              <w:pStyle w:val="TableContents"/>
              <w:bidi w:val="0"/>
              <w:spacing w:before="0" w:after="283"/>
              <w:jc w:val="left"/>
              <w:rPr/>
            </w:pPr>
            <w:r>
              <w:rPr/>
              <w:t> </w:t>
            </w:r>
          </w:p>
        </w:tc>
      </w:tr>
      <w:tr>
        <w:trPr/>
        <w:tc>
          <w:tcPr>
            <w:tcW w:w="6035" w:type="dxa"/>
            <w:tcBorders/>
            <w:shd w:fill="CCEEFF" w:val="clear"/>
            <w:vAlign w:val="center"/>
          </w:tcPr>
          <w:p>
            <w:pPr>
              <w:pStyle w:val="TableContents"/>
              <w:bidi w:val="0"/>
              <w:spacing w:lineRule="auto" w:line="300" w:before="0" w:after="0"/>
              <w:ind w:left="270" w:right="0" w:hanging="0"/>
              <w:jc w:val="left"/>
              <w:rPr>
                <w:rFonts w:ascii="Times New Roman;Times;serif" w:hAnsi="Times New Roman;Times;serif"/>
                <w:sz w:val="20"/>
              </w:rPr>
            </w:pPr>
            <w:r>
              <w:rPr>
                <w:rFonts w:ascii="Times New Roman;Times;serif" w:hAnsi="Times New Roman;Times;serif"/>
                <w:sz w:val="20"/>
              </w:rPr>
              <w:t>Inventories, net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lineRule="auto" w:line="300" w:before="0" w:after="0"/>
              <w:jc w:val="right"/>
              <w:rPr/>
            </w:pPr>
            <w:r>
              <w:rPr/>
              <w:t>599,817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jc w:val="left"/>
              <w:rPr/>
            </w:pPr>
            <w:r>
              <w:rPr/>
              <w:t> </w:t>
            </w:r>
          </w:p>
        </w:tc>
        <w:tc>
          <w:tcPr>
            <w:tcW w:w="1042" w:type="dxa"/>
            <w:tcBorders/>
            <w:shd w:fill="CCEEFF" w:val="clear"/>
            <w:vAlign w:val="center"/>
          </w:tcPr>
          <w:p>
            <w:pPr>
              <w:pStyle w:val="TableContents"/>
              <w:bidi w:val="0"/>
              <w:spacing w:lineRule="auto" w:line="300" w:before="0" w:after="0"/>
              <w:jc w:val="right"/>
              <w:rPr/>
            </w:pPr>
            <w:r>
              <w:rPr/>
              <w:t>552,632</w:t>
            </w:r>
          </w:p>
        </w:tc>
        <w:tc>
          <w:tcPr>
            <w:tcW w:w="75" w:type="dxa"/>
            <w:tcBorders/>
            <w:shd w:fill="CCEEFF" w:val="clear"/>
            <w:vAlign w:val="center"/>
          </w:tcPr>
          <w:p>
            <w:pPr>
              <w:pStyle w:val="TableContents"/>
              <w:bidi w:val="0"/>
              <w:spacing w:before="0" w:after="283"/>
              <w:jc w:val="left"/>
              <w:rPr/>
            </w:pPr>
            <w:r>
              <w:rPr/>
              <w:t> </w:t>
            </w:r>
          </w:p>
        </w:tc>
      </w:tr>
      <w:tr>
        <w:trPr/>
        <w:tc>
          <w:tcPr>
            <w:tcW w:w="6035" w:type="dxa"/>
            <w:tcBorders/>
            <w:vAlign w:val="center"/>
          </w:tcPr>
          <w:p>
            <w:pPr>
              <w:pStyle w:val="TableContents"/>
              <w:bidi w:val="0"/>
              <w:spacing w:lineRule="auto" w:line="300" w:before="0" w:after="0"/>
              <w:ind w:left="270" w:right="0" w:hanging="0"/>
              <w:jc w:val="left"/>
              <w:rPr>
                <w:rFonts w:ascii="Times New Roman;Times;serif" w:hAnsi="Times New Roman;Times;serif"/>
                <w:sz w:val="20"/>
              </w:rPr>
            </w:pPr>
            <w:r>
              <w:rPr>
                <w:rFonts w:ascii="Times New Roman;Times;serif" w:hAnsi="Times New Roman;Times;serif"/>
                <w:sz w:val="20"/>
              </w:rPr>
              <w:t>Prepaid expenses and other current assets</w:t>
            </w:r>
          </w:p>
        </w:tc>
        <w:tc>
          <w:tcPr>
            <w:tcW w:w="60" w:type="dxa"/>
            <w:tcBorders/>
            <w:vAlign w:val="center"/>
          </w:tcPr>
          <w:p>
            <w:pPr>
              <w:pStyle w:val="TableContents"/>
              <w:bidi w:val="0"/>
              <w:spacing w:before="0" w:after="283"/>
              <w:jc w:val="left"/>
              <w:rPr/>
            </w:pPr>
            <w:r>
              <w:rPr/>
              <w:t> </w:t>
            </w:r>
          </w:p>
        </w:tc>
        <w:tc>
          <w:tcPr>
            <w:tcW w:w="125" w:type="dxa"/>
            <w:tcBorders>
              <w:bottom w:val="single" w:sz="12" w:space="0" w:color="000000"/>
            </w:tcBorders>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tcMar>
              <w:bottom w:w="28" w:type="dxa"/>
            </w:tcMar>
            <w:vAlign w:val="center"/>
          </w:tcPr>
          <w:p>
            <w:pPr>
              <w:pStyle w:val="TableContents"/>
              <w:bidi w:val="0"/>
              <w:spacing w:lineRule="auto" w:line="300" w:before="0" w:after="0"/>
              <w:jc w:val="right"/>
              <w:rPr/>
            </w:pPr>
            <w:r>
              <w:rPr/>
              <w:t>454,844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2" w:type="dxa"/>
            <w:tcBorders>
              <w:bottom w:val="single" w:sz="12" w:space="0" w:color="000000"/>
            </w:tcBorders>
            <w:tcMar>
              <w:bottom w:w="28" w:type="dxa"/>
            </w:tcMar>
            <w:vAlign w:val="center"/>
          </w:tcPr>
          <w:p>
            <w:pPr>
              <w:pStyle w:val="TableContents"/>
              <w:bidi w:val="0"/>
              <w:spacing w:before="0" w:after="283"/>
              <w:jc w:val="left"/>
              <w:rPr/>
            </w:pPr>
            <w:r>
              <w:rPr/>
              <w:t> </w:t>
            </w:r>
          </w:p>
        </w:tc>
        <w:tc>
          <w:tcPr>
            <w:tcW w:w="1042" w:type="dxa"/>
            <w:tcBorders>
              <w:bottom w:val="single" w:sz="12" w:space="0" w:color="000000"/>
            </w:tcBorders>
            <w:tcMar>
              <w:bottom w:w="28" w:type="dxa"/>
            </w:tcMar>
            <w:vAlign w:val="center"/>
          </w:tcPr>
          <w:p>
            <w:pPr>
              <w:pStyle w:val="TableContents"/>
              <w:bidi w:val="0"/>
              <w:spacing w:lineRule="auto" w:line="300" w:before="0" w:after="0"/>
              <w:jc w:val="right"/>
              <w:rPr/>
            </w:pPr>
            <w:r>
              <w:rPr/>
              <w:t>341,831</w:t>
            </w:r>
          </w:p>
        </w:tc>
        <w:tc>
          <w:tcPr>
            <w:tcW w:w="75" w:type="dxa"/>
            <w:tcBorders/>
            <w:vAlign w:val="center"/>
          </w:tcPr>
          <w:p>
            <w:pPr>
              <w:pStyle w:val="TableContents"/>
              <w:bidi w:val="0"/>
              <w:spacing w:before="0" w:after="283"/>
              <w:jc w:val="left"/>
              <w:rPr/>
            </w:pPr>
            <w:r>
              <w:rPr/>
              <w:t> </w:t>
            </w:r>
          </w:p>
        </w:tc>
      </w:tr>
      <w:tr>
        <w:trPr/>
        <w:tc>
          <w:tcPr>
            <w:tcW w:w="6035"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u w:val="single"/>
              </w:rPr>
              <w:t>Total</w:t>
            </w:r>
            <w:r>
              <w:rPr>
                <w:rFonts w:ascii="Times New Roman;Times;serif" w:hAnsi="Times New Roman;Times;serif"/>
                <w:sz w:val="20"/>
              </w:rPr>
              <w:t xml:space="preserve"> current assets</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center"/>
          </w:tcPr>
          <w:p>
            <w:pPr>
              <w:pStyle w:val="TableContents"/>
              <w:bidi w:val="0"/>
              <w:spacing w:lineRule="auto" w:line="300" w:before="0" w:after="0"/>
              <w:jc w:val="right"/>
              <w:rPr/>
            </w:pPr>
            <w:r>
              <w:rPr/>
              <w:t>1,868,137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42" w:type="dxa"/>
            <w:tcBorders>
              <w:bottom w:val="single" w:sz="12" w:space="0" w:color="000000"/>
            </w:tcBorders>
            <w:shd w:fill="CCEEFF" w:val="clear"/>
            <w:tcMar>
              <w:bottom w:w="28" w:type="dxa"/>
            </w:tcMar>
            <w:vAlign w:val="center"/>
          </w:tcPr>
          <w:p>
            <w:pPr>
              <w:pStyle w:val="TableContents"/>
              <w:bidi w:val="0"/>
              <w:spacing w:lineRule="auto" w:line="300" w:before="0" w:after="0"/>
              <w:jc w:val="right"/>
              <w:rPr/>
            </w:pPr>
            <w:r>
              <w:rPr/>
              <w:t>1,739,847</w:t>
            </w:r>
          </w:p>
        </w:tc>
        <w:tc>
          <w:tcPr>
            <w:tcW w:w="75" w:type="dxa"/>
            <w:tcBorders/>
            <w:shd w:fill="CCEEFF" w:val="clear"/>
            <w:vAlign w:val="center"/>
          </w:tcPr>
          <w:p>
            <w:pPr>
              <w:pStyle w:val="TableContents"/>
              <w:bidi w:val="0"/>
              <w:spacing w:before="0" w:after="283"/>
              <w:jc w:val="left"/>
              <w:rPr/>
            </w:pPr>
            <w:r>
              <w:rPr/>
              <w:t> </w:t>
            </w:r>
          </w:p>
        </w:tc>
      </w:tr>
      <w:tr>
        <w:trPr/>
        <w:tc>
          <w:tcPr>
            <w:tcW w:w="6035"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LONG-TERM ASSETS:</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2" w:type="dxa"/>
            <w:tcBorders/>
            <w:vAlign w:val="center"/>
          </w:tcPr>
          <w:p>
            <w:pPr>
              <w:pStyle w:val="TableContents"/>
              <w:bidi w:val="0"/>
              <w:spacing w:before="0" w:after="283"/>
              <w:jc w:val="left"/>
              <w:rPr/>
            </w:pPr>
            <w:r>
              <w:rPr/>
              <w:t> </w:t>
            </w:r>
          </w:p>
        </w:tc>
        <w:tc>
          <w:tcPr>
            <w:tcW w:w="1042"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6035" w:type="dxa"/>
            <w:tcBorders/>
            <w:shd w:fill="CCEEFF" w:val="clear"/>
            <w:vAlign w:val="center"/>
          </w:tcPr>
          <w:p>
            <w:pPr>
              <w:pStyle w:val="TableContents"/>
              <w:bidi w:val="0"/>
              <w:spacing w:lineRule="auto" w:line="300" w:before="0" w:after="0"/>
              <w:ind w:left="120" w:right="0" w:hanging="0"/>
              <w:jc w:val="left"/>
              <w:rPr/>
            </w:pPr>
            <w:r>
              <w:rPr/>
              <w:t>   </w:t>
            </w:r>
            <w:r>
              <w:rPr>
                <w:rFonts w:ascii="Times New Roman;Times;serif" w:hAnsi="Times New Roman;Times;serif"/>
                <w:sz w:val="20"/>
              </w:rPr>
              <w:t>Property, plant and equipment, net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lineRule="auto" w:line="300" w:before="0" w:after="0"/>
              <w:jc w:val="right"/>
              <w:rPr/>
            </w:pPr>
            <w:r>
              <w:rPr/>
              <w:t>253,942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jc w:val="left"/>
              <w:rPr/>
            </w:pPr>
            <w:r>
              <w:rPr/>
              <w:t> </w:t>
            </w:r>
          </w:p>
        </w:tc>
        <w:tc>
          <w:tcPr>
            <w:tcW w:w="1042" w:type="dxa"/>
            <w:tcBorders/>
            <w:shd w:fill="CCEEFF" w:val="clear"/>
            <w:vAlign w:val="center"/>
          </w:tcPr>
          <w:p>
            <w:pPr>
              <w:pStyle w:val="TableContents"/>
              <w:bidi w:val="0"/>
              <w:spacing w:lineRule="auto" w:line="300" w:before="0" w:after="0"/>
              <w:jc w:val="right"/>
              <w:rPr/>
            </w:pPr>
            <w:r>
              <w:rPr/>
              <w:t>269,351</w:t>
            </w:r>
          </w:p>
        </w:tc>
        <w:tc>
          <w:tcPr>
            <w:tcW w:w="75" w:type="dxa"/>
            <w:tcBorders/>
            <w:shd w:fill="CCEEFF" w:val="clear"/>
            <w:vAlign w:val="center"/>
          </w:tcPr>
          <w:p>
            <w:pPr>
              <w:pStyle w:val="TableContents"/>
              <w:bidi w:val="0"/>
              <w:spacing w:before="0" w:after="283"/>
              <w:jc w:val="left"/>
              <w:rPr/>
            </w:pPr>
            <w:r>
              <w:rPr/>
              <w:t> </w:t>
            </w:r>
          </w:p>
        </w:tc>
      </w:tr>
      <w:tr>
        <w:trPr/>
        <w:tc>
          <w:tcPr>
            <w:tcW w:w="6035" w:type="dxa"/>
            <w:tcBorders/>
            <w:vAlign w:val="center"/>
          </w:tcPr>
          <w:p>
            <w:pPr>
              <w:pStyle w:val="TableContents"/>
              <w:bidi w:val="0"/>
              <w:spacing w:lineRule="auto" w:line="300" w:before="0" w:after="0"/>
              <w:ind w:left="120" w:right="0" w:hanging="0"/>
              <w:jc w:val="left"/>
              <w:rPr/>
            </w:pPr>
            <w:r>
              <w:rPr/>
              <w:t>   </w:t>
            </w:r>
            <w:r>
              <w:rPr>
                <w:rFonts w:ascii="Times New Roman;Times;serif" w:hAnsi="Times New Roman;Times;serif"/>
                <w:sz w:val="20"/>
              </w:rPr>
              <w:t>Operating lease right-of-use assets, net</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lineRule="auto" w:line="300" w:before="0" w:after="0"/>
              <w:jc w:val="right"/>
              <w:rPr/>
            </w:pPr>
            <w:r>
              <w:rPr/>
              <w:t>49,879</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2" w:type="dxa"/>
            <w:tcBorders/>
            <w:vAlign w:val="center"/>
          </w:tcPr>
          <w:p>
            <w:pPr>
              <w:pStyle w:val="TableContents"/>
              <w:bidi w:val="0"/>
              <w:spacing w:before="0" w:after="283"/>
              <w:jc w:val="left"/>
              <w:rPr/>
            </w:pPr>
            <w:r>
              <w:rPr/>
              <w:t> </w:t>
            </w:r>
          </w:p>
        </w:tc>
        <w:tc>
          <w:tcPr>
            <w:tcW w:w="1042" w:type="dxa"/>
            <w:tcBorders/>
            <w:vAlign w:val="center"/>
          </w:tcPr>
          <w:p>
            <w:pPr>
              <w:pStyle w:val="TableContents"/>
              <w:bidi w:val="0"/>
              <w:spacing w:lineRule="auto" w:line="300" w:before="0" w:after="0"/>
              <w:jc w:val="right"/>
              <w:rPr/>
            </w:pPr>
            <w:r>
              <w:rPr/>
              <w:t>48,178</w:t>
            </w:r>
          </w:p>
        </w:tc>
        <w:tc>
          <w:tcPr>
            <w:tcW w:w="75" w:type="dxa"/>
            <w:tcBorders/>
            <w:vAlign w:val="center"/>
          </w:tcPr>
          <w:p>
            <w:pPr>
              <w:pStyle w:val="TableContents"/>
              <w:bidi w:val="0"/>
              <w:spacing w:before="0" w:after="283"/>
              <w:jc w:val="left"/>
              <w:rPr/>
            </w:pPr>
            <w:r>
              <w:rPr/>
              <w:t> </w:t>
            </w:r>
          </w:p>
        </w:tc>
      </w:tr>
      <w:tr>
        <w:trPr/>
        <w:tc>
          <w:tcPr>
            <w:tcW w:w="6035" w:type="dxa"/>
            <w:tcBorders/>
            <w:shd w:fill="CCEEFF" w:val="clear"/>
            <w:vAlign w:val="center"/>
          </w:tcPr>
          <w:p>
            <w:pPr>
              <w:pStyle w:val="TableContents"/>
              <w:bidi w:val="0"/>
              <w:spacing w:lineRule="auto" w:line="300" w:before="0" w:after="0"/>
              <w:ind w:left="270" w:right="0" w:hanging="0"/>
              <w:jc w:val="left"/>
              <w:rPr>
                <w:rFonts w:ascii="Times New Roman;Times;serif" w:hAnsi="Times New Roman;Times;serif"/>
                <w:sz w:val="20"/>
              </w:rPr>
            </w:pPr>
            <w:r>
              <w:rPr>
                <w:rFonts w:ascii="Times New Roman;Times;serif" w:hAnsi="Times New Roman;Times;serif"/>
                <w:sz w:val="20"/>
              </w:rPr>
              <w:t>Intangible assets, net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lineRule="auto" w:line="300" w:before="0" w:after="0"/>
              <w:jc w:val="right"/>
              <w:rPr/>
            </w:pPr>
            <w:r>
              <w:rPr/>
              <w:t>5,780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jc w:val="left"/>
              <w:rPr/>
            </w:pPr>
            <w:r>
              <w:rPr/>
              <w:t> </w:t>
            </w:r>
          </w:p>
        </w:tc>
        <w:tc>
          <w:tcPr>
            <w:tcW w:w="1042" w:type="dxa"/>
            <w:tcBorders/>
            <w:shd w:fill="CCEEFF" w:val="clear"/>
            <w:vAlign w:val="center"/>
          </w:tcPr>
          <w:p>
            <w:pPr>
              <w:pStyle w:val="TableContents"/>
              <w:bidi w:val="0"/>
              <w:spacing w:lineRule="auto" w:line="300" w:before="0" w:after="0"/>
              <w:jc w:val="right"/>
              <w:rPr/>
            </w:pPr>
            <w:r>
              <w:rPr/>
              <w:t>7,129</w:t>
            </w:r>
          </w:p>
        </w:tc>
        <w:tc>
          <w:tcPr>
            <w:tcW w:w="75" w:type="dxa"/>
            <w:tcBorders/>
            <w:shd w:fill="CCEEFF" w:val="clear"/>
            <w:vAlign w:val="center"/>
          </w:tcPr>
          <w:p>
            <w:pPr>
              <w:pStyle w:val="TableContents"/>
              <w:bidi w:val="0"/>
              <w:spacing w:before="0" w:after="283"/>
              <w:jc w:val="left"/>
              <w:rPr/>
            </w:pPr>
            <w:r>
              <w:rPr/>
              <w:t> </w:t>
            </w:r>
          </w:p>
        </w:tc>
      </w:tr>
      <w:tr>
        <w:trPr/>
        <w:tc>
          <w:tcPr>
            <w:tcW w:w="6035" w:type="dxa"/>
            <w:tcBorders/>
            <w:vAlign w:val="center"/>
          </w:tcPr>
          <w:p>
            <w:pPr>
              <w:pStyle w:val="TableContents"/>
              <w:bidi w:val="0"/>
              <w:spacing w:lineRule="auto" w:line="300" w:before="0" w:after="0"/>
              <w:ind w:left="270" w:right="0" w:hanging="0"/>
              <w:jc w:val="left"/>
              <w:rPr>
                <w:rFonts w:ascii="Times New Roman;Times;serif" w:hAnsi="Times New Roman;Times;serif"/>
                <w:sz w:val="20"/>
              </w:rPr>
            </w:pPr>
            <w:r>
              <w:rPr>
                <w:rFonts w:ascii="Times New Roman;Times;serif" w:hAnsi="Times New Roman;Times;serif"/>
                <w:sz w:val="20"/>
              </w:rPr>
              <w:t>Goodwill</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lineRule="auto" w:line="300" w:before="0" w:after="0"/>
              <w:jc w:val="right"/>
              <w:rPr/>
            </w:pPr>
            <w:r>
              <w:rPr/>
              <w:t>49,846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2" w:type="dxa"/>
            <w:tcBorders/>
            <w:vAlign w:val="center"/>
          </w:tcPr>
          <w:p>
            <w:pPr>
              <w:pStyle w:val="TableContents"/>
              <w:bidi w:val="0"/>
              <w:spacing w:before="0" w:after="283"/>
              <w:jc w:val="left"/>
              <w:rPr/>
            </w:pPr>
            <w:r>
              <w:rPr/>
              <w:t> </w:t>
            </w:r>
          </w:p>
        </w:tc>
        <w:tc>
          <w:tcPr>
            <w:tcW w:w="1042" w:type="dxa"/>
            <w:tcBorders/>
            <w:vAlign w:val="center"/>
          </w:tcPr>
          <w:p>
            <w:pPr>
              <w:pStyle w:val="TableContents"/>
              <w:bidi w:val="0"/>
              <w:spacing w:lineRule="auto" w:line="300" w:before="0" w:after="0"/>
              <w:jc w:val="right"/>
              <w:rPr/>
            </w:pPr>
            <w:r>
              <w:rPr/>
              <w:t>50,123</w:t>
            </w:r>
          </w:p>
        </w:tc>
        <w:tc>
          <w:tcPr>
            <w:tcW w:w="75" w:type="dxa"/>
            <w:tcBorders/>
            <w:vAlign w:val="center"/>
          </w:tcPr>
          <w:p>
            <w:pPr>
              <w:pStyle w:val="TableContents"/>
              <w:bidi w:val="0"/>
              <w:spacing w:before="0" w:after="283"/>
              <w:jc w:val="left"/>
              <w:rPr/>
            </w:pPr>
            <w:r>
              <w:rPr/>
              <w:t> </w:t>
            </w:r>
          </w:p>
        </w:tc>
      </w:tr>
      <w:tr>
        <w:trPr/>
        <w:tc>
          <w:tcPr>
            <w:tcW w:w="6035" w:type="dxa"/>
            <w:tcBorders/>
            <w:shd w:fill="CCEEFF" w:val="clear"/>
            <w:vAlign w:val="center"/>
          </w:tcPr>
          <w:p>
            <w:pPr>
              <w:pStyle w:val="TableContents"/>
              <w:bidi w:val="0"/>
              <w:spacing w:lineRule="auto" w:line="300" w:before="0" w:after="0"/>
              <w:ind w:left="120" w:right="0" w:hanging="0"/>
              <w:jc w:val="left"/>
              <w:rPr/>
            </w:pPr>
            <w:r>
              <w:rPr/>
              <w:t>   </w:t>
            </w:r>
            <w:r>
              <w:rPr>
                <w:rFonts w:ascii="Times New Roman;Times;serif" w:hAnsi="Times New Roman;Times;serif"/>
                <w:sz w:val="20"/>
              </w:rPr>
              <w:t>Other long-term assets</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center"/>
          </w:tcPr>
          <w:p>
            <w:pPr>
              <w:pStyle w:val="TableContents"/>
              <w:bidi w:val="0"/>
              <w:spacing w:lineRule="auto" w:line="300" w:before="0" w:after="0"/>
              <w:jc w:val="right"/>
              <w:rPr/>
            </w:pPr>
            <w:r>
              <w:rPr/>
              <w:t>75,946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42" w:type="dxa"/>
            <w:tcBorders>
              <w:bottom w:val="single" w:sz="12" w:space="0" w:color="000000"/>
            </w:tcBorders>
            <w:shd w:fill="CCEEFF" w:val="clear"/>
            <w:tcMar>
              <w:bottom w:w="28" w:type="dxa"/>
            </w:tcMar>
            <w:vAlign w:val="center"/>
          </w:tcPr>
          <w:p>
            <w:pPr>
              <w:pStyle w:val="TableContents"/>
              <w:bidi w:val="0"/>
              <w:spacing w:lineRule="auto" w:line="300" w:before="0" w:after="0"/>
              <w:jc w:val="right"/>
              <w:rPr/>
            </w:pPr>
            <w:r>
              <w:rPr/>
              <w:t>67,566</w:t>
            </w:r>
          </w:p>
        </w:tc>
        <w:tc>
          <w:tcPr>
            <w:tcW w:w="75" w:type="dxa"/>
            <w:tcBorders/>
            <w:shd w:fill="CCEEFF" w:val="clear"/>
            <w:vAlign w:val="center"/>
          </w:tcPr>
          <w:p>
            <w:pPr>
              <w:pStyle w:val="TableContents"/>
              <w:bidi w:val="0"/>
              <w:spacing w:before="0" w:after="283"/>
              <w:jc w:val="left"/>
              <w:rPr/>
            </w:pPr>
            <w:r>
              <w:rPr/>
              <w:t> </w:t>
            </w:r>
          </w:p>
        </w:tc>
      </w:tr>
      <w:tr>
        <w:trPr/>
        <w:tc>
          <w:tcPr>
            <w:tcW w:w="6035"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u w:val="single"/>
              </w:rPr>
              <w:t>Total</w:t>
            </w:r>
            <w:r>
              <w:rPr>
                <w:rFonts w:ascii="Times New Roman;Times;serif" w:hAnsi="Times New Roman;Times;serif"/>
                <w:sz w:val="20"/>
              </w:rPr>
              <w:t xml:space="preserve"> long-term assets</w:t>
            </w:r>
          </w:p>
        </w:tc>
        <w:tc>
          <w:tcPr>
            <w:tcW w:w="60" w:type="dxa"/>
            <w:tcBorders/>
            <w:vAlign w:val="center"/>
          </w:tcPr>
          <w:p>
            <w:pPr>
              <w:pStyle w:val="TableContents"/>
              <w:bidi w:val="0"/>
              <w:spacing w:before="0" w:after="283"/>
              <w:jc w:val="left"/>
              <w:rPr/>
            </w:pPr>
            <w:r>
              <w:rPr/>
              <w:t> </w:t>
            </w:r>
          </w:p>
        </w:tc>
        <w:tc>
          <w:tcPr>
            <w:tcW w:w="125" w:type="dxa"/>
            <w:tcBorders>
              <w:bottom w:val="single" w:sz="12" w:space="0" w:color="000000"/>
            </w:tcBorders>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tcMar>
              <w:bottom w:w="28" w:type="dxa"/>
            </w:tcMar>
            <w:vAlign w:val="center"/>
          </w:tcPr>
          <w:p>
            <w:pPr>
              <w:pStyle w:val="TableContents"/>
              <w:bidi w:val="0"/>
              <w:spacing w:lineRule="auto" w:line="300" w:before="0" w:after="0"/>
              <w:jc w:val="right"/>
              <w:rPr/>
            </w:pPr>
            <w:r>
              <w:rPr/>
              <w:t>435,393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2" w:type="dxa"/>
            <w:tcBorders>
              <w:bottom w:val="single" w:sz="12" w:space="0" w:color="000000"/>
            </w:tcBorders>
            <w:tcMar>
              <w:bottom w:w="28" w:type="dxa"/>
            </w:tcMar>
            <w:vAlign w:val="center"/>
          </w:tcPr>
          <w:p>
            <w:pPr>
              <w:pStyle w:val="TableContents"/>
              <w:bidi w:val="0"/>
              <w:spacing w:before="0" w:after="283"/>
              <w:jc w:val="left"/>
              <w:rPr/>
            </w:pPr>
            <w:r>
              <w:rPr/>
              <w:t> </w:t>
            </w:r>
          </w:p>
        </w:tc>
        <w:tc>
          <w:tcPr>
            <w:tcW w:w="1042" w:type="dxa"/>
            <w:tcBorders>
              <w:bottom w:val="single" w:sz="12" w:space="0" w:color="000000"/>
            </w:tcBorders>
            <w:tcMar>
              <w:bottom w:w="28" w:type="dxa"/>
            </w:tcMar>
            <w:vAlign w:val="center"/>
          </w:tcPr>
          <w:p>
            <w:pPr>
              <w:pStyle w:val="TableContents"/>
              <w:bidi w:val="0"/>
              <w:spacing w:lineRule="auto" w:line="300" w:before="0" w:after="0"/>
              <w:jc w:val="right"/>
              <w:rPr/>
            </w:pPr>
            <w:r>
              <w:rPr/>
              <w:t>442,347</w:t>
            </w:r>
          </w:p>
        </w:tc>
        <w:tc>
          <w:tcPr>
            <w:tcW w:w="75" w:type="dxa"/>
            <w:tcBorders/>
            <w:vAlign w:val="center"/>
          </w:tcPr>
          <w:p>
            <w:pPr>
              <w:pStyle w:val="TableContents"/>
              <w:bidi w:val="0"/>
              <w:spacing w:before="0" w:after="283"/>
              <w:jc w:val="left"/>
              <w:rPr/>
            </w:pPr>
            <w:r>
              <w:rPr/>
              <w:t> </w:t>
            </w:r>
          </w:p>
        </w:tc>
      </w:tr>
      <w:tr>
        <w:trPr/>
        <w:tc>
          <w:tcPr>
            <w:tcW w:w="6035"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u w:val="single"/>
              </w:rPr>
              <w:t>Total</w:t>
            </w:r>
            <w:r>
              <w:rPr>
                <w:rFonts w:ascii="Times New Roman;Times;serif" w:hAnsi="Times New Roman;Times;serif"/>
                <w:sz w:val="20"/>
              </w:rPr>
              <w:t xml:space="preserve"> assets</w:t>
            </w:r>
          </w:p>
        </w:tc>
        <w:tc>
          <w:tcPr>
            <w:tcW w:w="60" w:type="dxa"/>
            <w:tcBorders/>
            <w:shd w:fill="CCEEFF" w:val="clear"/>
            <w:vAlign w:val="center"/>
          </w:tcPr>
          <w:p>
            <w:pPr>
              <w:pStyle w:val="TableContents"/>
              <w:bidi w:val="0"/>
              <w:spacing w:before="0" w:after="283"/>
              <w:jc w:val="left"/>
              <w:rPr/>
            </w:pPr>
            <w:r>
              <w:rPr/>
              <w:t> </w:t>
            </w:r>
          </w:p>
        </w:tc>
        <w:tc>
          <w:tcPr>
            <w:tcW w:w="125" w:type="dxa"/>
            <w:tcBorders>
              <w:bottom w:val="double" w:sz="8" w:space="0" w:color="000000"/>
            </w:tcBorders>
            <w:shd w:fill="CCEEFF" w:val="clear"/>
            <w:tcMar>
              <w:bottom w:w="28" w:type="dxa"/>
            </w:tcM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980" w:type="dxa"/>
            <w:tcBorders>
              <w:bottom w:val="double" w:sz="8" w:space="0" w:color="000000"/>
            </w:tcBorders>
            <w:shd w:fill="CCEEFF" w:val="clear"/>
            <w:tcMar>
              <w:bottom w:w="28" w:type="dxa"/>
            </w:tcMar>
            <w:vAlign w:val="center"/>
          </w:tcPr>
          <w:p>
            <w:pPr>
              <w:pStyle w:val="TableContents"/>
              <w:bidi w:val="0"/>
              <w:spacing w:lineRule="auto" w:line="300" w:before="0" w:after="0"/>
              <w:jc w:val="right"/>
              <w:rPr/>
            </w:pPr>
            <w:r>
              <w:rPr/>
              <w:t>2,303,530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2" w:type="dxa"/>
            <w:tcBorders>
              <w:bottom w:val="double" w:sz="8" w:space="0" w:color="000000"/>
            </w:tcBorders>
            <w:shd w:fill="CCEEFF" w:val="clear"/>
            <w:tcMar>
              <w:bottom w:w="28" w:type="dxa"/>
            </w:tcM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1042" w:type="dxa"/>
            <w:tcBorders>
              <w:bottom w:val="double" w:sz="8" w:space="0" w:color="000000"/>
            </w:tcBorders>
            <w:shd w:fill="CCEEFF" w:val="clear"/>
            <w:tcMar>
              <w:bottom w:w="28" w:type="dxa"/>
            </w:tcMar>
            <w:vAlign w:val="center"/>
          </w:tcPr>
          <w:p>
            <w:pPr>
              <w:pStyle w:val="TableContents"/>
              <w:bidi w:val="0"/>
              <w:spacing w:lineRule="auto" w:line="300" w:before="0" w:after="0"/>
              <w:jc w:val="right"/>
              <w:rPr/>
            </w:pPr>
            <w:r>
              <w:rPr/>
              <w:t>2,182,194</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lineRule="auto" w:line="300" w:before="0" w:after="0"/>
        <w:jc w:val="left"/>
        <w:rPr/>
      </w:pPr>
      <w:r>
        <w:rPr/>
        <w:t> </w:t>
      </w:r>
    </w:p>
    <w:p>
      <w:pPr>
        <w:pStyle w:val="TextBody"/>
        <w:bidi w:val="0"/>
        <w:spacing w:before="200" w:after="20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SOLAREDGE TECHNOLOGIES INC. | 2026 Form 10-Q | F - 1</w:t>
      </w:r>
    </w:p>
    <w:p>
      <w:pPr>
        <w:pStyle w:val="HorizontalLine"/>
        <w:bidi w:val="0"/>
        <w:spacing w:before="200" w:after="200"/>
        <w:jc w:val="left"/>
        <w:rPr/>
      </w:pPr>
      <w:r>
        <w:rPr/>
      </w:r>
    </w:p>
    <w:p>
      <w:pPr>
        <w:pStyle w:val="TextBody"/>
        <w:bidi w:val="0"/>
        <w:spacing w:lineRule="auto" w:line="300" w:before="0" w:after="0"/>
        <w:jc w:val="left"/>
        <w:rPr/>
      </w:pPr>
      <w:r>
        <w:rPr/>
        <w:t> </w:t>
      </w:r>
    </w:p>
    <w:p>
      <w:pPr>
        <w:pStyle w:val="TextBody"/>
        <w:bidi w:val="0"/>
        <w:spacing w:lineRule="auto" w:line="300" w:before="0" w:after="0"/>
        <w:ind w:left="0" w:right="0" w:firstLine="360"/>
        <w:jc w:val="center"/>
        <w:rPr>
          <w:rFonts w:ascii="Times New Roman;Times;serif" w:hAnsi="Times New Roman;Times;serif"/>
          <w:b/>
          <w:sz w:val="20"/>
        </w:rPr>
      </w:pPr>
      <w:r>
        <w:rPr>
          <w:rFonts w:ascii="Times New Roman;Times;serif" w:hAnsi="Times New Roman;Times;serif"/>
          <w:b/>
          <w:sz w:val="20"/>
        </w:rPr>
        <w:t>SOLAREDGE TECHNOLOGIES, INC.</w:t>
      </w:r>
    </w:p>
    <w:p>
      <w:pPr>
        <w:pStyle w:val="TextBody"/>
        <w:bidi w:val="0"/>
        <w:spacing w:lineRule="auto" w:line="300" w:before="0" w:after="0"/>
        <w:jc w:val="left"/>
        <w:rPr/>
      </w:pPr>
      <w:r>
        <w:rPr/>
        <w:t> </w:t>
      </w:r>
    </w:p>
    <w:p>
      <w:pPr>
        <w:pStyle w:val="TextBody"/>
        <w:bidi w:val="0"/>
        <w:spacing w:lineRule="auto" w:line="300" w:before="0" w:after="0"/>
        <w:ind w:left="0" w:right="0" w:firstLine="360"/>
        <w:jc w:val="center"/>
        <w:rPr>
          <w:rFonts w:ascii="Times New Roman;Times;serif" w:hAnsi="Times New Roman;Times;serif"/>
          <w:b/>
          <w:sz w:val="20"/>
        </w:rPr>
      </w:pPr>
      <w:r>
        <w:rPr>
          <w:rFonts w:ascii="Times New Roman;Times;serif" w:hAnsi="Times New Roman;Times;serif"/>
          <w:b/>
          <w:sz w:val="20"/>
        </w:rPr>
        <w:t xml:space="preserve">CONDENSED CONSOLIDATED </w:t>
      </w:r>
      <w:bookmarkStart w:id="5" w:name="BALANCESHEETS"/>
      <w:bookmarkEnd w:id="5"/>
      <w:r>
        <w:rPr>
          <w:rFonts w:ascii="Times New Roman;Times;serif" w:hAnsi="Times New Roman;Times;serif"/>
          <w:b/>
          <w:sz w:val="20"/>
        </w:rPr>
        <w:t>BALANCE SHEETS (Unaudited) (Cont.)</w:t>
      </w:r>
    </w:p>
    <w:p>
      <w:pPr>
        <w:pStyle w:val="TextBody"/>
        <w:bidi w:val="0"/>
        <w:spacing w:lineRule="auto" w:line="300" w:before="0" w:after="0"/>
        <w:jc w:val="left"/>
        <w:rPr/>
      </w:pPr>
      <w:r>
        <w:rPr/>
        <w:t> </w:t>
      </w:r>
    </w:p>
    <w:p>
      <w:pPr>
        <w:pStyle w:val="TextBody"/>
        <w:bidi w:val="0"/>
        <w:spacing w:lineRule="auto" w:line="300" w:before="0" w:after="0"/>
        <w:ind w:left="0" w:right="0" w:firstLine="360"/>
        <w:jc w:val="center"/>
        <w:rPr>
          <w:rFonts w:ascii="Times New Roman;Times;serif" w:hAnsi="Times New Roman;Times;serif"/>
          <w:b/>
          <w:sz w:val="20"/>
        </w:rPr>
      </w:pPr>
      <w:r>
        <w:rPr>
          <w:rFonts w:ascii="Times New Roman;Times;serif" w:hAnsi="Times New Roman;Times;serif"/>
          <w:b/>
          <w:sz w:val="20"/>
        </w:rPr>
        <w:t>(in thousands, except per share data)</w:t>
      </w:r>
    </w:p>
    <w:p>
      <w:pPr>
        <w:pStyle w:val="TextBody"/>
        <w:bidi w:val="0"/>
        <w:spacing w:lineRule="auto" w:line="300"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50"/>
        <w:gridCol w:w="60"/>
        <w:gridCol w:w="125"/>
        <w:gridCol w:w="1055"/>
        <w:gridCol w:w="80"/>
        <w:gridCol w:w="60"/>
        <w:gridCol w:w="125"/>
        <w:gridCol w:w="1055"/>
        <w:gridCol w:w="95"/>
      </w:tblGrid>
      <w:tr>
        <w:trPr/>
        <w:tc>
          <w:tcPr>
            <w:tcW w:w="75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80"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June 30,</w:t>
            </w:r>
          </w:p>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2026</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80"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December 31,</w:t>
            </w:r>
          </w:p>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2025</w:t>
            </w:r>
          </w:p>
        </w:tc>
        <w:tc>
          <w:tcPr>
            <w:tcW w:w="95" w:type="dxa"/>
            <w:tcBorders/>
            <w:vAlign w:val="center"/>
          </w:tcPr>
          <w:p>
            <w:pPr>
              <w:pStyle w:val="TableContents"/>
              <w:bidi w:val="0"/>
              <w:spacing w:before="0" w:after="283"/>
              <w:jc w:val="left"/>
              <w:rPr/>
            </w:pPr>
            <w:r>
              <w:rPr/>
              <w:t> </w:t>
            </w:r>
          </w:p>
        </w:tc>
      </w:tr>
      <w:tr>
        <w:trPr/>
        <w:tc>
          <w:tcPr>
            <w:tcW w:w="7550" w:type="dxa"/>
            <w:tcBorders/>
            <w:shd w:fill="CCEEFF" w:val="clear"/>
            <w:vAlign w:val="center"/>
          </w:tcPr>
          <w:p>
            <w:pPr>
              <w:pStyle w:val="TableContents"/>
              <w:bidi w:val="0"/>
              <w:spacing w:lineRule="auto" w:line="300" w:before="0" w:after="0"/>
              <w:jc w:val="left"/>
              <w:rPr/>
            </w:pPr>
            <w:r>
              <w:rPr/>
              <w:t> </w:t>
            </w:r>
            <w:r>
              <w:rPr>
                <w:rFonts w:ascii="Times New Roman;Times;serif" w:hAnsi="Times New Roman;Times;serif"/>
                <w:sz w:val="20"/>
              </w:rPr>
              <w:t>LIABILITIES AND STOCKHOLDERS’ EQUITY</w:t>
            </w:r>
          </w:p>
        </w:tc>
        <w:tc>
          <w:tcPr>
            <w:tcW w:w="60" w:type="dxa"/>
            <w:tcBorders/>
            <w:shd w:fill="CCEEFF" w:val="clear"/>
            <w:vAlign w:val="center"/>
          </w:tcPr>
          <w:p>
            <w:pPr>
              <w:pStyle w:val="TableContents"/>
              <w:bidi w:val="0"/>
              <w:spacing w:before="0" w:after="283"/>
              <w:jc w:val="left"/>
              <w:rPr/>
            </w:pPr>
            <w:r>
              <w:rPr/>
              <w:t> </w:t>
            </w:r>
          </w:p>
        </w:tc>
        <w:tc>
          <w:tcPr>
            <w:tcW w:w="1180" w:type="dxa"/>
            <w:gridSpan w:val="2"/>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80" w:type="dxa"/>
            <w:gridSpan w:val="2"/>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7550"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CURRENT LIABILITIES:</w:t>
            </w:r>
          </w:p>
        </w:tc>
        <w:tc>
          <w:tcPr>
            <w:tcW w:w="60" w:type="dxa"/>
            <w:tcBorders/>
            <w:vAlign w:val="center"/>
          </w:tcPr>
          <w:p>
            <w:pPr>
              <w:pStyle w:val="TableContents"/>
              <w:bidi w:val="0"/>
              <w:spacing w:before="0" w:after="283"/>
              <w:jc w:val="left"/>
              <w:rPr/>
            </w:pPr>
            <w:r>
              <w:rPr/>
              <w:t> </w:t>
            </w:r>
          </w:p>
        </w:tc>
        <w:tc>
          <w:tcPr>
            <w:tcW w:w="1180" w:type="dxa"/>
            <w:gridSpan w:val="2"/>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80"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r>
      <w:tr>
        <w:trPr/>
        <w:tc>
          <w:tcPr>
            <w:tcW w:w="7550" w:type="dxa"/>
            <w:tcBorders/>
            <w:shd w:fill="CCEEFF" w:val="clear"/>
            <w:vAlign w:val="center"/>
          </w:tcPr>
          <w:p>
            <w:pPr>
              <w:pStyle w:val="TableContents"/>
              <w:bidi w:val="0"/>
              <w:spacing w:lineRule="auto" w:line="300" w:before="0" w:after="0"/>
              <w:ind w:left="270" w:right="0" w:hanging="0"/>
              <w:jc w:val="left"/>
              <w:rPr>
                <w:rFonts w:ascii="Times New Roman;Times;serif" w:hAnsi="Times New Roman;Times;serif"/>
                <w:sz w:val="20"/>
              </w:rPr>
            </w:pPr>
            <w:r>
              <w:rPr>
                <w:rFonts w:ascii="Times New Roman;Times;serif" w:hAnsi="Times New Roman;Times;serif"/>
                <w:sz w:val="20"/>
              </w:rPr>
              <w:t>Trade payables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1055" w:type="dxa"/>
            <w:tcBorders/>
            <w:shd w:fill="CCEEFF" w:val="clear"/>
            <w:vAlign w:val="center"/>
          </w:tcPr>
          <w:p>
            <w:pPr>
              <w:pStyle w:val="TableContents"/>
              <w:bidi w:val="0"/>
              <w:spacing w:lineRule="auto" w:line="300" w:before="0" w:after="0"/>
              <w:jc w:val="right"/>
              <w:rPr/>
            </w:pPr>
            <w:r>
              <w:rPr/>
              <w:t>460,141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1055" w:type="dxa"/>
            <w:tcBorders/>
            <w:shd w:fill="CCEEFF" w:val="clear"/>
            <w:vAlign w:val="center"/>
          </w:tcPr>
          <w:p>
            <w:pPr>
              <w:pStyle w:val="TableContents"/>
              <w:bidi w:val="0"/>
              <w:spacing w:lineRule="auto" w:line="300" w:before="0" w:after="0"/>
              <w:jc w:val="right"/>
              <w:rPr/>
            </w:pPr>
            <w:r>
              <w:rPr/>
              <w:t>271,983</w:t>
            </w:r>
          </w:p>
        </w:tc>
        <w:tc>
          <w:tcPr>
            <w:tcW w:w="95" w:type="dxa"/>
            <w:tcBorders/>
            <w:shd w:fill="CCEEFF" w:val="clear"/>
            <w:vAlign w:val="center"/>
          </w:tcPr>
          <w:p>
            <w:pPr>
              <w:pStyle w:val="TableContents"/>
              <w:bidi w:val="0"/>
              <w:spacing w:before="0" w:after="283"/>
              <w:jc w:val="left"/>
              <w:rPr/>
            </w:pPr>
            <w:r>
              <w:rPr/>
              <w:t> </w:t>
            </w:r>
          </w:p>
        </w:tc>
      </w:tr>
      <w:tr>
        <w:trPr/>
        <w:tc>
          <w:tcPr>
            <w:tcW w:w="7550" w:type="dxa"/>
            <w:tcBorders/>
            <w:vAlign w:val="center"/>
          </w:tcPr>
          <w:p>
            <w:pPr>
              <w:pStyle w:val="TableContents"/>
              <w:bidi w:val="0"/>
              <w:spacing w:lineRule="auto" w:line="300" w:before="0" w:after="0"/>
              <w:ind w:left="270" w:right="0" w:hanging="0"/>
              <w:jc w:val="left"/>
              <w:rPr>
                <w:rFonts w:ascii="Times New Roman;Times;serif" w:hAnsi="Times New Roman;Times;serif"/>
                <w:sz w:val="20"/>
              </w:rPr>
            </w:pPr>
            <w:r>
              <w:rPr>
                <w:rFonts w:ascii="Times New Roman;Times;serif" w:hAnsi="Times New Roman;Times;serif"/>
                <w:sz w:val="20"/>
              </w:rPr>
              <w:t>Employees and payroll accruals</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lineRule="auto" w:line="300" w:before="0" w:after="0"/>
              <w:jc w:val="right"/>
              <w:rPr/>
            </w:pPr>
            <w:r>
              <w:rPr/>
              <w:t>66,098</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lineRule="auto" w:line="300" w:before="0" w:after="0"/>
              <w:jc w:val="right"/>
              <w:rPr/>
            </w:pPr>
            <w:r>
              <w:rPr/>
              <w:t>73,992</w:t>
            </w:r>
          </w:p>
        </w:tc>
        <w:tc>
          <w:tcPr>
            <w:tcW w:w="95" w:type="dxa"/>
            <w:tcBorders/>
            <w:vAlign w:val="center"/>
          </w:tcPr>
          <w:p>
            <w:pPr>
              <w:pStyle w:val="TableContents"/>
              <w:bidi w:val="0"/>
              <w:spacing w:before="0" w:after="283"/>
              <w:jc w:val="left"/>
              <w:rPr/>
            </w:pPr>
            <w:r>
              <w:rPr/>
              <w:t> </w:t>
            </w:r>
          </w:p>
        </w:tc>
      </w:tr>
      <w:tr>
        <w:trPr/>
        <w:tc>
          <w:tcPr>
            <w:tcW w:w="7550" w:type="dxa"/>
            <w:tcBorders/>
            <w:shd w:fill="CCEEFF" w:val="clear"/>
            <w:vAlign w:val="center"/>
          </w:tcPr>
          <w:p>
            <w:pPr>
              <w:pStyle w:val="TableContents"/>
              <w:bidi w:val="0"/>
              <w:spacing w:lineRule="auto" w:line="300" w:before="0" w:after="0"/>
              <w:ind w:left="270" w:right="0" w:hanging="0"/>
              <w:jc w:val="left"/>
              <w:rPr>
                <w:rFonts w:ascii="Times New Roman;Times;serif" w:hAnsi="Times New Roman;Times;serif"/>
                <w:sz w:val="20"/>
              </w:rPr>
            </w:pPr>
            <w:r>
              <w:rPr>
                <w:rFonts w:ascii="Times New Roman;Times;serif" w:hAnsi="Times New Roman;Times;serif"/>
                <w:sz w:val="20"/>
              </w:rPr>
              <w:t>Warranty obligations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lineRule="auto" w:line="300" w:before="0" w:after="0"/>
              <w:jc w:val="right"/>
              <w:rPr/>
            </w:pPr>
            <w:r>
              <w:rPr/>
              <w:t>69,918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lineRule="auto" w:line="300" w:before="0" w:after="0"/>
              <w:jc w:val="right"/>
              <w:rPr/>
            </w:pPr>
            <w:r>
              <w:rPr/>
              <w:t>89,330</w:t>
            </w:r>
          </w:p>
        </w:tc>
        <w:tc>
          <w:tcPr>
            <w:tcW w:w="95" w:type="dxa"/>
            <w:tcBorders/>
            <w:shd w:fill="CCEEFF" w:val="clear"/>
            <w:vAlign w:val="center"/>
          </w:tcPr>
          <w:p>
            <w:pPr>
              <w:pStyle w:val="TableContents"/>
              <w:bidi w:val="0"/>
              <w:spacing w:before="0" w:after="283"/>
              <w:jc w:val="left"/>
              <w:rPr/>
            </w:pPr>
            <w:r>
              <w:rPr/>
              <w:t> </w:t>
            </w:r>
          </w:p>
        </w:tc>
      </w:tr>
      <w:tr>
        <w:trPr/>
        <w:tc>
          <w:tcPr>
            <w:tcW w:w="7550" w:type="dxa"/>
            <w:tcBorders/>
            <w:vAlign w:val="center"/>
          </w:tcPr>
          <w:p>
            <w:pPr>
              <w:pStyle w:val="TableContents"/>
              <w:bidi w:val="0"/>
              <w:spacing w:lineRule="auto" w:line="300" w:before="0" w:after="0"/>
              <w:ind w:left="270" w:right="0" w:hanging="0"/>
              <w:jc w:val="left"/>
              <w:rPr>
                <w:rFonts w:ascii="Times New Roman;Times;serif" w:hAnsi="Times New Roman;Times;serif"/>
                <w:sz w:val="20"/>
              </w:rPr>
            </w:pPr>
            <w:r>
              <w:rPr>
                <w:rFonts w:ascii="Times New Roman;Times;serif" w:hAnsi="Times New Roman;Times;serif"/>
                <w:sz w:val="20"/>
              </w:rPr>
              <w:t>Deferred revenues and customers advances</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lineRule="auto" w:line="300" w:before="0" w:after="0"/>
              <w:jc w:val="right"/>
              <w:rPr/>
            </w:pPr>
            <w:r>
              <w:rPr/>
              <w:t>49,326</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lineRule="auto" w:line="300" w:before="0" w:after="0"/>
              <w:jc w:val="right"/>
              <w:rPr/>
            </w:pPr>
            <w:r>
              <w:rPr/>
              <w:t>70,371</w:t>
            </w:r>
          </w:p>
        </w:tc>
        <w:tc>
          <w:tcPr>
            <w:tcW w:w="95" w:type="dxa"/>
            <w:tcBorders/>
            <w:vAlign w:val="center"/>
          </w:tcPr>
          <w:p>
            <w:pPr>
              <w:pStyle w:val="TableContents"/>
              <w:bidi w:val="0"/>
              <w:spacing w:before="0" w:after="283"/>
              <w:jc w:val="left"/>
              <w:rPr/>
            </w:pPr>
            <w:r>
              <w:rPr/>
              <w:t> </w:t>
            </w:r>
          </w:p>
        </w:tc>
      </w:tr>
      <w:tr>
        <w:trPr/>
        <w:tc>
          <w:tcPr>
            <w:tcW w:w="7550" w:type="dxa"/>
            <w:tcBorders/>
            <w:shd w:fill="CCEEFF" w:val="clear"/>
            <w:vAlign w:val="center"/>
          </w:tcPr>
          <w:p>
            <w:pPr>
              <w:pStyle w:val="TableContents"/>
              <w:bidi w:val="0"/>
              <w:spacing w:lineRule="auto" w:line="300" w:before="0" w:after="0"/>
              <w:ind w:left="270" w:right="0" w:hanging="0"/>
              <w:jc w:val="left"/>
              <w:rPr>
                <w:rFonts w:ascii="Times New Roman;Times;serif" w:hAnsi="Times New Roman;Times;serif"/>
                <w:sz w:val="20"/>
              </w:rPr>
            </w:pPr>
            <w:r>
              <w:rPr>
                <w:rFonts w:ascii="Times New Roman;Times;serif" w:hAnsi="Times New Roman;Times;serif"/>
                <w:sz w:val="20"/>
              </w:rPr>
              <w:t>Accrued expenses and other current liabilities</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CCEEFF" w:val="clear"/>
            <w:tcMar>
              <w:bottom w:w="28" w:type="dxa"/>
            </w:tcMar>
            <w:vAlign w:val="center"/>
          </w:tcPr>
          <w:p>
            <w:pPr>
              <w:pStyle w:val="TableContents"/>
              <w:bidi w:val="0"/>
              <w:spacing w:lineRule="auto" w:line="300" w:before="0" w:after="0"/>
              <w:jc w:val="right"/>
              <w:rPr/>
            </w:pPr>
            <w:r>
              <w:rPr/>
              <w:t>274,842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CCEEFF" w:val="clear"/>
            <w:tcMar>
              <w:bottom w:w="28" w:type="dxa"/>
            </w:tcMar>
            <w:vAlign w:val="center"/>
          </w:tcPr>
          <w:p>
            <w:pPr>
              <w:pStyle w:val="TableContents"/>
              <w:bidi w:val="0"/>
              <w:spacing w:lineRule="auto" w:line="300" w:before="0" w:after="0"/>
              <w:jc w:val="right"/>
              <w:rPr/>
            </w:pPr>
            <w:r>
              <w:rPr/>
              <w:t>297,819</w:t>
            </w:r>
          </w:p>
        </w:tc>
        <w:tc>
          <w:tcPr>
            <w:tcW w:w="95" w:type="dxa"/>
            <w:tcBorders/>
            <w:shd w:fill="CCEEFF" w:val="clear"/>
            <w:vAlign w:val="center"/>
          </w:tcPr>
          <w:p>
            <w:pPr>
              <w:pStyle w:val="TableContents"/>
              <w:bidi w:val="0"/>
              <w:spacing w:before="0" w:after="283"/>
              <w:jc w:val="left"/>
              <w:rPr/>
            </w:pPr>
            <w:r>
              <w:rPr/>
              <w:t> </w:t>
            </w:r>
          </w:p>
        </w:tc>
      </w:tr>
      <w:tr>
        <w:trPr/>
        <w:tc>
          <w:tcPr>
            <w:tcW w:w="7550"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u w:val="single"/>
              </w:rPr>
              <w:t>Total</w:t>
            </w:r>
            <w:r>
              <w:rPr>
                <w:rFonts w:ascii="Times New Roman;Times;serif" w:hAnsi="Times New Roman;Times;serif"/>
                <w:sz w:val="20"/>
              </w:rPr>
              <w:t xml:space="preserve"> current liabilities</w:t>
            </w:r>
          </w:p>
        </w:tc>
        <w:tc>
          <w:tcPr>
            <w:tcW w:w="60" w:type="dxa"/>
            <w:tcBorders/>
            <w:vAlign w:val="center"/>
          </w:tcPr>
          <w:p>
            <w:pPr>
              <w:pStyle w:val="TableContents"/>
              <w:bidi w:val="0"/>
              <w:spacing w:before="0" w:after="283"/>
              <w:jc w:val="left"/>
              <w:rPr/>
            </w:pPr>
            <w:r>
              <w:rPr/>
              <w:t> </w:t>
            </w:r>
          </w:p>
        </w:tc>
        <w:tc>
          <w:tcPr>
            <w:tcW w:w="125" w:type="dxa"/>
            <w:tcBorders>
              <w:bottom w:val="single" w:sz="12" w:space="0" w:color="000000"/>
            </w:tcBorders>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tcMar>
              <w:bottom w:w="28" w:type="dxa"/>
            </w:tcMar>
            <w:vAlign w:val="center"/>
          </w:tcPr>
          <w:p>
            <w:pPr>
              <w:pStyle w:val="TableContents"/>
              <w:bidi w:val="0"/>
              <w:spacing w:lineRule="auto" w:line="300" w:before="0" w:after="0"/>
              <w:jc w:val="right"/>
              <w:rPr/>
            </w:pPr>
            <w:r>
              <w:rPr/>
              <w:t>920,325</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bottom w:val="single" w:sz="12" w:space="0" w:color="000000"/>
            </w:tcBorders>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tcMar>
              <w:bottom w:w="28" w:type="dxa"/>
            </w:tcMar>
            <w:vAlign w:val="center"/>
          </w:tcPr>
          <w:p>
            <w:pPr>
              <w:pStyle w:val="TableContents"/>
              <w:bidi w:val="0"/>
              <w:spacing w:lineRule="auto" w:line="300" w:before="0" w:after="0"/>
              <w:jc w:val="right"/>
              <w:rPr/>
            </w:pPr>
            <w:r>
              <w:rPr/>
              <w:t>803,495</w:t>
            </w:r>
          </w:p>
        </w:tc>
        <w:tc>
          <w:tcPr>
            <w:tcW w:w="95" w:type="dxa"/>
            <w:tcBorders/>
            <w:vAlign w:val="center"/>
          </w:tcPr>
          <w:p>
            <w:pPr>
              <w:pStyle w:val="TableContents"/>
              <w:bidi w:val="0"/>
              <w:spacing w:before="0" w:after="283"/>
              <w:jc w:val="left"/>
              <w:rPr/>
            </w:pPr>
            <w:r>
              <w:rPr/>
              <w:t> </w:t>
            </w:r>
          </w:p>
        </w:tc>
      </w:tr>
      <w:tr>
        <w:trPr/>
        <w:tc>
          <w:tcPr>
            <w:tcW w:w="7550"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LONG-TERM LIABILITIES: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7550" w:type="dxa"/>
            <w:tcBorders/>
            <w:vAlign w:val="center"/>
          </w:tcPr>
          <w:p>
            <w:pPr>
              <w:pStyle w:val="TableContents"/>
              <w:bidi w:val="0"/>
              <w:spacing w:lineRule="auto" w:line="300" w:before="0" w:after="0"/>
              <w:ind w:left="270" w:right="0" w:hanging="0"/>
              <w:jc w:val="left"/>
              <w:rPr>
                <w:rFonts w:ascii="Times New Roman;Times;serif" w:hAnsi="Times New Roman;Times;serif"/>
                <w:sz w:val="20"/>
              </w:rPr>
            </w:pPr>
            <w:r>
              <w:rPr>
                <w:rFonts w:ascii="Times New Roman;Times;serif" w:hAnsi="Times New Roman;Times;serif"/>
                <w:sz w:val="20"/>
              </w:rPr>
              <w:t>Convertible senior notes, net</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lineRule="auto" w:line="300" w:before="0" w:after="0"/>
              <w:jc w:val="right"/>
              <w:rPr/>
            </w:pPr>
            <w:r>
              <w:rPr/>
              <w:t>332,332</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lineRule="auto" w:line="300" w:before="0" w:after="0"/>
              <w:jc w:val="right"/>
              <w:rPr/>
            </w:pPr>
            <w:r>
              <w:rPr/>
              <w:t>331,561</w:t>
            </w:r>
          </w:p>
        </w:tc>
        <w:tc>
          <w:tcPr>
            <w:tcW w:w="95" w:type="dxa"/>
            <w:tcBorders/>
            <w:vAlign w:val="center"/>
          </w:tcPr>
          <w:p>
            <w:pPr>
              <w:pStyle w:val="TableContents"/>
              <w:bidi w:val="0"/>
              <w:spacing w:before="0" w:after="283"/>
              <w:jc w:val="left"/>
              <w:rPr/>
            </w:pPr>
            <w:r>
              <w:rPr/>
              <w:t> </w:t>
            </w:r>
          </w:p>
        </w:tc>
      </w:tr>
      <w:tr>
        <w:trPr/>
        <w:tc>
          <w:tcPr>
            <w:tcW w:w="7550" w:type="dxa"/>
            <w:tcBorders/>
            <w:shd w:fill="CCEEFF" w:val="clear"/>
            <w:vAlign w:val="center"/>
          </w:tcPr>
          <w:p>
            <w:pPr>
              <w:pStyle w:val="TableContents"/>
              <w:bidi w:val="0"/>
              <w:spacing w:lineRule="auto" w:line="300" w:before="0" w:after="0"/>
              <w:ind w:left="270" w:right="0" w:hanging="0"/>
              <w:jc w:val="left"/>
              <w:rPr>
                <w:rFonts w:ascii="Times New Roman;Times;serif" w:hAnsi="Times New Roman;Times;serif"/>
                <w:sz w:val="20"/>
              </w:rPr>
            </w:pPr>
            <w:r>
              <w:rPr>
                <w:rFonts w:ascii="Times New Roman;Times;serif" w:hAnsi="Times New Roman;Times;serif"/>
                <w:sz w:val="20"/>
              </w:rPr>
              <w:t>Warranty obligations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lineRule="auto" w:line="300" w:before="0" w:after="0"/>
              <w:jc w:val="right"/>
              <w:rPr/>
            </w:pPr>
            <w:r>
              <w:rPr/>
              <w:t>238,979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lineRule="auto" w:line="300" w:before="0" w:after="0"/>
              <w:jc w:val="right"/>
              <w:rPr/>
            </w:pPr>
            <w:r>
              <w:rPr/>
              <w:t>268,559</w:t>
            </w:r>
          </w:p>
        </w:tc>
        <w:tc>
          <w:tcPr>
            <w:tcW w:w="95" w:type="dxa"/>
            <w:tcBorders/>
            <w:shd w:fill="CCEEFF" w:val="clear"/>
            <w:vAlign w:val="center"/>
          </w:tcPr>
          <w:p>
            <w:pPr>
              <w:pStyle w:val="TableContents"/>
              <w:bidi w:val="0"/>
              <w:spacing w:before="0" w:after="283"/>
              <w:jc w:val="left"/>
              <w:rPr/>
            </w:pPr>
            <w:r>
              <w:rPr/>
              <w:t> </w:t>
            </w:r>
          </w:p>
        </w:tc>
      </w:tr>
      <w:tr>
        <w:trPr/>
        <w:tc>
          <w:tcPr>
            <w:tcW w:w="7550" w:type="dxa"/>
            <w:tcBorders/>
            <w:vAlign w:val="center"/>
          </w:tcPr>
          <w:p>
            <w:pPr>
              <w:pStyle w:val="TableContents"/>
              <w:bidi w:val="0"/>
              <w:spacing w:lineRule="auto" w:line="300" w:before="0" w:after="0"/>
              <w:ind w:left="270" w:right="0" w:hanging="0"/>
              <w:jc w:val="left"/>
              <w:rPr>
                <w:rFonts w:ascii="Times New Roman;Times;serif" w:hAnsi="Times New Roman;Times;serif"/>
                <w:sz w:val="20"/>
              </w:rPr>
            </w:pPr>
            <w:r>
              <w:rPr>
                <w:rFonts w:ascii="Times New Roman;Times;serif" w:hAnsi="Times New Roman;Times;serif"/>
                <w:sz w:val="20"/>
              </w:rPr>
              <w:t>Deferred revenues and customers advances</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lineRule="auto" w:line="300" w:before="0" w:after="0"/>
              <w:jc w:val="right"/>
              <w:rPr/>
            </w:pPr>
            <w:r>
              <w:rPr/>
              <w:t>327,684</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lineRule="auto" w:line="300" w:before="0" w:after="0"/>
              <w:jc w:val="right"/>
              <w:rPr/>
            </w:pPr>
            <w:r>
              <w:rPr/>
              <w:t>293,328</w:t>
            </w:r>
          </w:p>
        </w:tc>
        <w:tc>
          <w:tcPr>
            <w:tcW w:w="95" w:type="dxa"/>
            <w:tcBorders/>
            <w:vAlign w:val="center"/>
          </w:tcPr>
          <w:p>
            <w:pPr>
              <w:pStyle w:val="TableContents"/>
              <w:bidi w:val="0"/>
              <w:spacing w:before="0" w:after="283"/>
              <w:jc w:val="left"/>
              <w:rPr/>
            </w:pPr>
            <w:r>
              <w:rPr/>
              <w:t> </w:t>
            </w:r>
          </w:p>
        </w:tc>
      </w:tr>
      <w:tr>
        <w:trPr/>
        <w:tc>
          <w:tcPr>
            <w:tcW w:w="7550" w:type="dxa"/>
            <w:tcBorders/>
            <w:shd w:fill="CCEEFF" w:val="clear"/>
            <w:vAlign w:val="center"/>
          </w:tcPr>
          <w:p>
            <w:pPr>
              <w:pStyle w:val="TableContents"/>
              <w:bidi w:val="0"/>
              <w:spacing w:lineRule="auto" w:line="300" w:before="0" w:after="0"/>
              <w:ind w:left="270" w:right="0" w:hanging="0"/>
              <w:jc w:val="left"/>
              <w:rPr>
                <w:rFonts w:ascii="Times New Roman;Times;serif" w:hAnsi="Times New Roman;Times;serif"/>
                <w:sz w:val="20"/>
              </w:rPr>
            </w:pPr>
            <w:r>
              <w:rPr>
                <w:rFonts w:ascii="Times New Roman;Times;serif" w:hAnsi="Times New Roman;Times;serif"/>
                <w:sz w:val="20"/>
              </w:rPr>
              <w:t>Finance lease liabilities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lineRule="auto" w:line="300" w:before="0" w:after="0"/>
              <w:jc w:val="right"/>
              <w:rPr/>
            </w:pPr>
            <w:r>
              <w:rPr/>
              <w:t>19,171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lineRule="auto" w:line="300" w:before="0" w:after="0"/>
              <w:jc w:val="right"/>
              <w:rPr/>
            </w:pPr>
            <w:r>
              <w:rPr/>
              <w:t>18,558</w:t>
            </w:r>
          </w:p>
        </w:tc>
        <w:tc>
          <w:tcPr>
            <w:tcW w:w="95" w:type="dxa"/>
            <w:tcBorders/>
            <w:shd w:fill="CCEEFF" w:val="clear"/>
            <w:vAlign w:val="center"/>
          </w:tcPr>
          <w:p>
            <w:pPr>
              <w:pStyle w:val="TableContents"/>
              <w:bidi w:val="0"/>
              <w:spacing w:before="0" w:after="283"/>
              <w:jc w:val="left"/>
              <w:rPr/>
            </w:pPr>
            <w:r>
              <w:rPr/>
              <w:t> </w:t>
            </w:r>
          </w:p>
        </w:tc>
      </w:tr>
      <w:tr>
        <w:trPr/>
        <w:tc>
          <w:tcPr>
            <w:tcW w:w="7550" w:type="dxa"/>
            <w:tcBorders/>
            <w:vAlign w:val="center"/>
          </w:tcPr>
          <w:p>
            <w:pPr>
              <w:pStyle w:val="TableContents"/>
              <w:bidi w:val="0"/>
              <w:spacing w:lineRule="auto" w:line="300" w:before="0" w:after="0"/>
              <w:ind w:left="270" w:right="0" w:hanging="0"/>
              <w:jc w:val="left"/>
              <w:rPr>
                <w:rFonts w:ascii="Times New Roman;Times;serif" w:hAnsi="Times New Roman;Times;serif"/>
                <w:sz w:val="20"/>
              </w:rPr>
            </w:pPr>
            <w:r>
              <w:rPr>
                <w:rFonts w:ascii="Times New Roman;Times;serif" w:hAnsi="Times New Roman;Times;serif"/>
                <w:sz w:val="20"/>
              </w:rPr>
              <w:t>Operating lease liabilities</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lineRule="auto" w:line="300" w:before="0" w:after="0"/>
              <w:jc w:val="right"/>
              <w:rPr/>
            </w:pPr>
            <w:r>
              <w:rPr/>
              <w:t>42,377</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lineRule="auto" w:line="300" w:before="0" w:after="0"/>
              <w:jc w:val="right"/>
              <w:rPr/>
            </w:pPr>
            <w:r>
              <w:rPr/>
              <w:t>36,648</w:t>
            </w:r>
          </w:p>
        </w:tc>
        <w:tc>
          <w:tcPr>
            <w:tcW w:w="95" w:type="dxa"/>
            <w:tcBorders/>
            <w:vAlign w:val="center"/>
          </w:tcPr>
          <w:p>
            <w:pPr>
              <w:pStyle w:val="TableContents"/>
              <w:bidi w:val="0"/>
              <w:spacing w:before="0" w:after="283"/>
              <w:jc w:val="left"/>
              <w:rPr/>
            </w:pPr>
            <w:r>
              <w:rPr/>
              <w:t> </w:t>
            </w:r>
          </w:p>
        </w:tc>
      </w:tr>
      <w:tr>
        <w:trPr/>
        <w:tc>
          <w:tcPr>
            <w:tcW w:w="7550" w:type="dxa"/>
            <w:tcBorders/>
            <w:shd w:fill="CCEEFF" w:val="clear"/>
            <w:vAlign w:val="center"/>
          </w:tcPr>
          <w:p>
            <w:pPr>
              <w:pStyle w:val="TableContents"/>
              <w:bidi w:val="0"/>
              <w:spacing w:lineRule="auto" w:line="300" w:before="0" w:after="0"/>
              <w:ind w:left="270" w:right="0" w:hanging="0"/>
              <w:jc w:val="left"/>
              <w:rPr>
                <w:rFonts w:ascii="Times New Roman;Times;serif" w:hAnsi="Times New Roman;Times;serif"/>
                <w:sz w:val="20"/>
              </w:rPr>
            </w:pPr>
            <w:r>
              <w:rPr>
                <w:rFonts w:ascii="Times New Roman;Times;serif" w:hAnsi="Times New Roman;Times;serif"/>
                <w:sz w:val="20"/>
              </w:rPr>
              <w:t>Other long-term liabilities</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CCEEFF" w:val="clear"/>
            <w:tcMar>
              <w:bottom w:w="28" w:type="dxa"/>
            </w:tcMar>
            <w:vAlign w:val="center"/>
          </w:tcPr>
          <w:p>
            <w:pPr>
              <w:pStyle w:val="TableContents"/>
              <w:bidi w:val="0"/>
              <w:spacing w:lineRule="auto" w:line="300" w:before="0" w:after="0"/>
              <w:jc w:val="right"/>
              <w:rPr/>
            </w:pPr>
            <w:r>
              <w:rPr/>
              <w:t>10,577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CCEEFF" w:val="clear"/>
            <w:tcMar>
              <w:bottom w:w="28" w:type="dxa"/>
            </w:tcMar>
            <w:vAlign w:val="center"/>
          </w:tcPr>
          <w:p>
            <w:pPr>
              <w:pStyle w:val="TableContents"/>
              <w:bidi w:val="0"/>
              <w:spacing w:lineRule="auto" w:line="300" w:before="0" w:after="0"/>
              <w:jc w:val="right"/>
              <w:rPr/>
            </w:pPr>
            <w:r>
              <w:rPr/>
              <w:t>2,581</w:t>
            </w:r>
          </w:p>
        </w:tc>
        <w:tc>
          <w:tcPr>
            <w:tcW w:w="95" w:type="dxa"/>
            <w:tcBorders/>
            <w:shd w:fill="CCEEFF" w:val="clear"/>
            <w:vAlign w:val="center"/>
          </w:tcPr>
          <w:p>
            <w:pPr>
              <w:pStyle w:val="TableContents"/>
              <w:bidi w:val="0"/>
              <w:spacing w:before="0" w:after="283"/>
              <w:jc w:val="left"/>
              <w:rPr/>
            </w:pPr>
            <w:r>
              <w:rPr/>
              <w:t> </w:t>
            </w:r>
          </w:p>
        </w:tc>
      </w:tr>
      <w:tr>
        <w:trPr/>
        <w:tc>
          <w:tcPr>
            <w:tcW w:w="7550"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u w:val="single"/>
              </w:rPr>
              <w:t>Total</w:t>
            </w:r>
            <w:r>
              <w:rPr>
                <w:rFonts w:ascii="Times New Roman;Times;serif" w:hAnsi="Times New Roman;Times;serif"/>
                <w:sz w:val="20"/>
              </w:rPr>
              <w:t xml:space="preserve"> long-term liabilities</w:t>
            </w:r>
          </w:p>
        </w:tc>
        <w:tc>
          <w:tcPr>
            <w:tcW w:w="60" w:type="dxa"/>
            <w:tcBorders/>
            <w:vAlign w:val="center"/>
          </w:tcPr>
          <w:p>
            <w:pPr>
              <w:pStyle w:val="TableContents"/>
              <w:bidi w:val="0"/>
              <w:spacing w:before="0" w:after="283"/>
              <w:jc w:val="left"/>
              <w:rPr/>
            </w:pPr>
            <w:r>
              <w:rPr/>
              <w:t> </w:t>
            </w:r>
          </w:p>
        </w:tc>
        <w:tc>
          <w:tcPr>
            <w:tcW w:w="125" w:type="dxa"/>
            <w:tcBorders>
              <w:bottom w:val="single" w:sz="12" w:space="0" w:color="000000"/>
            </w:tcBorders>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tcMar>
              <w:bottom w:w="28" w:type="dxa"/>
            </w:tcMar>
            <w:vAlign w:val="center"/>
          </w:tcPr>
          <w:p>
            <w:pPr>
              <w:pStyle w:val="TableContents"/>
              <w:bidi w:val="0"/>
              <w:spacing w:lineRule="auto" w:line="300" w:before="0" w:after="0"/>
              <w:jc w:val="right"/>
              <w:rPr/>
            </w:pPr>
            <w:r>
              <w:rPr/>
              <w:t>971,120</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bottom w:val="single" w:sz="12" w:space="0" w:color="000000"/>
            </w:tcBorders>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tcMar>
              <w:bottom w:w="28" w:type="dxa"/>
            </w:tcMar>
            <w:vAlign w:val="center"/>
          </w:tcPr>
          <w:p>
            <w:pPr>
              <w:pStyle w:val="TableContents"/>
              <w:bidi w:val="0"/>
              <w:spacing w:lineRule="auto" w:line="300" w:before="0" w:after="0"/>
              <w:jc w:val="right"/>
              <w:rPr/>
            </w:pPr>
            <w:r>
              <w:rPr/>
              <w:t>951,235</w:t>
            </w:r>
          </w:p>
        </w:tc>
        <w:tc>
          <w:tcPr>
            <w:tcW w:w="95" w:type="dxa"/>
            <w:tcBorders/>
            <w:vAlign w:val="center"/>
          </w:tcPr>
          <w:p>
            <w:pPr>
              <w:pStyle w:val="TableContents"/>
              <w:bidi w:val="0"/>
              <w:spacing w:before="0" w:after="283"/>
              <w:jc w:val="left"/>
              <w:rPr/>
            </w:pPr>
            <w:r>
              <w:rPr/>
              <w:t> </w:t>
            </w:r>
          </w:p>
        </w:tc>
      </w:tr>
      <w:tr>
        <w:trPr/>
        <w:tc>
          <w:tcPr>
            <w:tcW w:w="7550"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COMMITMENTS AND CONTINGENT LIABILITIES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left"/>
              <w:rPr>
                <w:sz w:val="4"/>
                <w:szCs w:val="4"/>
              </w:rPr>
            </w:pPr>
            <w:r>
              <w:rPr>
                <w:sz w:val="4"/>
                <w:szCs w:val="4"/>
              </w:rPr>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left"/>
              <w:rPr>
                <w:sz w:val="4"/>
                <w:szCs w:val="4"/>
              </w:rPr>
            </w:pPr>
            <w:r>
              <w:rPr>
                <w:sz w:val="4"/>
                <w:szCs w:val="4"/>
              </w:rPr>
            </w:r>
          </w:p>
        </w:tc>
        <w:tc>
          <w:tcPr>
            <w:tcW w:w="95" w:type="dxa"/>
            <w:tcBorders/>
            <w:shd w:fill="CCEEFF" w:val="clear"/>
            <w:vAlign w:val="center"/>
          </w:tcPr>
          <w:p>
            <w:pPr>
              <w:pStyle w:val="TableContents"/>
              <w:bidi w:val="0"/>
              <w:spacing w:before="0" w:after="283"/>
              <w:jc w:val="left"/>
              <w:rPr/>
            </w:pPr>
            <w:r>
              <w:rPr/>
              <w:t> </w:t>
            </w:r>
          </w:p>
        </w:tc>
      </w:tr>
      <w:tr>
        <w:trPr/>
        <w:tc>
          <w:tcPr>
            <w:tcW w:w="7550"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STOCKHOLDERS’ EQUITY:</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r>
      <w:tr>
        <w:trPr/>
        <w:tc>
          <w:tcPr>
            <w:tcW w:w="7550" w:type="dxa"/>
            <w:tcBorders/>
            <w:shd w:fill="CCEEFF" w:val="clear"/>
            <w:vAlign w:val="center"/>
          </w:tcPr>
          <w:p>
            <w:pPr>
              <w:pStyle w:val="TableContents"/>
              <w:bidi w:val="0"/>
              <w:spacing w:lineRule="auto" w:line="300" w:before="0" w:after="0"/>
              <w:ind w:left="270" w:right="0" w:hanging="0"/>
              <w:jc w:val="both"/>
              <w:rPr>
                <w:rFonts w:ascii="Times New Roman;Times;serif" w:hAnsi="Times New Roman;Times;serif"/>
                <w:sz w:val="20"/>
              </w:rPr>
            </w:pPr>
            <w:r>
              <w:rPr>
                <w:rFonts w:ascii="Times New Roman;Times;serif" w:hAnsi="Times New Roman;Times;serif"/>
                <w:sz w:val="20"/>
              </w:rPr>
              <w:t>Common stock of $0.0001 par value - Authorized: 125,000,000; Issued and outstanding: 61,512,619 and 60,360,154 shares as of June 30, 2026 and December 31, 2025, respectively</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lineRule="auto" w:line="300" w:before="0" w:after="0"/>
              <w:jc w:val="right"/>
              <w:rPr/>
            </w:pPr>
            <w:r>
              <w:rPr/>
              <w:t>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lineRule="auto" w:line="300" w:before="0" w:after="0"/>
              <w:jc w:val="right"/>
              <w:rPr/>
            </w:pPr>
            <w:r>
              <w:rPr/>
              <w:t>6</w:t>
            </w:r>
          </w:p>
        </w:tc>
        <w:tc>
          <w:tcPr>
            <w:tcW w:w="95" w:type="dxa"/>
            <w:tcBorders/>
            <w:shd w:fill="CCEEFF" w:val="clear"/>
            <w:vAlign w:val="center"/>
          </w:tcPr>
          <w:p>
            <w:pPr>
              <w:pStyle w:val="TableContents"/>
              <w:bidi w:val="0"/>
              <w:spacing w:before="0" w:after="283"/>
              <w:jc w:val="left"/>
              <w:rPr/>
            </w:pPr>
            <w:r>
              <w:rPr/>
              <w:t> </w:t>
            </w:r>
          </w:p>
        </w:tc>
      </w:tr>
      <w:tr>
        <w:trPr/>
        <w:tc>
          <w:tcPr>
            <w:tcW w:w="7550" w:type="dxa"/>
            <w:tcBorders/>
            <w:vAlign w:val="center"/>
          </w:tcPr>
          <w:p>
            <w:pPr>
              <w:pStyle w:val="TableContents"/>
              <w:bidi w:val="0"/>
              <w:spacing w:lineRule="auto" w:line="300" w:before="0" w:after="0"/>
              <w:ind w:left="270" w:right="0" w:hanging="0"/>
              <w:jc w:val="left"/>
              <w:rPr>
                <w:rFonts w:ascii="Times New Roman;Times;serif" w:hAnsi="Times New Roman;Times;serif"/>
                <w:sz w:val="20"/>
              </w:rPr>
            </w:pPr>
            <w:r>
              <w:rPr>
                <w:rFonts w:ascii="Times New Roman;Times;serif" w:hAnsi="Times New Roman;Times;serif"/>
                <w:sz w:val="20"/>
              </w:rPr>
              <w:t>Additional paid-in capital</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lineRule="auto" w:line="300" w:before="0" w:after="0"/>
              <w:jc w:val="right"/>
              <w:rPr/>
            </w:pPr>
            <w:r>
              <w:rPr/>
              <w:t>1,925,024</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lineRule="auto" w:line="300" w:before="0" w:after="0"/>
              <w:jc w:val="right"/>
              <w:rPr/>
            </w:pPr>
            <w:r>
              <w:rPr/>
              <w:t>1,872,760</w:t>
            </w:r>
          </w:p>
        </w:tc>
        <w:tc>
          <w:tcPr>
            <w:tcW w:w="95" w:type="dxa"/>
            <w:tcBorders/>
            <w:vAlign w:val="center"/>
          </w:tcPr>
          <w:p>
            <w:pPr>
              <w:pStyle w:val="TableContents"/>
              <w:bidi w:val="0"/>
              <w:spacing w:before="0" w:after="283"/>
              <w:jc w:val="left"/>
              <w:rPr/>
            </w:pPr>
            <w:r>
              <w:rPr/>
              <w:t> </w:t>
            </w:r>
          </w:p>
        </w:tc>
      </w:tr>
      <w:tr>
        <w:trPr/>
        <w:tc>
          <w:tcPr>
            <w:tcW w:w="7550" w:type="dxa"/>
            <w:tcBorders/>
            <w:shd w:fill="CCEEFF" w:val="clear"/>
            <w:vAlign w:val="center"/>
          </w:tcPr>
          <w:p>
            <w:pPr>
              <w:pStyle w:val="TableContents"/>
              <w:bidi w:val="0"/>
              <w:spacing w:lineRule="auto" w:line="300" w:before="0" w:after="0"/>
              <w:ind w:left="270" w:right="0" w:hanging="0"/>
              <w:jc w:val="left"/>
              <w:rPr>
                <w:rFonts w:ascii="Times New Roman;Times;serif" w:hAnsi="Times New Roman;Times;serif"/>
                <w:sz w:val="20"/>
              </w:rPr>
            </w:pPr>
            <w:r>
              <w:rPr>
                <w:rFonts w:ascii="Times New Roman;Times;serif" w:hAnsi="Times New Roman;Times;serif"/>
                <w:sz w:val="20"/>
              </w:rPr>
              <w:t>Accumulated other comprehensive income (loss)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lineRule="auto" w:line="300" w:before="0" w:after="0"/>
              <w:jc w:val="right"/>
              <w:rPr/>
            </w:pPr>
            <w:r>
              <w:rPr/>
              <w:t>8,813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lineRule="auto" w:line="300" w:before="0" w:after="0"/>
              <w:jc w:val="right"/>
              <w:rPr/>
            </w:pPr>
            <w:r>
              <w:rPr/>
              <w:t>(11,663</w:t>
            </w:r>
          </w:p>
        </w:tc>
        <w:tc>
          <w:tcPr>
            <w:tcW w:w="95"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r>
      <w:tr>
        <w:trPr/>
        <w:tc>
          <w:tcPr>
            <w:tcW w:w="7550" w:type="dxa"/>
            <w:tcBorders/>
            <w:vAlign w:val="center"/>
          </w:tcPr>
          <w:p>
            <w:pPr>
              <w:pStyle w:val="TableContents"/>
              <w:bidi w:val="0"/>
              <w:spacing w:lineRule="auto" w:line="300" w:before="0" w:after="0"/>
              <w:ind w:left="270" w:right="0" w:hanging="0"/>
              <w:jc w:val="left"/>
              <w:rPr>
                <w:rFonts w:ascii="Times New Roman;Times;serif" w:hAnsi="Times New Roman;Times;serif"/>
                <w:sz w:val="20"/>
              </w:rPr>
            </w:pPr>
            <w:r>
              <w:rPr>
                <w:rFonts w:ascii="Times New Roman;Times;serif" w:hAnsi="Times New Roman;Times;serif"/>
                <w:sz w:val="20"/>
              </w:rPr>
              <w:t>Accumulated deficit</w:t>
            </w:r>
          </w:p>
        </w:tc>
        <w:tc>
          <w:tcPr>
            <w:tcW w:w="60" w:type="dxa"/>
            <w:tcBorders/>
            <w:vAlign w:val="center"/>
          </w:tcPr>
          <w:p>
            <w:pPr>
              <w:pStyle w:val="TableContents"/>
              <w:bidi w:val="0"/>
              <w:spacing w:before="0" w:after="283"/>
              <w:jc w:val="left"/>
              <w:rPr/>
            </w:pPr>
            <w:r>
              <w:rPr/>
              <w:t> </w:t>
            </w:r>
          </w:p>
        </w:tc>
        <w:tc>
          <w:tcPr>
            <w:tcW w:w="125" w:type="dxa"/>
            <w:tcBorders>
              <w:bottom w:val="single" w:sz="12" w:space="0" w:color="000000"/>
            </w:tcBorders>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tcMar>
              <w:bottom w:w="28" w:type="dxa"/>
            </w:tcMar>
            <w:vAlign w:val="center"/>
          </w:tcPr>
          <w:p>
            <w:pPr>
              <w:pStyle w:val="TableContents"/>
              <w:bidi w:val="0"/>
              <w:spacing w:lineRule="auto" w:line="300" w:before="0" w:after="0"/>
              <w:jc w:val="right"/>
              <w:rPr/>
            </w:pPr>
            <w:r>
              <w:rPr/>
              <w:t>(1,521,758</w:t>
            </w:r>
          </w:p>
        </w:tc>
        <w:tc>
          <w:tcPr>
            <w:tcW w:w="80"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vAlign w:val="center"/>
          </w:tcPr>
          <w:p>
            <w:pPr>
              <w:pStyle w:val="TableContents"/>
              <w:bidi w:val="0"/>
              <w:spacing w:before="0" w:after="283"/>
              <w:jc w:val="left"/>
              <w:rPr/>
            </w:pPr>
            <w:r>
              <w:rPr/>
              <w:t> </w:t>
            </w:r>
          </w:p>
        </w:tc>
        <w:tc>
          <w:tcPr>
            <w:tcW w:w="125" w:type="dxa"/>
            <w:tcBorders>
              <w:bottom w:val="single" w:sz="12" w:space="0" w:color="000000"/>
            </w:tcBorders>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tcMar>
              <w:bottom w:w="28" w:type="dxa"/>
            </w:tcMar>
            <w:vAlign w:val="center"/>
          </w:tcPr>
          <w:p>
            <w:pPr>
              <w:pStyle w:val="TableContents"/>
              <w:bidi w:val="0"/>
              <w:spacing w:lineRule="auto" w:line="300" w:before="0" w:after="0"/>
              <w:jc w:val="right"/>
              <w:rPr/>
            </w:pPr>
            <w:r>
              <w:rPr/>
              <w:t>(1,433,639</w:t>
            </w:r>
          </w:p>
        </w:tc>
        <w:tc>
          <w:tcPr>
            <w:tcW w:w="95"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r>
      <w:tr>
        <w:trPr/>
        <w:tc>
          <w:tcPr>
            <w:tcW w:w="7550"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u w:val="single"/>
              </w:rPr>
              <w:t>Total</w:t>
            </w:r>
            <w:r>
              <w:rPr>
                <w:rFonts w:ascii="Times New Roman;Times;serif" w:hAnsi="Times New Roman;Times;serif"/>
                <w:sz w:val="20"/>
              </w:rPr>
              <w:t xml:space="preserve"> stockholders’ equity</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CCEEFF" w:val="clear"/>
            <w:tcMar>
              <w:bottom w:w="28" w:type="dxa"/>
            </w:tcMar>
            <w:vAlign w:val="center"/>
          </w:tcPr>
          <w:p>
            <w:pPr>
              <w:pStyle w:val="TableContents"/>
              <w:bidi w:val="0"/>
              <w:spacing w:lineRule="auto" w:line="300" w:before="0" w:after="0"/>
              <w:jc w:val="right"/>
              <w:rPr/>
            </w:pPr>
            <w:r>
              <w:rPr/>
              <w:t>412,085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CCEEFF" w:val="clear"/>
            <w:tcMar>
              <w:bottom w:w="28" w:type="dxa"/>
            </w:tcMar>
            <w:vAlign w:val="center"/>
          </w:tcPr>
          <w:p>
            <w:pPr>
              <w:pStyle w:val="TableContents"/>
              <w:bidi w:val="0"/>
              <w:spacing w:lineRule="auto" w:line="300" w:before="0" w:after="0"/>
              <w:jc w:val="right"/>
              <w:rPr/>
            </w:pPr>
            <w:r>
              <w:rPr/>
              <w:t>427,464</w:t>
            </w:r>
          </w:p>
        </w:tc>
        <w:tc>
          <w:tcPr>
            <w:tcW w:w="95" w:type="dxa"/>
            <w:tcBorders/>
            <w:shd w:fill="CCEEFF" w:val="clear"/>
            <w:vAlign w:val="center"/>
          </w:tcPr>
          <w:p>
            <w:pPr>
              <w:pStyle w:val="TableContents"/>
              <w:bidi w:val="0"/>
              <w:spacing w:before="0" w:after="283"/>
              <w:jc w:val="left"/>
              <w:rPr/>
            </w:pPr>
            <w:r>
              <w:rPr/>
              <w:t> </w:t>
            </w:r>
          </w:p>
        </w:tc>
      </w:tr>
      <w:tr>
        <w:trPr/>
        <w:tc>
          <w:tcPr>
            <w:tcW w:w="7550"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u w:val="single"/>
              </w:rPr>
              <w:t>Total</w:t>
            </w:r>
            <w:r>
              <w:rPr>
                <w:rFonts w:ascii="Times New Roman;Times;serif" w:hAnsi="Times New Roman;Times;serif"/>
                <w:sz w:val="20"/>
              </w:rPr>
              <w:t xml:space="preserve"> liabilities and stockholders’ equity</w:t>
            </w:r>
          </w:p>
        </w:tc>
        <w:tc>
          <w:tcPr>
            <w:tcW w:w="60" w:type="dxa"/>
            <w:tcBorders/>
            <w:vAlign w:val="center"/>
          </w:tcPr>
          <w:p>
            <w:pPr>
              <w:pStyle w:val="TableContents"/>
              <w:bidi w:val="0"/>
              <w:spacing w:before="0" w:after="283"/>
              <w:jc w:val="left"/>
              <w:rPr/>
            </w:pPr>
            <w:r>
              <w:rPr/>
              <w:t> </w:t>
            </w:r>
          </w:p>
        </w:tc>
        <w:tc>
          <w:tcPr>
            <w:tcW w:w="125" w:type="dxa"/>
            <w:tcBorders>
              <w:bottom w:val="double" w:sz="8" w:space="0" w:color="000000"/>
            </w:tcBorders>
            <w:tcMar>
              <w:bottom w:w="28" w:type="dxa"/>
            </w:tcM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1055" w:type="dxa"/>
            <w:tcBorders>
              <w:bottom w:val="double" w:sz="8" w:space="0" w:color="000000"/>
            </w:tcBorders>
            <w:tcMar>
              <w:bottom w:w="28" w:type="dxa"/>
            </w:tcMar>
            <w:vAlign w:val="center"/>
          </w:tcPr>
          <w:p>
            <w:pPr>
              <w:pStyle w:val="TableContents"/>
              <w:bidi w:val="0"/>
              <w:spacing w:lineRule="auto" w:line="300" w:before="0" w:after="0"/>
              <w:jc w:val="right"/>
              <w:rPr/>
            </w:pPr>
            <w:r>
              <w:rPr/>
              <w:t>2,303,530</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bottom w:val="double" w:sz="8" w:space="0" w:color="000000"/>
            </w:tcBorders>
            <w:tcMar>
              <w:bottom w:w="28" w:type="dxa"/>
            </w:tcM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1055" w:type="dxa"/>
            <w:tcBorders>
              <w:bottom w:val="double" w:sz="8" w:space="0" w:color="000000"/>
            </w:tcBorders>
            <w:tcMar>
              <w:bottom w:w="28" w:type="dxa"/>
            </w:tcMar>
            <w:vAlign w:val="center"/>
          </w:tcPr>
          <w:p>
            <w:pPr>
              <w:pStyle w:val="TableContents"/>
              <w:bidi w:val="0"/>
              <w:spacing w:lineRule="auto" w:line="300" w:before="0" w:after="0"/>
              <w:jc w:val="right"/>
              <w:rPr/>
            </w:pPr>
            <w:r>
              <w:rPr/>
              <w:t>2,182,194</w:t>
            </w:r>
          </w:p>
        </w:tc>
        <w:tc>
          <w:tcPr>
            <w:tcW w:w="95" w:type="dxa"/>
            <w:tcBorders/>
            <w:vAlign w:val="center"/>
          </w:tcPr>
          <w:p>
            <w:pPr>
              <w:pStyle w:val="TableContents"/>
              <w:bidi w:val="0"/>
              <w:spacing w:before="0" w:after="283"/>
              <w:jc w:val="left"/>
              <w:rPr/>
            </w:pPr>
            <w:r>
              <w:rPr/>
              <w:t> </w:t>
            </w:r>
          </w:p>
        </w:tc>
      </w:tr>
    </w:tbl>
    <w:p>
      <w:pPr>
        <w:pStyle w:val="TextBody"/>
        <w:bidi w:val="0"/>
        <w:spacing w:lineRule="auto" w:line="300" w:before="0" w:after="0"/>
        <w:jc w:val="left"/>
        <w:rPr/>
      </w:pPr>
      <w:r>
        <w:rPr/>
        <w:t> </w:t>
      </w:r>
    </w:p>
    <w:p>
      <w:pPr>
        <w:pStyle w:val="TextBody"/>
        <w:bidi w:val="0"/>
        <w:spacing w:lineRule="auto" w:line="300" w:before="0" w:after="0"/>
        <w:ind w:left="0" w:right="0" w:firstLine="360"/>
        <w:jc w:val="both"/>
        <w:rPr>
          <w:rFonts w:ascii="Times New Roman;Times;serif" w:hAnsi="Times New Roman;Times;serif"/>
          <w:sz w:val="20"/>
        </w:rPr>
      </w:pPr>
      <w:r>
        <w:rPr>
          <w:rFonts w:ascii="Times New Roman;Times;serif" w:hAnsi="Times New Roman;Times;serif"/>
          <w:sz w:val="20"/>
        </w:rPr>
        <w:t>The accompanying notes are an integral part of the condensed consolidated financial statements.</w:t>
      </w:r>
    </w:p>
    <w:p>
      <w:pPr>
        <w:pStyle w:val="TextBody"/>
        <w:bidi w:val="0"/>
        <w:spacing w:lineRule="auto" w:line="300" w:before="0" w:after="0"/>
        <w:ind w:left="0" w:right="0" w:firstLine="360"/>
        <w:jc w:val="both"/>
        <w:rPr/>
      </w:pPr>
      <w:r>
        <w:rPr/>
        <w:t> </w:t>
      </w:r>
    </w:p>
    <w:p>
      <w:pPr>
        <w:pStyle w:val="TextBody"/>
        <w:bidi w:val="0"/>
        <w:spacing w:before="200" w:after="20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SOLAREDGE TECHNOLOGIES INC. | 2026 Form 10-Q | F - 2</w:t>
      </w:r>
    </w:p>
    <w:p>
      <w:pPr>
        <w:pStyle w:val="HorizontalLine"/>
        <w:bidi w:val="0"/>
        <w:spacing w:before="200" w:after="200"/>
        <w:jc w:val="left"/>
        <w:rPr/>
      </w:pPr>
      <w:r>
        <w:rPr/>
      </w:r>
    </w:p>
    <w:p>
      <w:pPr>
        <w:pStyle w:val="TextBody"/>
        <w:bidi w:val="0"/>
        <w:spacing w:lineRule="auto" w:line="300" w:before="0" w:after="0"/>
        <w:jc w:val="left"/>
        <w:rPr/>
      </w:pPr>
      <w:r>
        <w:rPr/>
        <w:t> </w:t>
      </w:r>
    </w:p>
    <w:p>
      <w:pPr>
        <w:pStyle w:val="TextBody"/>
        <w:bidi w:val="0"/>
        <w:spacing w:lineRule="auto" w:line="300" w:before="0" w:after="0"/>
        <w:ind w:left="0" w:right="0" w:firstLine="360"/>
        <w:jc w:val="center"/>
        <w:rPr>
          <w:rFonts w:ascii="Times New Roman;Times;serif" w:hAnsi="Times New Roman;Times;serif"/>
          <w:b/>
          <w:sz w:val="20"/>
        </w:rPr>
      </w:pPr>
      <w:r>
        <w:rPr>
          <w:rFonts w:ascii="Times New Roman;Times;serif" w:hAnsi="Times New Roman;Times;serif"/>
          <w:b/>
          <w:sz w:val="20"/>
        </w:rPr>
        <w:t>SOLAREDGE TECHNOLOGIES, INC.</w:t>
      </w:r>
    </w:p>
    <w:p>
      <w:pPr>
        <w:pStyle w:val="TextBody"/>
        <w:bidi w:val="0"/>
        <w:spacing w:lineRule="auto" w:line="300" w:before="0" w:after="0"/>
        <w:jc w:val="left"/>
        <w:rPr/>
      </w:pPr>
      <w:r>
        <w:rPr/>
        <w:t> </w:t>
      </w:r>
    </w:p>
    <w:p>
      <w:pPr>
        <w:pStyle w:val="TextBody"/>
        <w:bidi w:val="0"/>
        <w:spacing w:lineRule="auto" w:line="300" w:before="0" w:after="0"/>
        <w:ind w:left="0" w:right="0" w:firstLine="360"/>
        <w:jc w:val="center"/>
        <w:rPr>
          <w:rFonts w:ascii="Times New Roman;Times;serif" w:hAnsi="Times New Roman;Times;serif"/>
          <w:b/>
          <w:sz w:val="20"/>
        </w:rPr>
      </w:pPr>
      <w:r>
        <w:rPr>
          <w:rFonts w:ascii="Times New Roman;Times;serif" w:hAnsi="Times New Roman;Times;serif"/>
          <w:b/>
          <w:sz w:val="20"/>
        </w:rPr>
        <w:t xml:space="preserve">CONDENSED CONSOLIDATED </w:t>
      </w:r>
      <w:bookmarkStart w:id="6" w:name="STATEMENTSOFLOSS"/>
      <w:bookmarkEnd w:id="6"/>
      <w:r>
        <w:rPr>
          <w:rFonts w:ascii="Times New Roman;Times;serif" w:hAnsi="Times New Roman;Times;serif"/>
          <w:b/>
          <w:sz w:val="20"/>
        </w:rPr>
        <w:t>STATEMENTS OF LOSS (Unaudited)</w:t>
      </w:r>
    </w:p>
    <w:p>
      <w:pPr>
        <w:pStyle w:val="TextBody"/>
        <w:bidi w:val="0"/>
        <w:spacing w:lineRule="auto" w:line="300" w:before="0" w:after="0"/>
        <w:jc w:val="left"/>
        <w:rPr/>
      </w:pPr>
      <w:r>
        <w:rPr/>
        <w:t> </w:t>
      </w:r>
    </w:p>
    <w:p>
      <w:pPr>
        <w:pStyle w:val="TextBody"/>
        <w:bidi w:val="0"/>
        <w:spacing w:lineRule="auto" w:line="300" w:before="0" w:after="0"/>
        <w:ind w:left="0" w:right="0" w:firstLine="360"/>
        <w:jc w:val="center"/>
        <w:rPr>
          <w:rFonts w:ascii="Times New Roman;Times;serif" w:hAnsi="Times New Roman;Times;serif"/>
          <w:b/>
          <w:sz w:val="20"/>
        </w:rPr>
      </w:pPr>
      <w:r>
        <w:rPr>
          <w:rFonts w:ascii="Times New Roman;Times;serif" w:hAnsi="Times New Roman;Times;serif"/>
          <w:b/>
          <w:sz w:val="20"/>
        </w:rPr>
        <w:t>(in thousands, except per share data)</w:t>
      </w:r>
    </w:p>
    <w:p>
      <w:pPr>
        <w:pStyle w:val="TextBody"/>
        <w:bidi w:val="0"/>
        <w:spacing w:lineRule="auto" w:line="300"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5330"/>
        <w:gridCol w:w="60"/>
        <w:gridCol w:w="125"/>
        <w:gridCol w:w="950"/>
        <w:gridCol w:w="80"/>
        <w:gridCol w:w="60"/>
        <w:gridCol w:w="125"/>
        <w:gridCol w:w="950"/>
        <w:gridCol w:w="80"/>
        <w:gridCol w:w="60"/>
        <w:gridCol w:w="125"/>
        <w:gridCol w:w="950"/>
        <w:gridCol w:w="80"/>
        <w:gridCol w:w="60"/>
        <w:gridCol w:w="125"/>
        <w:gridCol w:w="950"/>
        <w:gridCol w:w="95"/>
      </w:tblGrid>
      <w:tr>
        <w:trPr/>
        <w:tc>
          <w:tcPr>
            <w:tcW w:w="53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90" w:type="dxa"/>
            <w:gridSpan w:val="6"/>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Three Months Ended</w:t>
              <w:br/>
              <w:t>June 30,</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90" w:type="dxa"/>
            <w:gridSpan w:val="6"/>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Six Months Ended</w:t>
            </w:r>
          </w:p>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June 30,</w:t>
            </w:r>
          </w:p>
        </w:tc>
        <w:tc>
          <w:tcPr>
            <w:tcW w:w="95" w:type="dxa"/>
            <w:tcBorders/>
            <w:vAlign w:val="center"/>
          </w:tcPr>
          <w:p>
            <w:pPr>
              <w:pStyle w:val="TableContents"/>
              <w:bidi w:val="0"/>
              <w:spacing w:before="0" w:after="283"/>
              <w:jc w:val="left"/>
              <w:rPr/>
            </w:pPr>
            <w:r>
              <w:rPr/>
              <w:t> </w:t>
            </w:r>
          </w:p>
        </w:tc>
      </w:tr>
      <w:tr>
        <w:trPr/>
        <w:tc>
          <w:tcPr>
            <w:tcW w:w="53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75"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2026</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75"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2025</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75"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2026</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75"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2025</w:t>
            </w:r>
          </w:p>
        </w:tc>
        <w:tc>
          <w:tcPr>
            <w:tcW w:w="95" w:type="dxa"/>
            <w:tcBorders/>
            <w:vAlign w:val="center"/>
          </w:tcPr>
          <w:p>
            <w:pPr>
              <w:pStyle w:val="TableContents"/>
              <w:bidi w:val="0"/>
              <w:spacing w:before="0" w:after="283"/>
              <w:jc w:val="left"/>
              <w:rPr/>
            </w:pPr>
            <w:r>
              <w:rPr/>
              <w:t> </w:t>
            </w:r>
          </w:p>
        </w:tc>
      </w:tr>
      <w:tr>
        <w:trPr/>
        <w:tc>
          <w:tcPr>
            <w:tcW w:w="5330"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Revenues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950"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346,245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950"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289,429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950"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656,746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950"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508,909</w:t>
            </w:r>
          </w:p>
        </w:tc>
        <w:tc>
          <w:tcPr>
            <w:tcW w:w="95" w:type="dxa"/>
            <w:tcBorders/>
            <w:shd w:fill="CCEEFF" w:val="clear"/>
            <w:vAlign w:val="center"/>
          </w:tcPr>
          <w:p>
            <w:pPr>
              <w:pStyle w:val="TableContents"/>
              <w:bidi w:val="0"/>
              <w:spacing w:before="0" w:after="283"/>
              <w:jc w:val="left"/>
              <w:rPr/>
            </w:pPr>
            <w:r>
              <w:rPr/>
              <w:t> </w:t>
            </w:r>
          </w:p>
        </w:tc>
      </w:tr>
      <w:tr>
        <w:trPr/>
        <w:tc>
          <w:tcPr>
            <w:tcW w:w="5330"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Cost of revenues</w:t>
            </w:r>
          </w:p>
        </w:tc>
        <w:tc>
          <w:tcPr>
            <w:tcW w:w="60" w:type="dxa"/>
            <w:tcBorders/>
            <w:vAlign w:val="center"/>
          </w:tcPr>
          <w:p>
            <w:pPr>
              <w:pStyle w:val="TableContents"/>
              <w:bidi w:val="0"/>
              <w:spacing w:before="0" w:after="283"/>
              <w:jc w:val="left"/>
              <w:rPr/>
            </w:pPr>
            <w:r>
              <w:rPr/>
              <w:t> </w:t>
            </w:r>
          </w:p>
        </w:tc>
        <w:tc>
          <w:tcPr>
            <w:tcW w:w="125" w:type="dxa"/>
            <w:tcBorders>
              <w:bottom w:val="single" w:sz="12" w:space="0" w:color="000000"/>
            </w:tcBorders>
            <w:tcMar>
              <w:bottom w:w="28" w:type="dxa"/>
            </w:tcMar>
            <w:vAlign w:val="center"/>
          </w:tcPr>
          <w:p>
            <w:pPr>
              <w:pStyle w:val="TableContents"/>
              <w:bidi w:val="0"/>
              <w:spacing w:before="0" w:after="283"/>
              <w:jc w:val="left"/>
              <w:rPr/>
            </w:pPr>
            <w:r>
              <w:rPr/>
              <w:t> </w:t>
            </w:r>
          </w:p>
        </w:tc>
        <w:tc>
          <w:tcPr>
            <w:tcW w:w="950" w:type="dxa"/>
            <w:tcBorders>
              <w:bottom w:val="single" w:sz="12" w:space="0" w:color="000000"/>
            </w:tcBorders>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251,093</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bottom w:val="single" w:sz="12" w:space="0" w:color="000000"/>
            </w:tcBorders>
            <w:tcMar>
              <w:bottom w:w="28" w:type="dxa"/>
            </w:tcMar>
            <w:vAlign w:val="center"/>
          </w:tcPr>
          <w:p>
            <w:pPr>
              <w:pStyle w:val="TableContents"/>
              <w:bidi w:val="0"/>
              <w:spacing w:before="0" w:after="283"/>
              <w:jc w:val="left"/>
              <w:rPr/>
            </w:pPr>
            <w:r>
              <w:rPr/>
              <w:t> </w:t>
            </w:r>
          </w:p>
        </w:tc>
        <w:tc>
          <w:tcPr>
            <w:tcW w:w="950" w:type="dxa"/>
            <w:tcBorders>
              <w:bottom w:val="single" w:sz="12" w:space="0" w:color="000000"/>
            </w:tcBorders>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257,298</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bottom w:val="single" w:sz="12" w:space="0" w:color="000000"/>
            </w:tcBorders>
            <w:tcMar>
              <w:bottom w:w="28" w:type="dxa"/>
            </w:tcMar>
            <w:vAlign w:val="center"/>
          </w:tcPr>
          <w:p>
            <w:pPr>
              <w:pStyle w:val="TableContents"/>
              <w:bidi w:val="0"/>
              <w:spacing w:before="0" w:after="283"/>
              <w:jc w:val="left"/>
              <w:rPr/>
            </w:pPr>
            <w:r>
              <w:rPr/>
              <w:t> </w:t>
            </w:r>
          </w:p>
        </w:tc>
        <w:tc>
          <w:tcPr>
            <w:tcW w:w="950" w:type="dxa"/>
            <w:tcBorders>
              <w:bottom w:val="single" w:sz="12" w:space="0" w:color="000000"/>
            </w:tcBorders>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493,313</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bottom w:val="single" w:sz="12" w:space="0" w:color="000000"/>
            </w:tcBorders>
            <w:tcMar>
              <w:bottom w:w="28" w:type="dxa"/>
            </w:tcMar>
            <w:vAlign w:val="center"/>
          </w:tcPr>
          <w:p>
            <w:pPr>
              <w:pStyle w:val="TableContents"/>
              <w:bidi w:val="0"/>
              <w:spacing w:before="0" w:after="283"/>
              <w:jc w:val="left"/>
              <w:rPr/>
            </w:pPr>
            <w:r>
              <w:rPr/>
              <w:t> </w:t>
            </w:r>
          </w:p>
        </w:tc>
        <w:tc>
          <w:tcPr>
            <w:tcW w:w="950" w:type="dxa"/>
            <w:tcBorders>
              <w:bottom w:val="single" w:sz="12" w:space="0" w:color="000000"/>
            </w:tcBorders>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459,242</w:t>
            </w:r>
          </w:p>
        </w:tc>
        <w:tc>
          <w:tcPr>
            <w:tcW w:w="95" w:type="dxa"/>
            <w:tcBorders/>
            <w:vAlign w:val="center"/>
          </w:tcPr>
          <w:p>
            <w:pPr>
              <w:pStyle w:val="TableContents"/>
              <w:bidi w:val="0"/>
              <w:spacing w:before="0" w:after="283"/>
              <w:jc w:val="left"/>
              <w:rPr/>
            </w:pPr>
            <w:r>
              <w:rPr/>
              <w:t> </w:t>
            </w:r>
          </w:p>
        </w:tc>
      </w:tr>
      <w:tr>
        <w:trPr/>
        <w:tc>
          <w:tcPr>
            <w:tcW w:w="5330"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Gross profit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50" w:type="dxa"/>
            <w:tcBorders>
              <w:bottom w:val="single" w:sz="12" w:space="0" w:color="000000"/>
            </w:tcBorders>
            <w:shd w:fill="CCEEFF" w:val="clear"/>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95,152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50" w:type="dxa"/>
            <w:tcBorders>
              <w:bottom w:val="single" w:sz="12" w:space="0" w:color="000000"/>
            </w:tcBorders>
            <w:shd w:fill="CCEEFF" w:val="clear"/>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32,131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50" w:type="dxa"/>
            <w:tcBorders>
              <w:bottom w:val="single" w:sz="12" w:space="0" w:color="000000"/>
            </w:tcBorders>
            <w:shd w:fill="CCEEFF" w:val="clear"/>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163,433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50" w:type="dxa"/>
            <w:tcBorders>
              <w:bottom w:val="single" w:sz="12" w:space="0" w:color="000000"/>
            </w:tcBorders>
            <w:shd w:fill="CCEEFF" w:val="clear"/>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49,667</w:t>
            </w:r>
          </w:p>
        </w:tc>
        <w:tc>
          <w:tcPr>
            <w:tcW w:w="95" w:type="dxa"/>
            <w:tcBorders/>
            <w:shd w:fill="CCEEFF" w:val="clear"/>
            <w:vAlign w:val="center"/>
          </w:tcPr>
          <w:p>
            <w:pPr>
              <w:pStyle w:val="TableContents"/>
              <w:bidi w:val="0"/>
              <w:spacing w:before="0" w:after="283"/>
              <w:jc w:val="left"/>
              <w:rPr/>
            </w:pPr>
            <w:r>
              <w:rPr/>
              <w:t> </w:t>
            </w:r>
          </w:p>
        </w:tc>
      </w:tr>
      <w:tr>
        <w:trPr/>
        <w:tc>
          <w:tcPr>
            <w:tcW w:w="5330"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Operating expenses:</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950" w:type="dxa"/>
            <w:tcBorders/>
            <w:vAlign w:val="center"/>
          </w:tcPr>
          <w:p>
            <w:pPr>
              <w:pStyle w:val="TableContents"/>
              <w:bidi w:val="0"/>
              <w:spacing w:before="0" w:after="283"/>
              <w:jc w:val="righ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950" w:type="dxa"/>
            <w:tcBorders/>
            <w:vAlign w:val="center"/>
          </w:tcPr>
          <w:p>
            <w:pPr>
              <w:pStyle w:val="TableContents"/>
              <w:bidi w:val="0"/>
              <w:spacing w:before="0" w:after="283"/>
              <w:jc w:val="righ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950" w:type="dxa"/>
            <w:tcBorders/>
            <w:vAlign w:val="center"/>
          </w:tcPr>
          <w:p>
            <w:pPr>
              <w:pStyle w:val="TableContents"/>
              <w:bidi w:val="0"/>
              <w:spacing w:before="0" w:after="283"/>
              <w:jc w:val="righ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950"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r>
      <w:tr>
        <w:trPr/>
        <w:tc>
          <w:tcPr>
            <w:tcW w:w="5330" w:type="dxa"/>
            <w:tcBorders/>
            <w:shd w:fill="CCEEFF" w:val="clear"/>
            <w:vAlign w:val="center"/>
          </w:tcPr>
          <w:p>
            <w:pPr>
              <w:pStyle w:val="TableContents"/>
              <w:bidi w:val="0"/>
              <w:spacing w:lineRule="auto" w:line="300" w:before="0" w:after="0"/>
              <w:ind w:left="270" w:right="0" w:hanging="0"/>
              <w:jc w:val="left"/>
              <w:rPr>
                <w:rFonts w:ascii="Times New Roman;Times;serif" w:hAnsi="Times New Roman;Times;serif"/>
                <w:sz w:val="20"/>
              </w:rPr>
            </w:pPr>
            <w:r>
              <w:rPr>
                <w:rFonts w:ascii="Times New Roman;Times;serif" w:hAnsi="Times New Roman;Times;serif"/>
                <w:sz w:val="20"/>
              </w:rPr>
              <w:t>Research and development, net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52,751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53,386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102,906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115,383</w:t>
            </w:r>
          </w:p>
        </w:tc>
        <w:tc>
          <w:tcPr>
            <w:tcW w:w="95" w:type="dxa"/>
            <w:tcBorders/>
            <w:shd w:fill="CCEEFF" w:val="clear"/>
            <w:vAlign w:val="center"/>
          </w:tcPr>
          <w:p>
            <w:pPr>
              <w:pStyle w:val="TableContents"/>
              <w:bidi w:val="0"/>
              <w:spacing w:before="0" w:after="283"/>
              <w:jc w:val="left"/>
              <w:rPr/>
            </w:pPr>
            <w:r>
              <w:rPr/>
              <w:t> </w:t>
            </w:r>
          </w:p>
        </w:tc>
      </w:tr>
      <w:tr>
        <w:trPr/>
        <w:tc>
          <w:tcPr>
            <w:tcW w:w="5330" w:type="dxa"/>
            <w:tcBorders/>
            <w:vAlign w:val="center"/>
          </w:tcPr>
          <w:p>
            <w:pPr>
              <w:pStyle w:val="TableContents"/>
              <w:bidi w:val="0"/>
              <w:spacing w:lineRule="auto" w:line="300" w:before="0" w:after="0"/>
              <w:ind w:left="270" w:right="0" w:hanging="0"/>
              <w:jc w:val="left"/>
              <w:rPr>
                <w:rFonts w:ascii="Times New Roman;Times;serif" w:hAnsi="Times New Roman;Times;serif"/>
                <w:sz w:val="20"/>
              </w:rPr>
            </w:pPr>
            <w:r>
              <w:rPr>
                <w:rFonts w:ascii="Times New Roman;Times;serif" w:hAnsi="Times New Roman;Times;serif"/>
                <w:sz w:val="20"/>
              </w:rPr>
              <w:t>Sales and marketing</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950"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27,265</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950"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28,725</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950"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54,714</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950"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60,382</w:t>
            </w:r>
          </w:p>
        </w:tc>
        <w:tc>
          <w:tcPr>
            <w:tcW w:w="95" w:type="dxa"/>
            <w:tcBorders/>
            <w:vAlign w:val="center"/>
          </w:tcPr>
          <w:p>
            <w:pPr>
              <w:pStyle w:val="TableContents"/>
              <w:bidi w:val="0"/>
              <w:spacing w:before="0" w:after="283"/>
              <w:jc w:val="left"/>
              <w:rPr/>
            </w:pPr>
            <w:r>
              <w:rPr/>
              <w:t> </w:t>
            </w:r>
          </w:p>
        </w:tc>
      </w:tr>
      <w:tr>
        <w:trPr/>
        <w:tc>
          <w:tcPr>
            <w:tcW w:w="5330" w:type="dxa"/>
            <w:tcBorders/>
            <w:shd w:fill="CCEEFF" w:val="clear"/>
            <w:vAlign w:val="center"/>
          </w:tcPr>
          <w:p>
            <w:pPr>
              <w:pStyle w:val="TableContents"/>
              <w:bidi w:val="0"/>
              <w:spacing w:lineRule="auto" w:line="300" w:before="0" w:after="0"/>
              <w:ind w:left="270" w:right="0" w:hanging="0"/>
              <w:jc w:val="left"/>
              <w:rPr>
                <w:rFonts w:ascii="Times New Roman;Times;serif" w:hAnsi="Times New Roman;Times;serif"/>
                <w:sz w:val="20"/>
              </w:rPr>
            </w:pPr>
            <w:r>
              <w:rPr>
                <w:rFonts w:ascii="Times New Roman;Times;serif" w:hAnsi="Times New Roman;Times;serif"/>
                <w:sz w:val="20"/>
              </w:rPr>
              <w:t>General and administrative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24,539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19,789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60,961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49,972</w:t>
            </w:r>
          </w:p>
        </w:tc>
        <w:tc>
          <w:tcPr>
            <w:tcW w:w="95" w:type="dxa"/>
            <w:tcBorders/>
            <w:shd w:fill="CCEEFF" w:val="clear"/>
            <w:vAlign w:val="center"/>
          </w:tcPr>
          <w:p>
            <w:pPr>
              <w:pStyle w:val="TableContents"/>
              <w:bidi w:val="0"/>
              <w:spacing w:before="0" w:after="283"/>
              <w:jc w:val="left"/>
              <w:rPr/>
            </w:pPr>
            <w:r>
              <w:rPr/>
              <w:t> </w:t>
            </w:r>
          </w:p>
        </w:tc>
      </w:tr>
      <w:tr>
        <w:trPr/>
        <w:tc>
          <w:tcPr>
            <w:tcW w:w="5330" w:type="dxa"/>
            <w:tcBorders/>
            <w:vAlign w:val="center"/>
          </w:tcPr>
          <w:p>
            <w:pPr>
              <w:pStyle w:val="TableContents"/>
              <w:bidi w:val="0"/>
              <w:spacing w:lineRule="auto" w:line="300" w:before="0" w:after="0"/>
              <w:ind w:left="270" w:right="0" w:hanging="0"/>
              <w:jc w:val="left"/>
              <w:rPr>
                <w:rFonts w:ascii="Times New Roman;Times;serif" w:hAnsi="Times New Roman;Times;serif"/>
                <w:sz w:val="20"/>
              </w:rPr>
            </w:pPr>
            <w:r>
              <w:rPr>
                <w:rFonts w:ascii="Times New Roman;Times;serif" w:hAnsi="Times New Roman;Times;serif"/>
                <w:sz w:val="20"/>
              </w:rPr>
              <w:t>Other operating expense, net</w:t>
            </w:r>
          </w:p>
        </w:tc>
        <w:tc>
          <w:tcPr>
            <w:tcW w:w="60" w:type="dxa"/>
            <w:tcBorders/>
            <w:vAlign w:val="center"/>
          </w:tcPr>
          <w:p>
            <w:pPr>
              <w:pStyle w:val="TableContents"/>
              <w:bidi w:val="0"/>
              <w:spacing w:before="0" w:after="283"/>
              <w:jc w:val="left"/>
              <w:rPr/>
            </w:pPr>
            <w:r>
              <w:rPr/>
              <w:t> </w:t>
            </w:r>
          </w:p>
        </w:tc>
        <w:tc>
          <w:tcPr>
            <w:tcW w:w="125" w:type="dxa"/>
            <w:tcBorders>
              <w:bottom w:val="single" w:sz="12" w:space="0" w:color="000000"/>
            </w:tcBorders>
            <w:tcMar>
              <w:bottom w:w="28" w:type="dxa"/>
            </w:tcMar>
            <w:vAlign w:val="center"/>
          </w:tcPr>
          <w:p>
            <w:pPr>
              <w:pStyle w:val="TableContents"/>
              <w:bidi w:val="0"/>
              <w:spacing w:before="0" w:after="283"/>
              <w:jc w:val="left"/>
              <w:rPr/>
            </w:pPr>
            <w:r>
              <w:rPr/>
              <w:t> </w:t>
            </w:r>
          </w:p>
        </w:tc>
        <w:tc>
          <w:tcPr>
            <w:tcW w:w="950" w:type="dxa"/>
            <w:tcBorders>
              <w:bottom w:val="single" w:sz="12" w:space="0" w:color="000000"/>
            </w:tcBorders>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6,643</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bottom w:val="single" w:sz="12" w:space="0" w:color="000000"/>
            </w:tcBorders>
            <w:tcMar>
              <w:bottom w:w="28" w:type="dxa"/>
            </w:tcMar>
            <w:vAlign w:val="center"/>
          </w:tcPr>
          <w:p>
            <w:pPr>
              <w:pStyle w:val="TableContents"/>
              <w:bidi w:val="0"/>
              <w:spacing w:before="0" w:after="283"/>
              <w:jc w:val="left"/>
              <w:rPr/>
            </w:pPr>
            <w:r>
              <w:rPr/>
              <w:t> </w:t>
            </w:r>
          </w:p>
        </w:tc>
        <w:tc>
          <w:tcPr>
            <w:tcW w:w="950" w:type="dxa"/>
            <w:tcBorders>
              <w:bottom w:val="single" w:sz="12" w:space="0" w:color="000000"/>
            </w:tcBorders>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45,724</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bottom w:val="single" w:sz="12" w:space="0" w:color="000000"/>
            </w:tcBorders>
            <w:tcMar>
              <w:bottom w:w="28" w:type="dxa"/>
            </w:tcMar>
            <w:vAlign w:val="center"/>
          </w:tcPr>
          <w:p>
            <w:pPr>
              <w:pStyle w:val="TableContents"/>
              <w:bidi w:val="0"/>
              <w:spacing w:before="0" w:after="283"/>
              <w:jc w:val="left"/>
              <w:rPr/>
            </w:pPr>
            <w:r>
              <w:rPr/>
              <w:t> </w:t>
            </w:r>
          </w:p>
        </w:tc>
        <w:tc>
          <w:tcPr>
            <w:tcW w:w="950" w:type="dxa"/>
            <w:tcBorders>
              <w:bottom w:val="single" w:sz="12" w:space="0" w:color="000000"/>
            </w:tcBorders>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15,941</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bottom w:val="single" w:sz="12" w:space="0" w:color="000000"/>
            </w:tcBorders>
            <w:tcMar>
              <w:bottom w:w="28" w:type="dxa"/>
            </w:tcMar>
            <w:vAlign w:val="center"/>
          </w:tcPr>
          <w:p>
            <w:pPr>
              <w:pStyle w:val="TableContents"/>
              <w:bidi w:val="0"/>
              <w:spacing w:before="0" w:after="283"/>
              <w:jc w:val="left"/>
              <w:rPr/>
            </w:pPr>
            <w:r>
              <w:rPr/>
              <w:t> </w:t>
            </w:r>
          </w:p>
        </w:tc>
        <w:tc>
          <w:tcPr>
            <w:tcW w:w="950" w:type="dxa"/>
            <w:tcBorders>
              <w:bottom w:val="single" w:sz="12" w:space="0" w:color="000000"/>
            </w:tcBorders>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42,149</w:t>
            </w:r>
          </w:p>
        </w:tc>
        <w:tc>
          <w:tcPr>
            <w:tcW w:w="95" w:type="dxa"/>
            <w:tcBorders/>
            <w:vAlign w:val="center"/>
          </w:tcPr>
          <w:p>
            <w:pPr>
              <w:pStyle w:val="TableContents"/>
              <w:bidi w:val="0"/>
              <w:spacing w:before="0" w:after="283"/>
              <w:jc w:val="left"/>
              <w:rPr/>
            </w:pPr>
            <w:r>
              <w:rPr/>
              <w:t> </w:t>
            </w:r>
          </w:p>
        </w:tc>
      </w:tr>
      <w:tr>
        <w:trPr/>
        <w:tc>
          <w:tcPr>
            <w:tcW w:w="5330"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u w:val="single"/>
              </w:rPr>
              <w:t>Total</w:t>
            </w:r>
            <w:r>
              <w:rPr>
                <w:rFonts w:ascii="Times New Roman;Times;serif" w:hAnsi="Times New Roman;Times;serif"/>
                <w:sz w:val="20"/>
              </w:rPr>
              <w:t xml:space="preserve"> operating expenses</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50" w:type="dxa"/>
            <w:tcBorders>
              <w:bottom w:val="single" w:sz="12" w:space="0" w:color="000000"/>
            </w:tcBorders>
            <w:shd w:fill="CCEEFF" w:val="clear"/>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111,198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50" w:type="dxa"/>
            <w:tcBorders>
              <w:bottom w:val="single" w:sz="12" w:space="0" w:color="000000"/>
            </w:tcBorders>
            <w:shd w:fill="CCEEFF" w:val="clear"/>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147,624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50" w:type="dxa"/>
            <w:tcBorders>
              <w:bottom w:val="single" w:sz="12" w:space="0" w:color="000000"/>
            </w:tcBorders>
            <w:shd w:fill="CCEEFF" w:val="clear"/>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234,522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50" w:type="dxa"/>
            <w:tcBorders>
              <w:bottom w:val="single" w:sz="12" w:space="0" w:color="000000"/>
            </w:tcBorders>
            <w:shd w:fill="CCEEFF" w:val="clear"/>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267,886</w:t>
            </w:r>
          </w:p>
        </w:tc>
        <w:tc>
          <w:tcPr>
            <w:tcW w:w="95" w:type="dxa"/>
            <w:tcBorders/>
            <w:shd w:fill="CCEEFF" w:val="clear"/>
            <w:vAlign w:val="center"/>
          </w:tcPr>
          <w:p>
            <w:pPr>
              <w:pStyle w:val="TableContents"/>
              <w:bidi w:val="0"/>
              <w:spacing w:before="0" w:after="283"/>
              <w:jc w:val="left"/>
              <w:rPr/>
            </w:pPr>
            <w:r>
              <w:rPr/>
              <w:t> </w:t>
            </w:r>
          </w:p>
        </w:tc>
      </w:tr>
      <w:tr>
        <w:trPr/>
        <w:tc>
          <w:tcPr>
            <w:tcW w:w="5330"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Operating loss</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950"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(16,046</w:t>
            </w:r>
          </w:p>
        </w:tc>
        <w:tc>
          <w:tcPr>
            <w:tcW w:w="80"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950"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(115,493</w:t>
            </w:r>
          </w:p>
        </w:tc>
        <w:tc>
          <w:tcPr>
            <w:tcW w:w="80"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950"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(71,089</w:t>
            </w:r>
          </w:p>
        </w:tc>
        <w:tc>
          <w:tcPr>
            <w:tcW w:w="80"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950"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(218,219</w:t>
            </w:r>
          </w:p>
        </w:tc>
        <w:tc>
          <w:tcPr>
            <w:tcW w:w="95"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r>
      <w:tr>
        <w:trPr/>
        <w:tc>
          <w:tcPr>
            <w:tcW w:w="5330"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Financial income (expense), net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(12,378</w:t>
            </w:r>
          </w:p>
        </w:tc>
        <w:tc>
          <w:tcPr>
            <w:tcW w:w="80"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(7,323</w:t>
            </w:r>
          </w:p>
        </w:tc>
        <w:tc>
          <w:tcPr>
            <w:tcW w:w="80"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(13,415</w:t>
            </w:r>
          </w:p>
        </w:tc>
        <w:tc>
          <w:tcPr>
            <w:tcW w:w="80"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2,745</w:t>
            </w:r>
          </w:p>
        </w:tc>
        <w:tc>
          <w:tcPr>
            <w:tcW w:w="95" w:type="dxa"/>
            <w:tcBorders/>
            <w:shd w:fill="CCEEFF" w:val="clear"/>
            <w:vAlign w:val="center"/>
          </w:tcPr>
          <w:p>
            <w:pPr>
              <w:pStyle w:val="TableContents"/>
              <w:bidi w:val="0"/>
              <w:spacing w:before="0" w:after="283"/>
              <w:jc w:val="left"/>
              <w:rPr/>
            </w:pPr>
            <w:r>
              <w:rPr/>
              <w:t> </w:t>
            </w:r>
          </w:p>
        </w:tc>
      </w:tr>
      <w:tr>
        <w:trPr/>
        <w:tc>
          <w:tcPr>
            <w:tcW w:w="5330"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Other income, net</w:t>
            </w:r>
          </w:p>
        </w:tc>
        <w:tc>
          <w:tcPr>
            <w:tcW w:w="60" w:type="dxa"/>
            <w:tcBorders/>
            <w:vAlign w:val="center"/>
          </w:tcPr>
          <w:p>
            <w:pPr>
              <w:pStyle w:val="TableContents"/>
              <w:bidi w:val="0"/>
              <w:spacing w:before="0" w:after="283"/>
              <w:jc w:val="left"/>
              <w:rPr/>
            </w:pPr>
            <w:r>
              <w:rPr/>
              <w:t> </w:t>
            </w:r>
          </w:p>
        </w:tc>
        <w:tc>
          <w:tcPr>
            <w:tcW w:w="125" w:type="dxa"/>
            <w:tcBorders>
              <w:bottom w:val="single" w:sz="12" w:space="0" w:color="000000"/>
            </w:tcBorders>
            <w:tcMar>
              <w:bottom w:w="28" w:type="dxa"/>
            </w:tcMar>
            <w:vAlign w:val="center"/>
          </w:tcPr>
          <w:p>
            <w:pPr>
              <w:pStyle w:val="TableContents"/>
              <w:bidi w:val="0"/>
              <w:spacing w:before="0" w:after="283"/>
              <w:jc w:val="left"/>
              <w:rPr/>
            </w:pPr>
            <w:r>
              <w:rPr/>
              <w:t> </w:t>
            </w:r>
          </w:p>
        </w:tc>
        <w:tc>
          <w:tcPr>
            <w:tcW w:w="950" w:type="dxa"/>
            <w:tcBorders>
              <w:bottom w:val="single" w:sz="12" w:space="0" w:color="000000"/>
            </w:tcBorders>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bottom w:val="single" w:sz="12" w:space="0" w:color="000000"/>
            </w:tcBorders>
            <w:tcMar>
              <w:bottom w:w="28" w:type="dxa"/>
            </w:tcMar>
            <w:vAlign w:val="center"/>
          </w:tcPr>
          <w:p>
            <w:pPr>
              <w:pStyle w:val="TableContents"/>
              <w:bidi w:val="0"/>
              <w:spacing w:before="0" w:after="283"/>
              <w:jc w:val="left"/>
              <w:rPr/>
            </w:pPr>
            <w:r>
              <w:rPr/>
              <w:t> </w:t>
            </w:r>
          </w:p>
        </w:tc>
        <w:tc>
          <w:tcPr>
            <w:tcW w:w="950" w:type="dxa"/>
            <w:tcBorders>
              <w:bottom w:val="single" w:sz="12" w:space="0" w:color="000000"/>
            </w:tcBorders>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4,017</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bottom w:val="single" w:sz="12" w:space="0" w:color="000000"/>
            </w:tcBorders>
            <w:tcMar>
              <w:bottom w:w="28" w:type="dxa"/>
            </w:tcMar>
            <w:vAlign w:val="center"/>
          </w:tcPr>
          <w:p>
            <w:pPr>
              <w:pStyle w:val="TableContents"/>
              <w:bidi w:val="0"/>
              <w:spacing w:before="0" w:after="283"/>
              <w:jc w:val="left"/>
              <w:rPr/>
            </w:pPr>
            <w:r>
              <w:rPr/>
              <w:t> </w:t>
            </w:r>
          </w:p>
        </w:tc>
        <w:tc>
          <w:tcPr>
            <w:tcW w:w="950" w:type="dxa"/>
            <w:tcBorders>
              <w:bottom w:val="single" w:sz="12" w:space="0" w:color="000000"/>
            </w:tcBorders>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bottom w:val="single" w:sz="12" w:space="0" w:color="000000"/>
            </w:tcBorders>
            <w:tcMar>
              <w:bottom w:w="28" w:type="dxa"/>
            </w:tcMar>
            <w:vAlign w:val="center"/>
          </w:tcPr>
          <w:p>
            <w:pPr>
              <w:pStyle w:val="TableContents"/>
              <w:bidi w:val="0"/>
              <w:spacing w:before="0" w:after="283"/>
              <w:jc w:val="left"/>
              <w:rPr/>
            </w:pPr>
            <w:r>
              <w:rPr/>
              <w:t> </w:t>
            </w:r>
          </w:p>
        </w:tc>
        <w:tc>
          <w:tcPr>
            <w:tcW w:w="950" w:type="dxa"/>
            <w:tcBorders>
              <w:bottom w:val="single" w:sz="12" w:space="0" w:color="000000"/>
            </w:tcBorders>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4,165</w:t>
            </w:r>
          </w:p>
        </w:tc>
        <w:tc>
          <w:tcPr>
            <w:tcW w:w="95" w:type="dxa"/>
            <w:tcBorders/>
            <w:vAlign w:val="center"/>
          </w:tcPr>
          <w:p>
            <w:pPr>
              <w:pStyle w:val="TableContents"/>
              <w:bidi w:val="0"/>
              <w:spacing w:before="0" w:after="283"/>
              <w:jc w:val="left"/>
              <w:rPr/>
            </w:pPr>
            <w:r>
              <w:rPr/>
              <w:t> </w:t>
            </w:r>
          </w:p>
        </w:tc>
      </w:tr>
      <w:tr>
        <w:trPr/>
        <w:tc>
          <w:tcPr>
            <w:tcW w:w="5330"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Loss before income taxes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(28,424</w:t>
            </w:r>
          </w:p>
        </w:tc>
        <w:tc>
          <w:tcPr>
            <w:tcW w:w="80"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(118,799</w:t>
            </w:r>
          </w:p>
        </w:tc>
        <w:tc>
          <w:tcPr>
            <w:tcW w:w="80"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(84,504</w:t>
            </w:r>
          </w:p>
        </w:tc>
        <w:tc>
          <w:tcPr>
            <w:tcW w:w="80"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(211,309</w:t>
            </w:r>
          </w:p>
        </w:tc>
        <w:tc>
          <w:tcPr>
            <w:tcW w:w="95"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r>
      <w:tr>
        <w:trPr/>
        <w:tc>
          <w:tcPr>
            <w:tcW w:w="5330"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Income taxes</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950"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(2,329</w:t>
            </w:r>
          </w:p>
        </w:tc>
        <w:tc>
          <w:tcPr>
            <w:tcW w:w="80"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950"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(5,657</w:t>
            </w:r>
          </w:p>
        </w:tc>
        <w:tc>
          <w:tcPr>
            <w:tcW w:w="80"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950"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(3,615</w:t>
            </w:r>
          </w:p>
        </w:tc>
        <w:tc>
          <w:tcPr>
            <w:tcW w:w="80"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950"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(11,383</w:t>
            </w:r>
          </w:p>
        </w:tc>
        <w:tc>
          <w:tcPr>
            <w:tcW w:w="95"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r>
      <w:tr>
        <w:trPr/>
        <w:tc>
          <w:tcPr>
            <w:tcW w:w="5330"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Net loss from equity method investments</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50" w:type="dxa"/>
            <w:tcBorders>
              <w:bottom w:val="single" w:sz="12" w:space="0" w:color="000000"/>
            </w:tcBorders>
            <w:shd w:fill="CCEEFF" w:val="clear"/>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50" w:type="dxa"/>
            <w:tcBorders>
              <w:bottom w:val="single" w:sz="12" w:space="0" w:color="000000"/>
            </w:tcBorders>
            <w:shd w:fill="CCEEFF" w:val="clear"/>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(288</w:t>
            </w:r>
          </w:p>
        </w:tc>
        <w:tc>
          <w:tcPr>
            <w:tcW w:w="80"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50" w:type="dxa"/>
            <w:tcBorders>
              <w:bottom w:val="single" w:sz="12" w:space="0" w:color="000000"/>
            </w:tcBorders>
            <w:shd w:fill="CCEEFF" w:val="clear"/>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50" w:type="dxa"/>
            <w:tcBorders>
              <w:bottom w:val="single" w:sz="12" w:space="0" w:color="000000"/>
            </w:tcBorders>
            <w:shd w:fill="CCEEFF" w:val="clear"/>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(575</w:t>
            </w:r>
          </w:p>
        </w:tc>
        <w:tc>
          <w:tcPr>
            <w:tcW w:w="95"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r>
      <w:tr>
        <w:trPr/>
        <w:tc>
          <w:tcPr>
            <w:tcW w:w="5330"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Net loss</w:t>
            </w:r>
          </w:p>
        </w:tc>
        <w:tc>
          <w:tcPr>
            <w:tcW w:w="60" w:type="dxa"/>
            <w:tcBorders/>
            <w:vAlign w:val="center"/>
          </w:tcPr>
          <w:p>
            <w:pPr>
              <w:pStyle w:val="TableContents"/>
              <w:bidi w:val="0"/>
              <w:spacing w:before="0" w:after="283"/>
              <w:jc w:val="left"/>
              <w:rPr/>
            </w:pPr>
            <w:r>
              <w:rPr/>
              <w:t> </w:t>
            </w:r>
          </w:p>
        </w:tc>
        <w:tc>
          <w:tcPr>
            <w:tcW w:w="125" w:type="dxa"/>
            <w:tcBorders>
              <w:bottom w:val="single" w:sz="12" w:space="0" w:color="000000"/>
            </w:tcBorders>
            <w:tcMar>
              <w:bottom w:w="28" w:type="dxa"/>
            </w:tcM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950" w:type="dxa"/>
            <w:tcBorders>
              <w:bottom w:val="single" w:sz="12" w:space="0" w:color="000000"/>
            </w:tcBorders>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(30,753</w:t>
            </w:r>
          </w:p>
        </w:tc>
        <w:tc>
          <w:tcPr>
            <w:tcW w:w="80"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vAlign w:val="center"/>
          </w:tcPr>
          <w:p>
            <w:pPr>
              <w:pStyle w:val="TableContents"/>
              <w:bidi w:val="0"/>
              <w:spacing w:before="0" w:after="283"/>
              <w:jc w:val="left"/>
              <w:rPr/>
            </w:pPr>
            <w:r>
              <w:rPr/>
              <w:t> </w:t>
            </w:r>
          </w:p>
        </w:tc>
        <w:tc>
          <w:tcPr>
            <w:tcW w:w="125" w:type="dxa"/>
            <w:tcBorders>
              <w:bottom w:val="single" w:sz="12" w:space="0" w:color="000000"/>
            </w:tcBorders>
            <w:tcMar>
              <w:bottom w:w="28" w:type="dxa"/>
            </w:tcM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950" w:type="dxa"/>
            <w:tcBorders>
              <w:bottom w:val="single" w:sz="12" w:space="0" w:color="000000"/>
            </w:tcBorders>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(124,744</w:t>
            </w:r>
          </w:p>
        </w:tc>
        <w:tc>
          <w:tcPr>
            <w:tcW w:w="80"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vAlign w:val="center"/>
          </w:tcPr>
          <w:p>
            <w:pPr>
              <w:pStyle w:val="TableContents"/>
              <w:bidi w:val="0"/>
              <w:spacing w:before="0" w:after="283"/>
              <w:jc w:val="left"/>
              <w:rPr/>
            </w:pPr>
            <w:r>
              <w:rPr/>
              <w:t> </w:t>
            </w:r>
          </w:p>
        </w:tc>
        <w:tc>
          <w:tcPr>
            <w:tcW w:w="125" w:type="dxa"/>
            <w:tcBorders>
              <w:bottom w:val="single" w:sz="12" w:space="0" w:color="000000"/>
            </w:tcBorders>
            <w:tcMar>
              <w:bottom w:w="28" w:type="dxa"/>
            </w:tcM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950" w:type="dxa"/>
            <w:tcBorders>
              <w:bottom w:val="single" w:sz="12" w:space="0" w:color="000000"/>
            </w:tcBorders>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(88,119</w:t>
            </w:r>
          </w:p>
        </w:tc>
        <w:tc>
          <w:tcPr>
            <w:tcW w:w="80"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vAlign w:val="center"/>
          </w:tcPr>
          <w:p>
            <w:pPr>
              <w:pStyle w:val="TableContents"/>
              <w:bidi w:val="0"/>
              <w:spacing w:before="0" w:after="283"/>
              <w:jc w:val="left"/>
              <w:rPr/>
            </w:pPr>
            <w:r>
              <w:rPr/>
              <w:t> </w:t>
            </w:r>
          </w:p>
        </w:tc>
        <w:tc>
          <w:tcPr>
            <w:tcW w:w="125" w:type="dxa"/>
            <w:tcBorders>
              <w:bottom w:val="single" w:sz="12" w:space="0" w:color="000000"/>
            </w:tcBorders>
            <w:tcMar>
              <w:bottom w:w="28" w:type="dxa"/>
            </w:tcM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950" w:type="dxa"/>
            <w:tcBorders>
              <w:bottom w:val="single" w:sz="12" w:space="0" w:color="000000"/>
            </w:tcBorders>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(223,267</w:t>
            </w:r>
          </w:p>
        </w:tc>
        <w:tc>
          <w:tcPr>
            <w:tcW w:w="95"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r>
      <w:tr>
        <w:trPr/>
        <w:tc>
          <w:tcPr>
            <w:tcW w:w="5330"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Net basic and diluted loss per share of common stock</w:t>
            </w:r>
          </w:p>
        </w:tc>
        <w:tc>
          <w:tcPr>
            <w:tcW w:w="60" w:type="dxa"/>
            <w:tcBorders/>
            <w:shd w:fill="CCEEFF" w:val="clear"/>
            <w:vAlign w:val="center"/>
          </w:tcPr>
          <w:p>
            <w:pPr>
              <w:pStyle w:val="TableContents"/>
              <w:bidi w:val="0"/>
              <w:spacing w:before="0" w:after="283"/>
              <w:jc w:val="left"/>
              <w:rPr/>
            </w:pPr>
            <w:r>
              <w:rPr/>
              <w:t> </w:t>
            </w:r>
          </w:p>
        </w:tc>
        <w:tc>
          <w:tcPr>
            <w:tcW w:w="125" w:type="dxa"/>
            <w:tcBorders>
              <w:bottom w:val="double" w:sz="8" w:space="0" w:color="000000"/>
            </w:tcBorders>
            <w:shd w:fill="CCEEFF" w:val="clear"/>
            <w:tcMar>
              <w:bottom w:w="28" w:type="dxa"/>
            </w:tcM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950" w:type="dxa"/>
            <w:tcBorders>
              <w:bottom w:val="double" w:sz="8" w:space="0" w:color="000000"/>
            </w:tcBorders>
            <w:shd w:fill="CCEEFF" w:val="clear"/>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(0.50</w:t>
            </w:r>
          </w:p>
        </w:tc>
        <w:tc>
          <w:tcPr>
            <w:tcW w:w="80"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double" w:sz="8" w:space="0" w:color="000000"/>
            </w:tcBorders>
            <w:shd w:fill="CCEEFF" w:val="clear"/>
            <w:tcMar>
              <w:bottom w:w="28" w:type="dxa"/>
            </w:tcM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950" w:type="dxa"/>
            <w:tcBorders>
              <w:bottom w:val="double" w:sz="8" w:space="0" w:color="000000"/>
            </w:tcBorders>
            <w:shd w:fill="CCEEFF" w:val="clear"/>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(2.13</w:t>
            </w:r>
          </w:p>
        </w:tc>
        <w:tc>
          <w:tcPr>
            <w:tcW w:w="80"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double" w:sz="8" w:space="0" w:color="000000"/>
            </w:tcBorders>
            <w:shd w:fill="CCEEFF" w:val="clear"/>
            <w:tcMar>
              <w:bottom w:w="28" w:type="dxa"/>
            </w:tcM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950" w:type="dxa"/>
            <w:tcBorders>
              <w:bottom w:val="double" w:sz="8" w:space="0" w:color="000000"/>
            </w:tcBorders>
            <w:shd w:fill="CCEEFF" w:val="clear"/>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(1.44</w:t>
            </w:r>
          </w:p>
        </w:tc>
        <w:tc>
          <w:tcPr>
            <w:tcW w:w="80"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double" w:sz="8" w:space="0" w:color="000000"/>
            </w:tcBorders>
            <w:shd w:fill="CCEEFF" w:val="clear"/>
            <w:tcMar>
              <w:bottom w:w="28" w:type="dxa"/>
            </w:tcM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950" w:type="dxa"/>
            <w:tcBorders>
              <w:bottom w:val="double" w:sz="8" w:space="0" w:color="000000"/>
            </w:tcBorders>
            <w:shd w:fill="CCEEFF" w:val="clear"/>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(3.83</w:t>
            </w:r>
          </w:p>
        </w:tc>
        <w:tc>
          <w:tcPr>
            <w:tcW w:w="95"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r>
      <w:tr>
        <w:trPr/>
        <w:tc>
          <w:tcPr>
            <w:tcW w:w="5330"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Weighted average number of shares used in computing net basic and diluted loss per share of common stock</w:t>
            </w:r>
          </w:p>
        </w:tc>
        <w:tc>
          <w:tcPr>
            <w:tcW w:w="60" w:type="dxa"/>
            <w:tcBorders/>
            <w:vAlign w:val="center"/>
          </w:tcPr>
          <w:p>
            <w:pPr>
              <w:pStyle w:val="TableContents"/>
              <w:bidi w:val="0"/>
              <w:spacing w:before="0" w:after="283"/>
              <w:jc w:val="left"/>
              <w:rPr/>
            </w:pPr>
            <w:r>
              <w:rPr/>
              <w:t> </w:t>
            </w:r>
          </w:p>
        </w:tc>
        <w:tc>
          <w:tcPr>
            <w:tcW w:w="125" w:type="dxa"/>
            <w:tcBorders>
              <w:bottom w:val="double" w:sz="8" w:space="0" w:color="000000"/>
            </w:tcBorders>
            <w:tcMar>
              <w:bottom w:w="28" w:type="dxa"/>
            </w:tcMar>
            <w:vAlign w:val="center"/>
          </w:tcPr>
          <w:p>
            <w:pPr>
              <w:pStyle w:val="TableContents"/>
              <w:bidi w:val="0"/>
              <w:spacing w:before="0" w:after="283"/>
              <w:jc w:val="left"/>
              <w:rPr/>
            </w:pPr>
            <w:r>
              <w:rPr/>
              <w:t> </w:t>
            </w:r>
          </w:p>
        </w:tc>
        <w:tc>
          <w:tcPr>
            <w:tcW w:w="950" w:type="dxa"/>
            <w:tcBorders>
              <w:bottom w:val="double" w:sz="8" w:space="0" w:color="000000"/>
            </w:tcBorders>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61,045,194</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bottom w:val="double" w:sz="8" w:space="0" w:color="000000"/>
            </w:tcBorders>
            <w:tcMar>
              <w:bottom w:w="28" w:type="dxa"/>
            </w:tcMar>
            <w:vAlign w:val="center"/>
          </w:tcPr>
          <w:p>
            <w:pPr>
              <w:pStyle w:val="TableContents"/>
              <w:bidi w:val="0"/>
              <w:spacing w:before="0" w:after="283"/>
              <w:jc w:val="left"/>
              <w:rPr/>
            </w:pPr>
            <w:r>
              <w:rPr/>
              <w:t> </w:t>
            </w:r>
          </w:p>
        </w:tc>
        <w:tc>
          <w:tcPr>
            <w:tcW w:w="950" w:type="dxa"/>
            <w:tcBorders>
              <w:bottom w:val="double" w:sz="8" w:space="0" w:color="000000"/>
            </w:tcBorders>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58,567,394</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bottom w:val="double" w:sz="8" w:space="0" w:color="000000"/>
            </w:tcBorders>
            <w:tcMar>
              <w:bottom w:w="28" w:type="dxa"/>
            </w:tcMar>
            <w:vAlign w:val="center"/>
          </w:tcPr>
          <w:p>
            <w:pPr>
              <w:pStyle w:val="TableContents"/>
              <w:bidi w:val="0"/>
              <w:spacing w:before="0" w:after="283"/>
              <w:jc w:val="left"/>
              <w:rPr/>
            </w:pPr>
            <w:r>
              <w:rPr/>
              <w:t> </w:t>
            </w:r>
          </w:p>
        </w:tc>
        <w:tc>
          <w:tcPr>
            <w:tcW w:w="950" w:type="dxa"/>
            <w:tcBorders>
              <w:bottom w:val="double" w:sz="8" w:space="0" w:color="000000"/>
            </w:tcBorders>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61,152,904</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bottom w:val="double" w:sz="8" w:space="0" w:color="000000"/>
            </w:tcBorders>
            <w:tcMar>
              <w:bottom w:w="28" w:type="dxa"/>
            </w:tcMar>
            <w:vAlign w:val="center"/>
          </w:tcPr>
          <w:p>
            <w:pPr>
              <w:pStyle w:val="TableContents"/>
              <w:bidi w:val="0"/>
              <w:spacing w:before="0" w:after="283"/>
              <w:jc w:val="left"/>
              <w:rPr/>
            </w:pPr>
            <w:r>
              <w:rPr/>
              <w:t> </w:t>
            </w:r>
          </w:p>
        </w:tc>
        <w:tc>
          <w:tcPr>
            <w:tcW w:w="950" w:type="dxa"/>
            <w:tcBorders>
              <w:bottom w:val="double" w:sz="8" w:space="0" w:color="000000"/>
            </w:tcBorders>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58,345,680</w:t>
            </w:r>
          </w:p>
        </w:tc>
        <w:tc>
          <w:tcPr>
            <w:tcW w:w="95" w:type="dxa"/>
            <w:tcBorders/>
            <w:vAlign w:val="center"/>
          </w:tcPr>
          <w:p>
            <w:pPr>
              <w:pStyle w:val="TableContents"/>
              <w:bidi w:val="0"/>
              <w:spacing w:before="0" w:after="283"/>
              <w:jc w:val="left"/>
              <w:rPr/>
            </w:pPr>
            <w:r>
              <w:rPr/>
              <w:t> </w:t>
            </w:r>
          </w:p>
        </w:tc>
      </w:tr>
    </w:tbl>
    <w:p>
      <w:pPr>
        <w:pStyle w:val="TextBody"/>
        <w:bidi w:val="0"/>
        <w:spacing w:lineRule="auto" w:line="300" w:before="0" w:after="0"/>
        <w:jc w:val="left"/>
        <w:rPr/>
      </w:pPr>
      <w:r>
        <w:rPr/>
        <w:t> </w:t>
      </w:r>
    </w:p>
    <w:p>
      <w:pPr>
        <w:pStyle w:val="TextBody"/>
        <w:bidi w:val="0"/>
        <w:spacing w:lineRule="auto" w:line="300" w:before="0" w:after="0"/>
        <w:ind w:left="0" w:right="0" w:firstLine="360"/>
        <w:jc w:val="both"/>
        <w:rPr>
          <w:rFonts w:ascii="Times New Roman;Times;serif" w:hAnsi="Times New Roman;Times;serif"/>
          <w:sz w:val="20"/>
        </w:rPr>
      </w:pPr>
      <w:r>
        <w:rPr>
          <w:rFonts w:ascii="Times New Roman;Times;serif" w:hAnsi="Times New Roman;Times;serif"/>
          <w:sz w:val="20"/>
        </w:rPr>
        <w:t>The accompanying notes are an integral part of the condensed consolidated financial statements.</w:t>
      </w:r>
    </w:p>
    <w:p>
      <w:pPr>
        <w:pStyle w:val="TextBody"/>
        <w:bidi w:val="0"/>
        <w:spacing w:lineRule="auto" w:line="300" w:before="0" w:after="0"/>
        <w:ind w:left="0" w:right="0" w:firstLine="360"/>
        <w:jc w:val="both"/>
        <w:rPr/>
      </w:pPr>
      <w:r>
        <w:rPr/>
        <w:t> </w:t>
      </w:r>
    </w:p>
    <w:p>
      <w:pPr>
        <w:pStyle w:val="TextBody"/>
        <w:bidi w:val="0"/>
        <w:spacing w:before="200" w:after="20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SOLAREDGE TECHNOLOGIES INC. | 2026 Form 10-Q | F - 3</w:t>
      </w:r>
    </w:p>
    <w:p>
      <w:pPr>
        <w:pStyle w:val="HorizontalLine"/>
        <w:bidi w:val="0"/>
        <w:spacing w:before="200" w:after="200"/>
        <w:jc w:val="left"/>
        <w:rPr/>
      </w:pPr>
      <w:r>
        <w:rPr/>
      </w:r>
    </w:p>
    <w:p>
      <w:pPr>
        <w:pStyle w:val="TextBody"/>
        <w:bidi w:val="0"/>
        <w:spacing w:lineRule="auto" w:line="300" w:before="0" w:after="0"/>
        <w:jc w:val="left"/>
        <w:rPr/>
      </w:pPr>
      <w:r>
        <w:rPr/>
        <w:t> </w:t>
      </w:r>
    </w:p>
    <w:p>
      <w:pPr>
        <w:pStyle w:val="TextBody"/>
        <w:bidi w:val="0"/>
        <w:spacing w:lineRule="auto" w:line="300" w:before="0" w:after="0"/>
        <w:ind w:left="0" w:right="0" w:firstLine="360"/>
        <w:jc w:val="center"/>
        <w:rPr>
          <w:rFonts w:ascii="Times New Roman;Times;serif" w:hAnsi="Times New Roman;Times;serif"/>
          <w:b/>
          <w:sz w:val="20"/>
        </w:rPr>
      </w:pPr>
      <w:r>
        <w:rPr>
          <w:rFonts w:ascii="Times New Roman;Times;serif" w:hAnsi="Times New Roman;Times;serif"/>
          <w:b/>
          <w:sz w:val="20"/>
        </w:rPr>
        <w:t>SOLAREDGE TECHNOLOGIES, INC.</w:t>
      </w:r>
    </w:p>
    <w:p>
      <w:pPr>
        <w:pStyle w:val="TextBody"/>
        <w:bidi w:val="0"/>
        <w:spacing w:lineRule="auto" w:line="300" w:before="0" w:after="0"/>
        <w:jc w:val="left"/>
        <w:rPr/>
      </w:pPr>
      <w:r>
        <w:rPr/>
        <w:t> </w:t>
      </w:r>
    </w:p>
    <w:p>
      <w:pPr>
        <w:pStyle w:val="TextBody"/>
        <w:bidi w:val="0"/>
        <w:spacing w:lineRule="auto" w:line="300" w:before="0" w:after="0"/>
        <w:ind w:left="0" w:right="0" w:firstLine="360"/>
        <w:jc w:val="center"/>
        <w:rPr>
          <w:rFonts w:ascii="Times New Roman;Times;serif" w:hAnsi="Times New Roman;Times;serif"/>
          <w:b/>
          <w:sz w:val="20"/>
        </w:rPr>
      </w:pPr>
      <w:r>
        <w:rPr>
          <w:rFonts w:ascii="Times New Roman;Times;serif" w:hAnsi="Times New Roman;Times;serif"/>
          <w:b/>
          <w:sz w:val="20"/>
        </w:rPr>
        <w:t xml:space="preserve">CONDENSED CONSOLIDATED STATEMENTS OF </w:t>
      </w:r>
      <w:bookmarkStart w:id="7" w:name="COMPREHENSIVELOSS"/>
      <w:bookmarkEnd w:id="7"/>
      <w:r>
        <w:rPr>
          <w:rFonts w:ascii="Times New Roman;Times;serif" w:hAnsi="Times New Roman;Times;serif"/>
          <w:b/>
          <w:sz w:val="20"/>
        </w:rPr>
        <w:t>COMPREHENSIVE LOSS (Unaudited)</w:t>
      </w:r>
    </w:p>
    <w:p>
      <w:pPr>
        <w:pStyle w:val="TextBody"/>
        <w:bidi w:val="0"/>
        <w:spacing w:lineRule="auto" w:line="300" w:before="0" w:after="0"/>
        <w:jc w:val="left"/>
        <w:rPr/>
      </w:pPr>
      <w:r>
        <w:rPr/>
        <w:t> </w:t>
      </w:r>
    </w:p>
    <w:p>
      <w:pPr>
        <w:pStyle w:val="TextBody"/>
        <w:bidi w:val="0"/>
        <w:spacing w:lineRule="auto" w:line="300" w:before="0" w:after="0"/>
        <w:ind w:left="0" w:right="0" w:firstLine="360"/>
        <w:jc w:val="center"/>
        <w:rPr>
          <w:rFonts w:ascii="Times New Roman;Times;serif" w:hAnsi="Times New Roman;Times;serif"/>
          <w:b/>
          <w:sz w:val="20"/>
        </w:rPr>
      </w:pPr>
      <w:r>
        <w:rPr>
          <w:rFonts w:ascii="Times New Roman;Times;serif" w:hAnsi="Times New Roman;Times;serif"/>
          <w:b/>
          <w:sz w:val="20"/>
        </w:rPr>
        <w:t>(in thousands, except per share data)</w:t>
      </w:r>
    </w:p>
    <w:p>
      <w:pPr>
        <w:pStyle w:val="TextBody"/>
        <w:bidi w:val="0"/>
        <w:spacing w:lineRule="auto" w:line="300"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5870"/>
        <w:gridCol w:w="60"/>
        <w:gridCol w:w="125"/>
        <w:gridCol w:w="755"/>
        <w:gridCol w:w="80"/>
        <w:gridCol w:w="60"/>
        <w:gridCol w:w="125"/>
        <w:gridCol w:w="875"/>
        <w:gridCol w:w="80"/>
        <w:gridCol w:w="60"/>
        <w:gridCol w:w="125"/>
        <w:gridCol w:w="755"/>
        <w:gridCol w:w="80"/>
        <w:gridCol w:w="60"/>
        <w:gridCol w:w="125"/>
        <w:gridCol w:w="875"/>
        <w:gridCol w:w="95"/>
      </w:tblGrid>
      <w:tr>
        <w:trPr/>
        <w:tc>
          <w:tcPr>
            <w:tcW w:w="58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20" w:type="dxa"/>
            <w:gridSpan w:val="6"/>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Three Months Ended</w:t>
              <w:br/>
              <w:t>June 30,</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20" w:type="dxa"/>
            <w:gridSpan w:val="6"/>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Six Months Ended</w:t>
            </w:r>
          </w:p>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June 30,</w:t>
            </w:r>
          </w:p>
        </w:tc>
        <w:tc>
          <w:tcPr>
            <w:tcW w:w="95" w:type="dxa"/>
            <w:tcBorders/>
            <w:vAlign w:val="center"/>
          </w:tcPr>
          <w:p>
            <w:pPr>
              <w:pStyle w:val="TableContents"/>
              <w:bidi w:val="0"/>
              <w:spacing w:before="0" w:after="283"/>
              <w:jc w:val="left"/>
              <w:rPr/>
            </w:pPr>
            <w:r>
              <w:rPr/>
              <w:t> </w:t>
            </w:r>
          </w:p>
        </w:tc>
      </w:tr>
      <w:tr>
        <w:trPr/>
        <w:tc>
          <w:tcPr>
            <w:tcW w:w="58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80"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2026</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00"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2025</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80"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2026</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00"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2025</w:t>
            </w:r>
          </w:p>
        </w:tc>
        <w:tc>
          <w:tcPr>
            <w:tcW w:w="95" w:type="dxa"/>
            <w:tcBorders/>
            <w:vAlign w:val="center"/>
          </w:tcPr>
          <w:p>
            <w:pPr>
              <w:pStyle w:val="TableContents"/>
              <w:bidi w:val="0"/>
              <w:spacing w:before="0" w:after="283"/>
              <w:jc w:val="left"/>
              <w:rPr/>
            </w:pPr>
            <w:r>
              <w:rPr/>
              <w:t> </w:t>
            </w:r>
          </w:p>
        </w:tc>
      </w:tr>
      <w:tr>
        <w:trPr/>
        <w:tc>
          <w:tcPr>
            <w:tcW w:w="5870"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Net loss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755" w:type="dxa"/>
            <w:tcBorders/>
            <w:shd w:fill="CCEEFF" w:val="clear"/>
            <w:vAlign w:val="center"/>
          </w:tcPr>
          <w:p>
            <w:pPr>
              <w:pStyle w:val="TableContents"/>
              <w:bidi w:val="0"/>
              <w:spacing w:lineRule="auto" w:line="300" w:before="0" w:after="0"/>
              <w:jc w:val="right"/>
              <w:rPr/>
            </w:pPr>
            <w:r>
              <w:rPr/>
              <w:t>(30,753</w:t>
            </w:r>
          </w:p>
        </w:tc>
        <w:tc>
          <w:tcPr>
            <w:tcW w:w="80"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875" w:type="dxa"/>
            <w:tcBorders/>
            <w:shd w:fill="CCEEFF" w:val="clear"/>
            <w:vAlign w:val="center"/>
          </w:tcPr>
          <w:p>
            <w:pPr>
              <w:pStyle w:val="TableContents"/>
              <w:bidi w:val="0"/>
              <w:spacing w:lineRule="auto" w:line="300" w:before="0" w:after="0"/>
              <w:jc w:val="right"/>
              <w:rPr/>
            </w:pPr>
            <w:r>
              <w:rPr/>
              <w:t>(124,744</w:t>
            </w:r>
          </w:p>
        </w:tc>
        <w:tc>
          <w:tcPr>
            <w:tcW w:w="80"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755" w:type="dxa"/>
            <w:tcBorders/>
            <w:shd w:fill="CCEEFF" w:val="clear"/>
            <w:vAlign w:val="center"/>
          </w:tcPr>
          <w:p>
            <w:pPr>
              <w:pStyle w:val="TableContents"/>
              <w:bidi w:val="0"/>
              <w:spacing w:lineRule="auto" w:line="300" w:before="0" w:after="0"/>
              <w:jc w:val="right"/>
              <w:rPr/>
            </w:pPr>
            <w:r>
              <w:rPr/>
              <w:t>(88,119</w:t>
            </w:r>
          </w:p>
        </w:tc>
        <w:tc>
          <w:tcPr>
            <w:tcW w:w="80"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875" w:type="dxa"/>
            <w:tcBorders/>
            <w:shd w:fill="CCEEFF" w:val="clear"/>
            <w:vAlign w:val="center"/>
          </w:tcPr>
          <w:p>
            <w:pPr>
              <w:pStyle w:val="TableContents"/>
              <w:bidi w:val="0"/>
              <w:spacing w:lineRule="auto" w:line="300" w:before="0" w:after="0"/>
              <w:jc w:val="right"/>
              <w:rPr/>
            </w:pPr>
            <w:r>
              <w:rPr/>
              <w:t>(223,267</w:t>
            </w:r>
          </w:p>
        </w:tc>
        <w:tc>
          <w:tcPr>
            <w:tcW w:w="95"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r>
      <w:tr>
        <w:trPr/>
        <w:tc>
          <w:tcPr>
            <w:tcW w:w="5870"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Other comprehensive income (loss), net of tax:</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r>
      <w:tr>
        <w:trPr/>
        <w:tc>
          <w:tcPr>
            <w:tcW w:w="5870" w:type="dxa"/>
            <w:tcBorders/>
            <w:shd w:fill="CCEEFF" w:val="clear"/>
            <w:vAlign w:val="center"/>
          </w:tcPr>
          <w:p>
            <w:pPr>
              <w:pStyle w:val="TableContents"/>
              <w:bidi w:val="0"/>
              <w:spacing w:lineRule="auto" w:line="300" w:before="0" w:after="0"/>
              <w:ind w:left="270" w:right="0" w:hanging="0"/>
              <w:jc w:val="left"/>
              <w:rPr>
                <w:rFonts w:ascii="Times New Roman;Times;serif" w:hAnsi="Times New Roman;Times;serif"/>
                <w:sz w:val="20"/>
              </w:rPr>
            </w:pPr>
            <w:r>
              <w:rPr>
                <w:rFonts w:ascii="Times New Roman;Times;serif" w:hAnsi="Times New Roman;Times;serif"/>
                <w:sz w:val="20"/>
              </w:rPr>
              <w:t>Available-for-sale marketable securities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lineRule="auto" w:line="300" w:before="0" w:after="0"/>
              <w:jc w:val="right"/>
              <w:rPr/>
            </w:pPr>
            <w:r>
              <w:rPr/>
              <w:t>(6</w:t>
            </w:r>
          </w:p>
        </w:tc>
        <w:tc>
          <w:tcPr>
            <w:tcW w:w="80"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lineRule="auto" w:line="300" w:before="0" w:after="0"/>
              <w:jc w:val="right"/>
              <w:rPr/>
            </w:pPr>
            <w:r>
              <w:rPr/>
              <w:t>111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lineRule="auto" w:line="300" w:before="0" w:after="0"/>
              <w:jc w:val="right"/>
              <w:rPr/>
            </w:pPr>
            <w:r>
              <w:rPr/>
              <w:t>(398</w:t>
            </w:r>
          </w:p>
        </w:tc>
        <w:tc>
          <w:tcPr>
            <w:tcW w:w="80"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lineRule="auto" w:line="300" w:before="0" w:after="0"/>
              <w:jc w:val="right"/>
              <w:rPr/>
            </w:pPr>
            <w:r>
              <w:rPr/>
              <w:t>592</w:t>
            </w:r>
          </w:p>
        </w:tc>
        <w:tc>
          <w:tcPr>
            <w:tcW w:w="95" w:type="dxa"/>
            <w:tcBorders/>
            <w:shd w:fill="CCEEFF" w:val="clear"/>
            <w:vAlign w:val="center"/>
          </w:tcPr>
          <w:p>
            <w:pPr>
              <w:pStyle w:val="TableContents"/>
              <w:bidi w:val="0"/>
              <w:spacing w:before="0" w:after="283"/>
              <w:jc w:val="left"/>
              <w:rPr/>
            </w:pPr>
            <w:r>
              <w:rPr/>
              <w:t> </w:t>
            </w:r>
          </w:p>
        </w:tc>
      </w:tr>
      <w:tr>
        <w:trPr/>
        <w:tc>
          <w:tcPr>
            <w:tcW w:w="5870" w:type="dxa"/>
            <w:tcBorders/>
            <w:vAlign w:val="center"/>
          </w:tcPr>
          <w:p>
            <w:pPr>
              <w:pStyle w:val="TableContents"/>
              <w:bidi w:val="0"/>
              <w:spacing w:lineRule="auto" w:line="300" w:before="0" w:after="0"/>
              <w:ind w:left="270" w:right="0" w:hanging="0"/>
              <w:jc w:val="left"/>
              <w:rPr>
                <w:rFonts w:ascii="Times New Roman;Times;serif" w:hAnsi="Times New Roman;Times;serif"/>
                <w:sz w:val="20"/>
              </w:rPr>
            </w:pPr>
            <w:r>
              <w:rPr>
                <w:rFonts w:ascii="Times New Roman;Times;serif" w:hAnsi="Times New Roman;Times;serif"/>
                <w:sz w:val="20"/>
              </w:rPr>
              <w:t>Cash flow hedges</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lineRule="auto" w:line="300" w:before="0" w:after="0"/>
              <w:jc w:val="right"/>
              <w:rPr/>
            </w:pPr>
            <w:r>
              <w:rPr/>
              <w:t>3,894</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lineRule="auto" w:line="300" w:before="0" w:after="0"/>
              <w:jc w:val="right"/>
              <w:rPr/>
            </w:pPr>
            <w:r>
              <w:rPr/>
              <w:t>5,255</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lineRule="auto" w:line="300" w:before="0" w:after="0"/>
              <w:jc w:val="right"/>
              <w:rPr/>
            </w:pPr>
            <w:r>
              <w:rPr/>
              <w:t>3,167</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lineRule="auto" w:line="300" w:before="0" w:after="0"/>
              <w:jc w:val="right"/>
              <w:rPr/>
            </w:pPr>
            <w:r>
              <w:rPr/>
              <w:t>4,109</w:t>
            </w:r>
          </w:p>
        </w:tc>
        <w:tc>
          <w:tcPr>
            <w:tcW w:w="95" w:type="dxa"/>
            <w:tcBorders/>
            <w:vAlign w:val="center"/>
          </w:tcPr>
          <w:p>
            <w:pPr>
              <w:pStyle w:val="TableContents"/>
              <w:bidi w:val="0"/>
              <w:spacing w:before="0" w:after="283"/>
              <w:jc w:val="left"/>
              <w:rPr/>
            </w:pPr>
            <w:r>
              <w:rPr/>
              <w:t> </w:t>
            </w:r>
          </w:p>
        </w:tc>
      </w:tr>
      <w:tr>
        <w:trPr/>
        <w:tc>
          <w:tcPr>
            <w:tcW w:w="5870" w:type="dxa"/>
            <w:tcBorders/>
            <w:shd w:fill="CCEEFF" w:val="clear"/>
            <w:vAlign w:val="center"/>
          </w:tcPr>
          <w:p>
            <w:pPr>
              <w:pStyle w:val="TableContents"/>
              <w:bidi w:val="0"/>
              <w:spacing w:lineRule="auto" w:line="300" w:before="0" w:after="0"/>
              <w:ind w:left="270" w:right="0" w:hanging="0"/>
              <w:jc w:val="left"/>
              <w:rPr>
                <w:rFonts w:ascii="Times New Roman;Times;serif" w:hAnsi="Times New Roman;Times;serif"/>
                <w:sz w:val="20"/>
              </w:rPr>
            </w:pPr>
            <w:r>
              <w:rPr>
                <w:rFonts w:ascii="Times New Roman;Times;serif" w:hAnsi="Times New Roman;Times;serif"/>
                <w:sz w:val="20"/>
              </w:rPr>
              <w:t>Foreign currency translation adjustments on intra-entity transactions that are of a long-term investment nature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lineRule="auto" w:line="300" w:before="0" w:after="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lineRule="auto" w:line="300" w:before="0" w:after="0"/>
              <w:jc w:val="right"/>
              <w:rPr/>
            </w:pPr>
            <w:r>
              <w:rPr/>
              <w:t>1,756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lineRule="auto" w:line="300" w:before="0" w:after="0"/>
              <w:jc w:val="right"/>
              <w:rPr/>
            </w:pPr>
            <w:r>
              <w:rPr/>
              <w:t>11,840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lineRule="auto" w:line="300" w:before="0" w:after="0"/>
              <w:jc w:val="right"/>
              <w:rPr/>
            </w:pPr>
            <w:r>
              <w:rPr/>
              <w:t>828</w:t>
            </w:r>
          </w:p>
        </w:tc>
        <w:tc>
          <w:tcPr>
            <w:tcW w:w="95" w:type="dxa"/>
            <w:tcBorders/>
            <w:shd w:fill="CCEEFF" w:val="clear"/>
            <w:vAlign w:val="center"/>
          </w:tcPr>
          <w:p>
            <w:pPr>
              <w:pStyle w:val="TableContents"/>
              <w:bidi w:val="0"/>
              <w:spacing w:before="0" w:after="283"/>
              <w:jc w:val="left"/>
              <w:rPr/>
            </w:pPr>
            <w:r>
              <w:rPr/>
              <w:t> </w:t>
            </w:r>
          </w:p>
        </w:tc>
      </w:tr>
      <w:tr>
        <w:trPr/>
        <w:tc>
          <w:tcPr>
            <w:tcW w:w="5870" w:type="dxa"/>
            <w:tcBorders/>
            <w:vAlign w:val="center"/>
          </w:tcPr>
          <w:p>
            <w:pPr>
              <w:pStyle w:val="TableContents"/>
              <w:bidi w:val="0"/>
              <w:spacing w:lineRule="auto" w:line="300" w:before="0" w:after="0"/>
              <w:ind w:left="270" w:right="0" w:hanging="0"/>
              <w:jc w:val="left"/>
              <w:rPr>
                <w:rFonts w:ascii="Times New Roman;Times;serif" w:hAnsi="Times New Roman;Times;serif"/>
                <w:sz w:val="20"/>
              </w:rPr>
            </w:pPr>
            <w:r>
              <w:rPr>
                <w:rFonts w:ascii="Times New Roman;Times;serif" w:hAnsi="Times New Roman;Times;serif"/>
                <w:sz w:val="20"/>
              </w:rPr>
              <w:t>Foreign currency translation adjustments</w:t>
            </w:r>
          </w:p>
        </w:tc>
        <w:tc>
          <w:tcPr>
            <w:tcW w:w="60" w:type="dxa"/>
            <w:tcBorders/>
            <w:vAlign w:val="center"/>
          </w:tcPr>
          <w:p>
            <w:pPr>
              <w:pStyle w:val="TableContents"/>
              <w:bidi w:val="0"/>
              <w:spacing w:before="0" w:after="283"/>
              <w:jc w:val="left"/>
              <w:rPr/>
            </w:pPr>
            <w:r>
              <w:rPr/>
              <w:t> </w:t>
            </w:r>
          </w:p>
        </w:tc>
        <w:tc>
          <w:tcPr>
            <w:tcW w:w="125" w:type="dxa"/>
            <w:tcBorders>
              <w:bottom w:val="single" w:sz="12" w:space="0" w:color="000000"/>
            </w:tcBorders>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tcMar>
              <w:bottom w:w="28" w:type="dxa"/>
            </w:tcMar>
            <w:vAlign w:val="center"/>
          </w:tcPr>
          <w:p>
            <w:pPr>
              <w:pStyle w:val="TableContents"/>
              <w:bidi w:val="0"/>
              <w:spacing w:lineRule="auto" w:line="300" w:before="0" w:after="0"/>
              <w:jc w:val="right"/>
              <w:rPr/>
            </w:pPr>
            <w:r>
              <w:rPr/>
              <w:t>(12</w:t>
            </w:r>
          </w:p>
        </w:tc>
        <w:tc>
          <w:tcPr>
            <w:tcW w:w="80"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vAlign w:val="center"/>
          </w:tcPr>
          <w:p>
            <w:pPr>
              <w:pStyle w:val="TableContents"/>
              <w:bidi w:val="0"/>
              <w:spacing w:before="0" w:after="283"/>
              <w:jc w:val="left"/>
              <w:rPr/>
            </w:pPr>
            <w:r>
              <w:rPr/>
              <w:t> </w:t>
            </w:r>
          </w:p>
        </w:tc>
        <w:tc>
          <w:tcPr>
            <w:tcW w:w="125" w:type="dxa"/>
            <w:tcBorders>
              <w:bottom w:val="single" w:sz="12" w:space="0" w:color="000000"/>
            </w:tcBorders>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tcMar>
              <w:bottom w:w="28" w:type="dxa"/>
            </w:tcMar>
            <w:vAlign w:val="center"/>
          </w:tcPr>
          <w:p>
            <w:pPr>
              <w:pStyle w:val="TableContents"/>
              <w:bidi w:val="0"/>
              <w:spacing w:lineRule="auto" w:line="300" w:before="0" w:after="0"/>
              <w:jc w:val="right"/>
              <w:rPr/>
            </w:pPr>
            <w:r>
              <w:rPr/>
              <w:t>9,614</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bottom w:val="single" w:sz="12" w:space="0" w:color="000000"/>
            </w:tcBorders>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tcMar>
              <w:bottom w:w="28" w:type="dxa"/>
            </w:tcMar>
            <w:vAlign w:val="center"/>
          </w:tcPr>
          <w:p>
            <w:pPr>
              <w:pStyle w:val="TableContents"/>
              <w:bidi w:val="0"/>
              <w:spacing w:lineRule="auto" w:line="300" w:before="0" w:after="0"/>
              <w:jc w:val="right"/>
              <w:rPr/>
            </w:pPr>
            <w:r>
              <w:rPr/>
              <w:t>5,867</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bottom w:val="single" w:sz="12" w:space="0" w:color="000000"/>
            </w:tcBorders>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tcMar>
              <w:bottom w:w="28" w:type="dxa"/>
            </w:tcMar>
            <w:vAlign w:val="center"/>
          </w:tcPr>
          <w:p>
            <w:pPr>
              <w:pStyle w:val="TableContents"/>
              <w:bidi w:val="0"/>
              <w:spacing w:lineRule="auto" w:line="300" w:before="0" w:after="0"/>
              <w:jc w:val="right"/>
              <w:rPr/>
            </w:pPr>
            <w:r>
              <w:rPr/>
              <w:t>13,080</w:t>
            </w:r>
          </w:p>
        </w:tc>
        <w:tc>
          <w:tcPr>
            <w:tcW w:w="95" w:type="dxa"/>
            <w:tcBorders/>
            <w:vAlign w:val="center"/>
          </w:tcPr>
          <w:p>
            <w:pPr>
              <w:pStyle w:val="TableContents"/>
              <w:bidi w:val="0"/>
              <w:spacing w:before="0" w:after="283"/>
              <w:jc w:val="left"/>
              <w:rPr/>
            </w:pPr>
            <w:r>
              <w:rPr/>
              <w:t> </w:t>
            </w:r>
          </w:p>
        </w:tc>
      </w:tr>
      <w:tr>
        <w:trPr/>
        <w:tc>
          <w:tcPr>
            <w:tcW w:w="5870"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Total other comprehensive income, net of tax</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CCEEFF" w:val="clear"/>
            <w:tcMar>
              <w:bottom w:w="28" w:type="dxa"/>
            </w:tcMar>
            <w:vAlign w:val="center"/>
          </w:tcPr>
          <w:p>
            <w:pPr>
              <w:pStyle w:val="TableContents"/>
              <w:bidi w:val="0"/>
              <w:spacing w:lineRule="auto" w:line="300" w:before="0" w:after="0"/>
              <w:jc w:val="right"/>
              <w:rPr/>
            </w:pPr>
            <w:r>
              <w:rPr/>
              <w:t>3,876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CCEEFF" w:val="clear"/>
            <w:tcMar>
              <w:bottom w:w="28" w:type="dxa"/>
            </w:tcMar>
            <w:vAlign w:val="center"/>
          </w:tcPr>
          <w:p>
            <w:pPr>
              <w:pStyle w:val="TableContents"/>
              <w:bidi w:val="0"/>
              <w:spacing w:lineRule="auto" w:line="300" w:before="0" w:after="0"/>
              <w:jc w:val="right"/>
              <w:rPr/>
            </w:pPr>
            <w:r>
              <w:rPr/>
              <w:t>16,736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CCEEFF" w:val="clear"/>
            <w:tcMar>
              <w:bottom w:w="28" w:type="dxa"/>
            </w:tcMar>
            <w:vAlign w:val="center"/>
          </w:tcPr>
          <w:p>
            <w:pPr>
              <w:pStyle w:val="TableContents"/>
              <w:bidi w:val="0"/>
              <w:spacing w:lineRule="auto" w:line="300" w:before="0" w:after="0"/>
              <w:jc w:val="right"/>
              <w:rPr/>
            </w:pPr>
            <w:r>
              <w:rPr/>
              <w:t>20,476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CCEEFF" w:val="clear"/>
            <w:tcMar>
              <w:bottom w:w="28" w:type="dxa"/>
            </w:tcMar>
            <w:vAlign w:val="center"/>
          </w:tcPr>
          <w:p>
            <w:pPr>
              <w:pStyle w:val="TableContents"/>
              <w:bidi w:val="0"/>
              <w:spacing w:lineRule="auto" w:line="300" w:before="0" w:after="0"/>
              <w:jc w:val="right"/>
              <w:rPr/>
            </w:pPr>
            <w:r>
              <w:rPr/>
              <w:t>18,609</w:t>
            </w:r>
          </w:p>
        </w:tc>
        <w:tc>
          <w:tcPr>
            <w:tcW w:w="95" w:type="dxa"/>
            <w:tcBorders/>
            <w:shd w:fill="CCEEFF" w:val="clear"/>
            <w:vAlign w:val="center"/>
          </w:tcPr>
          <w:p>
            <w:pPr>
              <w:pStyle w:val="TableContents"/>
              <w:bidi w:val="0"/>
              <w:spacing w:before="0" w:after="283"/>
              <w:jc w:val="left"/>
              <w:rPr/>
            </w:pPr>
            <w:r>
              <w:rPr/>
              <w:t> </w:t>
            </w:r>
          </w:p>
        </w:tc>
      </w:tr>
      <w:tr>
        <w:trPr/>
        <w:tc>
          <w:tcPr>
            <w:tcW w:w="5870"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Comprehensive loss</w:t>
            </w:r>
          </w:p>
        </w:tc>
        <w:tc>
          <w:tcPr>
            <w:tcW w:w="60" w:type="dxa"/>
            <w:tcBorders/>
            <w:vAlign w:val="center"/>
          </w:tcPr>
          <w:p>
            <w:pPr>
              <w:pStyle w:val="TableContents"/>
              <w:bidi w:val="0"/>
              <w:spacing w:before="0" w:after="283"/>
              <w:jc w:val="left"/>
              <w:rPr/>
            </w:pPr>
            <w:r>
              <w:rPr/>
              <w:t> </w:t>
            </w:r>
          </w:p>
        </w:tc>
        <w:tc>
          <w:tcPr>
            <w:tcW w:w="125" w:type="dxa"/>
            <w:tcBorders>
              <w:bottom w:val="double" w:sz="8" w:space="0" w:color="000000"/>
            </w:tcBorders>
            <w:tcMar>
              <w:bottom w:w="28" w:type="dxa"/>
            </w:tcM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755" w:type="dxa"/>
            <w:tcBorders>
              <w:bottom w:val="double" w:sz="8" w:space="0" w:color="000000"/>
            </w:tcBorders>
            <w:tcMar>
              <w:bottom w:w="28" w:type="dxa"/>
            </w:tcMar>
            <w:vAlign w:val="center"/>
          </w:tcPr>
          <w:p>
            <w:pPr>
              <w:pStyle w:val="TableContents"/>
              <w:bidi w:val="0"/>
              <w:spacing w:lineRule="auto" w:line="300" w:before="0" w:after="0"/>
              <w:jc w:val="right"/>
              <w:rPr/>
            </w:pPr>
            <w:r>
              <w:rPr/>
              <w:t>(26,877</w:t>
            </w:r>
          </w:p>
        </w:tc>
        <w:tc>
          <w:tcPr>
            <w:tcW w:w="80"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vAlign w:val="center"/>
          </w:tcPr>
          <w:p>
            <w:pPr>
              <w:pStyle w:val="TableContents"/>
              <w:bidi w:val="0"/>
              <w:spacing w:before="0" w:after="283"/>
              <w:jc w:val="left"/>
              <w:rPr/>
            </w:pPr>
            <w:r>
              <w:rPr/>
              <w:t> </w:t>
            </w:r>
          </w:p>
        </w:tc>
        <w:tc>
          <w:tcPr>
            <w:tcW w:w="125" w:type="dxa"/>
            <w:tcBorders>
              <w:bottom w:val="double" w:sz="8" w:space="0" w:color="000000"/>
            </w:tcBorders>
            <w:tcMar>
              <w:bottom w:w="28" w:type="dxa"/>
            </w:tcM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875" w:type="dxa"/>
            <w:tcBorders>
              <w:bottom w:val="double" w:sz="8" w:space="0" w:color="000000"/>
            </w:tcBorders>
            <w:tcMar>
              <w:bottom w:w="28" w:type="dxa"/>
            </w:tcMar>
            <w:vAlign w:val="center"/>
          </w:tcPr>
          <w:p>
            <w:pPr>
              <w:pStyle w:val="TableContents"/>
              <w:bidi w:val="0"/>
              <w:spacing w:lineRule="auto" w:line="300" w:before="0" w:after="0"/>
              <w:jc w:val="right"/>
              <w:rPr/>
            </w:pPr>
            <w:r>
              <w:rPr/>
              <w:t>(108,008</w:t>
            </w:r>
          </w:p>
        </w:tc>
        <w:tc>
          <w:tcPr>
            <w:tcW w:w="80"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vAlign w:val="center"/>
          </w:tcPr>
          <w:p>
            <w:pPr>
              <w:pStyle w:val="TableContents"/>
              <w:bidi w:val="0"/>
              <w:spacing w:before="0" w:after="283"/>
              <w:jc w:val="left"/>
              <w:rPr/>
            </w:pPr>
            <w:r>
              <w:rPr/>
              <w:t> </w:t>
            </w:r>
          </w:p>
        </w:tc>
        <w:tc>
          <w:tcPr>
            <w:tcW w:w="125" w:type="dxa"/>
            <w:tcBorders>
              <w:bottom w:val="double" w:sz="8" w:space="0" w:color="000000"/>
            </w:tcBorders>
            <w:tcMar>
              <w:bottom w:w="28" w:type="dxa"/>
            </w:tcM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755" w:type="dxa"/>
            <w:tcBorders>
              <w:bottom w:val="double" w:sz="8" w:space="0" w:color="000000"/>
            </w:tcBorders>
            <w:tcMar>
              <w:bottom w:w="28" w:type="dxa"/>
            </w:tcMar>
            <w:vAlign w:val="center"/>
          </w:tcPr>
          <w:p>
            <w:pPr>
              <w:pStyle w:val="TableContents"/>
              <w:bidi w:val="0"/>
              <w:spacing w:lineRule="auto" w:line="300" w:before="0" w:after="0"/>
              <w:jc w:val="right"/>
              <w:rPr/>
            </w:pPr>
            <w:r>
              <w:rPr/>
              <w:t>(67,643</w:t>
            </w:r>
          </w:p>
        </w:tc>
        <w:tc>
          <w:tcPr>
            <w:tcW w:w="80"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vAlign w:val="center"/>
          </w:tcPr>
          <w:p>
            <w:pPr>
              <w:pStyle w:val="TableContents"/>
              <w:bidi w:val="0"/>
              <w:spacing w:before="0" w:after="283"/>
              <w:jc w:val="left"/>
              <w:rPr/>
            </w:pPr>
            <w:r>
              <w:rPr/>
              <w:t> </w:t>
            </w:r>
          </w:p>
        </w:tc>
        <w:tc>
          <w:tcPr>
            <w:tcW w:w="125" w:type="dxa"/>
            <w:tcBorders>
              <w:bottom w:val="double" w:sz="8" w:space="0" w:color="000000"/>
            </w:tcBorders>
            <w:tcMar>
              <w:bottom w:w="28" w:type="dxa"/>
            </w:tcM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875" w:type="dxa"/>
            <w:tcBorders>
              <w:bottom w:val="double" w:sz="8" w:space="0" w:color="000000"/>
            </w:tcBorders>
            <w:tcMar>
              <w:bottom w:w="28" w:type="dxa"/>
            </w:tcMar>
            <w:vAlign w:val="center"/>
          </w:tcPr>
          <w:p>
            <w:pPr>
              <w:pStyle w:val="TableContents"/>
              <w:bidi w:val="0"/>
              <w:spacing w:lineRule="auto" w:line="300" w:before="0" w:after="0"/>
              <w:jc w:val="right"/>
              <w:rPr/>
            </w:pPr>
            <w:r>
              <w:rPr/>
              <w:t>(204,658</w:t>
            </w:r>
          </w:p>
        </w:tc>
        <w:tc>
          <w:tcPr>
            <w:tcW w:w="95"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lineRule="auto" w:line="300" w:before="0" w:after="0"/>
        <w:jc w:val="left"/>
        <w:rPr/>
      </w:pPr>
      <w:r>
        <w:rPr/>
        <w:t> </w:t>
      </w:r>
    </w:p>
    <w:p>
      <w:pPr>
        <w:pStyle w:val="TextBody"/>
        <w:bidi w:val="0"/>
        <w:spacing w:lineRule="auto" w:line="300" w:before="0" w:after="0"/>
        <w:ind w:left="0" w:right="0" w:firstLine="360"/>
        <w:jc w:val="both"/>
        <w:rPr>
          <w:rFonts w:ascii="Times New Roman;Times;serif" w:hAnsi="Times New Roman;Times;serif"/>
          <w:sz w:val="20"/>
        </w:rPr>
      </w:pPr>
      <w:r>
        <w:rPr>
          <w:rFonts w:ascii="Times New Roman;Times;serif" w:hAnsi="Times New Roman;Times;serif"/>
          <w:sz w:val="20"/>
        </w:rPr>
        <w:t>The accompanying notes are an integral part of the condensed consolidated financial statements.</w:t>
      </w:r>
    </w:p>
    <w:p>
      <w:pPr>
        <w:pStyle w:val="TextBody"/>
        <w:bidi w:val="0"/>
        <w:spacing w:lineRule="auto" w:line="300" w:before="0" w:after="0"/>
        <w:ind w:left="0" w:right="0" w:firstLine="360"/>
        <w:jc w:val="both"/>
        <w:rPr/>
      </w:pPr>
      <w:r>
        <w:rPr/>
        <w:t> </w:t>
      </w:r>
    </w:p>
    <w:p>
      <w:pPr>
        <w:pStyle w:val="TextBody"/>
        <w:bidi w:val="0"/>
        <w:spacing w:before="200" w:after="20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SOLAREDGE TECHNOLOGIES INC. | 2026 Form 10-Q | F - 4</w:t>
      </w:r>
    </w:p>
    <w:p>
      <w:pPr>
        <w:pStyle w:val="HorizontalLine"/>
        <w:bidi w:val="0"/>
        <w:spacing w:before="200" w:after="200"/>
        <w:jc w:val="left"/>
        <w:rPr/>
      </w:pPr>
      <w:r>
        <w:rPr/>
      </w:r>
    </w:p>
    <w:p>
      <w:pPr>
        <w:pStyle w:val="TextBody"/>
        <w:bidi w:val="0"/>
        <w:spacing w:lineRule="auto" w:line="300" w:before="0" w:after="0"/>
        <w:jc w:val="left"/>
        <w:rPr/>
      </w:pPr>
      <w:r>
        <w:rPr/>
        <w:t> </w:t>
      </w:r>
    </w:p>
    <w:p>
      <w:pPr>
        <w:pStyle w:val="TextBody"/>
        <w:bidi w:val="0"/>
        <w:spacing w:lineRule="auto" w:line="300" w:before="0" w:after="0"/>
        <w:ind w:left="0" w:right="0" w:firstLine="360"/>
        <w:jc w:val="center"/>
        <w:rPr>
          <w:rFonts w:ascii="Times New Roman;Times;serif" w:hAnsi="Times New Roman;Times;serif"/>
          <w:b/>
          <w:sz w:val="20"/>
        </w:rPr>
      </w:pPr>
      <w:r>
        <w:rPr>
          <w:rFonts w:ascii="Times New Roman;Times;serif" w:hAnsi="Times New Roman;Times;serif"/>
          <w:b/>
          <w:sz w:val="20"/>
        </w:rPr>
        <w:t>SOLAREDGE TECHNOLOGIES, INC.</w:t>
      </w:r>
    </w:p>
    <w:p>
      <w:pPr>
        <w:pStyle w:val="TextBody"/>
        <w:bidi w:val="0"/>
        <w:spacing w:lineRule="auto" w:line="300" w:before="0" w:after="0"/>
        <w:jc w:val="left"/>
        <w:rPr/>
      </w:pPr>
      <w:r>
        <w:rPr/>
        <w:t> </w:t>
      </w:r>
    </w:p>
    <w:p>
      <w:pPr>
        <w:pStyle w:val="TextBody"/>
        <w:bidi w:val="0"/>
        <w:spacing w:lineRule="auto" w:line="300" w:before="0" w:after="0"/>
        <w:ind w:left="0" w:right="0" w:firstLine="360"/>
        <w:jc w:val="center"/>
        <w:rPr>
          <w:rFonts w:ascii="Times New Roman;Times;serif" w:hAnsi="Times New Roman;Times;serif"/>
          <w:b/>
          <w:sz w:val="20"/>
        </w:rPr>
      </w:pPr>
      <w:r>
        <w:rPr>
          <w:rFonts w:ascii="Times New Roman;Times;serif" w:hAnsi="Times New Roman;Times;serif"/>
          <w:b/>
          <w:sz w:val="20"/>
        </w:rPr>
        <w:t>CONDENSED CONSOLIDATED STATEMENTS OF STOCKHOLDERS’ E</w:t>
      </w:r>
      <w:bookmarkStart w:id="8" w:name="QUITY"/>
      <w:bookmarkEnd w:id="8"/>
      <w:r>
        <w:rPr>
          <w:rFonts w:ascii="Times New Roman;Times;serif" w:hAnsi="Times New Roman;Times;serif"/>
          <w:b/>
          <w:sz w:val="20"/>
        </w:rPr>
        <w:t>QUITY (Unaudited)</w:t>
      </w:r>
    </w:p>
    <w:p>
      <w:pPr>
        <w:pStyle w:val="TextBody"/>
        <w:bidi w:val="0"/>
        <w:spacing w:lineRule="auto" w:line="300" w:before="0" w:after="0"/>
        <w:jc w:val="left"/>
        <w:rPr/>
      </w:pPr>
      <w:r>
        <w:rPr/>
        <w:t> </w:t>
      </w:r>
    </w:p>
    <w:p>
      <w:pPr>
        <w:pStyle w:val="TextBody"/>
        <w:bidi w:val="0"/>
        <w:spacing w:lineRule="auto" w:line="300" w:before="0" w:after="0"/>
        <w:ind w:left="0" w:right="0" w:firstLine="360"/>
        <w:jc w:val="center"/>
        <w:rPr>
          <w:rFonts w:ascii="Times New Roman;Times;serif" w:hAnsi="Times New Roman;Times;serif"/>
          <w:b/>
          <w:sz w:val="20"/>
        </w:rPr>
      </w:pPr>
      <w:r>
        <w:rPr>
          <w:rFonts w:ascii="Times New Roman;Times;serif" w:hAnsi="Times New Roman;Times;serif"/>
          <w:b/>
          <w:sz w:val="20"/>
        </w:rPr>
        <w:t>(in thousands, except per share data)</w:t>
      </w:r>
    </w:p>
    <w:p>
      <w:pPr>
        <w:pStyle w:val="TextBody"/>
        <w:bidi w:val="0"/>
        <w:spacing w:lineRule="auto" w:line="300"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564"/>
        <w:gridCol w:w="60"/>
        <w:gridCol w:w="60"/>
        <w:gridCol w:w="1100"/>
        <w:gridCol w:w="60"/>
        <w:gridCol w:w="60"/>
        <w:gridCol w:w="327"/>
        <w:gridCol w:w="368"/>
        <w:gridCol w:w="60"/>
        <w:gridCol w:w="60"/>
        <w:gridCol w:w="141"/>
        <w:gridCol w:w="1111"/>
        <w:gridCol w:w="60"/>
        <w:gridCol w:w="60"/>
        <w:gridCol w:w="205"/>
        <w:gridCol w:w="1253"/>
        <w:gridCol w:w="80"/>
        <w:gridCol w:w="60"/>
        <w:gridCol w:w="143"/>
        <w:gridCol w:w="1209"/>
        <w:gridCol w:w="80"/>
        <w:gridCol w:w="60"/>
        <w:gridCol w:w="125"/>
        <w:gridCol w:w="800"/>
        <w:gridCol w:w="99"/>
      </w:tblGrid>
      <w:tr>
        <w:trPr/>
        <w:tc>
          <w:tcPr>
            <w:tcW w:w="256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75" w:type="dxa"/>
            <w:gridSpan w:val="6"/>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Common stock</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2" w:type="dxa"/>
            <w:gridSpan w:val="2"/>
            <w:vMerge w:val="restart"/>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Additional paid in</w:t>
            </w:r>
          </w:p>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Capital</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58" w:type="dxa"/>
            <w:gridSpan w:val="2"/>
            <w:vMerge w:val="restart"/>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Accumulated</w:t>
            </w:r>
          </w:p>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other comprehensive</w:t>
            </w:r>
          </w:p>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income (loss)</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52" w:type="dxa"/>
            <w:gridSpan w:val="2"/>
            <w:vMerge w:val="restart"/>
            <w:tcBorders>
              <w:bottom w:val="single" w:sz="12" w:space="0" w:color="000000"/>
            </w:tcBorders>
            <w:tcMar>
              <w:bottom w:w="28" w:type="dxa"/>
            </w:tcMar>
            <w:vAlign w:val="center"/>
          </w:tcPr>
          <w:p>
            <w:pPr>
              <w:pStyle w:val="TableContents"/>
              <w:bidi w:val="0"/>
              <w:spacing w:before="0" w:after="0"/>
              <w:jc w:val="left"/>
              <w:rPr/>
            </w:pPr>
            <w:r>
              <w:rPr/>
              <w:t> </w:t>
            </w:r>
          </w:p>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Accumulated deficit</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25" w:type="dxa"/>
            <w:gridSpan w:val="2"/>
            <w:vMerge w:val="restart"/>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Total</w:t>
            </w:r>
          </w:p>
        </w:tc>
        <w:tc>
          <w:tcPr>
            <w:tcW w:w="99" w:type="dxa"/>
            <w:tcBorders/>
            <w:vAlign w:val="center"/>
          </w:tcPr>
          <w:p>
            <w:pPr>
              <w:pStyle w:val="TableContents"/>
              <w:bidi w:val="0"/>
              <w:spacing w:before="0" w:after="283"/>
              <w:jc w:val="left"/>
              <w:rPr/>
            </w:pPr>
            <w:r>
              <w:rPr/>
              <w:t> </w:t>
            </w:r>
          </w:p>
        </w:tc>
      </w:tr>
      <w:tr>
        <w:trPr/>
        <w:tc>
          <w:tcPr>
            <w:tcW w:w="256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Number</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95"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2" w:type="dxa"/>
            <w:gridSpan w:val="2"/>
            <w:vMerge w:val="continue"/>
            <w:tcBorders>
              <w:bottom w:val="single" w:sz="12" w:space="0" w:color="000000"/>
            </w:tcBorders>
            <w:tcMar>
              <w:bottom w:w="28" w:type="dxa"/>
            </w:tcMar>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58" w:type="dxa"/>
            <w:gridSpan w:val="2"/>
            <w:vMerge w:val="continue"/>
            <w:tcBorders>
              <w:bottom w:val="single" w:sz="12" w:space="0" w:color="000000"/>
            </w:tcBorders>
            <w:tcMar>
              <w:bottom w:w="28" w:type="dxa"/>
            </w:tcMar>
            <w:vAlign w:val="center"/>
          </w:tcPr>
          <w:p>
            <w:pPr>
              <w:pStyle w:val="Normal"/>
              <w:bidi w:val="0"/>
              <w:jc w:val="left"/>
              <w:rPr/>
            </w:pPr>
            <w:r>
              <w:rPr/>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52" w:type="dxa"/>
            <w:gridSpan w:val="2"/>
            <w:vMerge w:val="continue"/>
            <w:tcBorders>
              <w:bottom w:val="single" w:sz="12" w:space="0" w:color="000000"/>
            </w:tcBorders>
            <w:tcMar>
              <w:bottom w:w="28" w:type="dxa"/>
            </w:tcMar>
            <w:vAlign w:val="center"/>
          </w:tcPr>
          <w:p>
            <w:pPr>
              <w:pStyle w:val="Normal"/>
              <w:bidi w:val="0"/>
              <w:jc w:val="left"/>
              <w:rPr/>
            </w:pPr>
            <w:r>
              <w:rPr/>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25" w:type="dxa"/>
            <w:gridSpan w:val="2"/>
            <w:vMerge w:val="continue"/>
            <w:tcBorders>
              <w:bottom w:val="single" w:sz="12" w:space="0" w:color="000000"/>
            </w:tcBorders>
            <w:tcMar>
              <w:bottom w:w="28" w:type="dxa"/>
            </w:tcMar>
            <w:vAlign w:val="center"/>
          </w:tcPr>
          <w:p>
            <w:pPr>
              <w:pStyle w:val="Normal"/>
              <w:bidi w:val="0"/>
              <w:jc w:val="left"/>
              <w:rPr/>
            </w:pPr>
            <w:r>
              <w:rPr/>
            </w:r>
          </w:p>
        </w:tc>
        <w:tc>
          <w:tcPr>
            <w:tcW w:w="99" w:type="dxa"/>
            <w:tcBorders/>
            <w:vAlign w:val="center"/>
          </w:tcPr>
          <w:p>
            <w:pPr>
              <w:pStyle w:val="TableContents"/>
              <w:bidi w:val="0"/>
              <w:spacing w:before="0" w:after="283"/>
              <w:jc w:val="left"/>
              <w:rPr/>
            </w:pPr>
            <w:r>
              <w:rPr/>
              <w:t> </w:t>
            </w:r>
          </w:p>
        </w:tc>
      </w:tr>
      <w:tr>
        <w:trPr/>
        <w:tc>
          <w:tcPr>
            <w:tcW w:w="2564"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Balance as of January 1, 2026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lineRule="auto" w:line="300" w:before="0" w:after="0"/>
              <w:jc w:val="right"/>
              <w:rPr/>
            </w:pPr>
            <w:r>
              <w:rPr/>
              <w:t>60,360,154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27"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368" w:type="dxa"/>
            <w:tcBorders/>
            <w:shd w:fill="CCEEFF" w:val="clear"/>
            <w:vAlign w:val="center"/>
          </w:tcPr>
          <w:p>
            <w:pPr>
              <w:pStyle w:val="TableContents"/>
              <w:bidi w:val="0"/>
              <w:spacing w:lineRule="auto" w:line="300" w:before="0" w:after="0"/>
              <w:jc w:val="right"/>
              <w:rPr/>
            </w:pPr>
            <w:r>
              <w:rPr/>
              <w:t>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1111" w:type="dxa"/>
            <w:tcBorders/>
            <w:shd w:fill="CCEEFF" w:val="clear"/>
            <w:vAlign w:val="center"/>
          </w:tcPr>
          <w:p>
            <w:pPr>
              <w:pStyle w:val="TableContents"/>
              <w:bidi w:val="0"/>
              <w:spacing w:lineRule="auto" w:line="300" w:before="0" w:after="0"/>
              <w:jc w:val="right"/>
              <w:rPr/>
            </w:pPr>
            <w:r>
              <w:rPr/>
              <w:t>1,872,760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5"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1253" w:type="dxa"/>
            <w:tcBorders/>
            <w:shd w:fill="CCEEFF" w:val="clear"/>
            <w:vAlign w:val="center"/>
          </w:tcPr>
          <w:p>
            <w:pPr>
              <w:pStyle w:val="TableContents"/>
              <w:bidi w:val="0"/>
              <w:spacing w:lineRule="auto" w:line="300" w:before="0" w:after="0"/>
              <w:jc w:val="right"/>
              <w:rPr/>
            </w:pPr>
            <w:r>
              <w:rPr/>
              <w:t>(11,663</w:t>
            </w:r>
          </w:p>
        </w:tc>
        <w:tc>
          <w:tcPr>
            <w:tcW w:w="80"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1209" w:type="dxa"/>
            <w:tcBorders/>
            <w:shd w:fill="CCEEFF" w:val="clear"/>
            <w:vAlign w:val="center"/>
          </w:tcPr>
          <w:p>
            <w:pPr>
              <w:pStyle w:val="TableContents"/>
              <w:bidi w:val="0"/>
              <w:spacing w:lineRule="auto" w:line="300" w:before="0" w:after="0"/>
              <w:jc w:val="right"/>
              <w:rPr/>
            </w:pPr>
            <w:r>
              <w:rPr/>
              <w:t>(1,433,639</w:t>
            </w:r>
          </w:p>
        </w:tc>
        <w:tc>
          <w:tcPr>
            <w:tcW w:w="80"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800" w:type="dxa"/>
            <w:tcBorders/>
            <w:shd w:fill="CCEEFF" w:val="clear"/>
            <w:vAlign w:val="center"/>
          </w:tcPr>
          <w:p>
            <w:pPr>
              <w:pStyle w:val="TableContents"/>
              <w:bidi w:val="0"/>
              <w:spacing w:lineRule="auto" w:line="300" w:before="0" w:after="0"/>
              <w:jc w:val="right"/>
              <w:rPr/>
            </w:pPr>
            <w:r>
              <w:rPr/>
              <w:t>427,464</w:t>
            </w:r>
          </w:p>
        </w:tc>
        <w:tc>
          <w:tcPr>
            <w:tcW w:w="99" w:type="dxa"/>
            <w:tcBorders/>
            <w:shd w:fill="CCEEFF" w:val="clear"/>
            <w:vAlign w:val="center"/>
          </w:tcPr>
          <w:p>
            <w:pPr>
              <w:pStyle w:val="TableContents"/>
              <w:bidi w:val="0"/>
              <w:spacing w:before="0" w:after="283"/>
              <w:jc w:val="left"/>
              <w:rPr/>
            </w:pPr>
            <w:r>
              <w:rPr/>
              <w:t> </w:t>
            </w:r>
          </w:p>
        </w:tc>
      </w:tr>
      <w:tr>
        <w:trPr/>
        <w:tc>
          <w:tcPr>
            <w:tcW w:w="2564"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Issuance of common stock upon exercise of stock-based awards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lineRule="auto" w:line="300" w:before="0" w:after="0"/>
              <w:jc w:val="right"/>
              <w:rPr/>
            </w:pPr>
            <w:r>
              <w:rPr/>
              <w:t>457,776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7" w:type="dxa"/>
            <w:tcBorders/>
            <w:vAlign w:val="center"/>
          </w:tcPr>
          <w:p>
            <w:pPr>
              <w:pStyle w:val="TableContents"/>
              <w:bidi w:val="0"/>
              <w:spacing w:before="0" w:after="283"/>
              <w:jc w:val="left"/>
              <w:rPr/>
            </w:pPr>
            <w:r>
              <w:rPr/>
              <w:t> </w:t>
            </w:r>
          </w:p>
        </w:tc>
        <w:tc>
          <w:tcPr>
            <w:tcW w:w="368" w:type="dxa"/>
            <w:tcBorders/>
            <w:vAlign w:val="center"/>
          </w:tcPr>
          <w:p>
            <w:pPr>
              <w:pStyle w:val="TableContents"/>
              <w:bidi w:val="0"/>
              <w:spacing w:lineRule="auto" w:line="300" w:before="0" w:after="0"/>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 w:type="dxa"/>
            <w:tcBorders/>
            <w:vAlign w:val="center"/>
          </w:tcPr>
          <w:p>
            <w:pPr>
              <w:pStyle w:val="TableContents"/>
              <w:bidi w:val="0"/>
              <w:spacing w:before="0" w:after="283"/>
              <w:jc w:val="left"/>
              <w:rPr/>
            </w:pPr>
            <w:r>
              <w:rPr/>
              <w:t> </w:t>
            </w:r>
          </w:p>
        </w:tc>
        <w:tc>
          <w:tcPr>
            <w:tcW w:w="1111" w:type="dxa"/>
            <w:tcBorders/>
            <w:vAlign w:val="center"/>
          </w:tcPr>
          <w:p>
            <w:pPr>
              <w:pStyle w:val="TableContents"/>
              <w:bidi w:val="0"/>
              <w:spacing w:lineRule="auto" w:line="300" w:before="0" w:after="0"/>
              <w:jc w:val="right"/>
              <w:rPr/>
            </w:pPr>
            <w:r>
              <w:rPr/>
              <w:t>3,850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5" w:type="dxa"/>
            <w:tcBorders/>
            <w:vAlign w:val="center"/>
          </w:tcPr>
          <w:p>
            <w:pPr>
              <w:pStyle w:val="TableContents"/>
              <w:bidi w:val="0"/>
              <w:spacing w:before="0" w:after="283"/>
              <w:jc w:val="left"/>
              <w:rPr/>
            </w:pPr>
            <w:r>
              <w:rPr/>
              <w:t> </w:t>
            </w:r>
          </w:p>
        </w:tc>
        <w:tc>
          <w:tcPr>
            <w:tcW w:w="1253" w:type="dxa"/>
            <w:tcBorders/>
            <w:vAlign w:val="center"/>
          </w:tcPr>
          <w:p>
            <w:pPr>
              <w:pStyle w:val="TableContents"/>
              <w:bidi w:val="0"/>
              <w:spacing w:lineRule="auto" w:line="300" w:before="0" w:after="0"/>
              <w:jc w:val="right"/>
              <w:rPr/>
            </w:pPr>
            <w:r>
              <w:rPr/>
              <w:t>-</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3" w:type="dxa"/>
            <w:tcBorders/>
            <w:vAlign w:val="center"/>
          </w:tcPr>
          <w:p>
            <w:pPr>
              <w:pStyle w:val="TableContents"/>
              <w:bidi w:val="0"/>
              <w:spacing w:before="0" w:after="283"/>
              <w:jc w:val="left"/>
              <w:rPr/>
            </w:pPr>
            <w:r>
              <w:rPr/>
              <w:t> </w:t>
            </w:r>
          </w:p>
        </w:tc>
        <w:tc>
          <w:tcPr>
            <w:tcW w:w="1209" w:type="dxa"/>
            <w:tcBorders/>
            <w:vAlign w:val="center"/>
          </w:tcPr>
          <w:p>
            <w:pPr>
              <w:pStyle w:val="TableContents"/>
              <w:bidi w:val="0"/>
              <w:spacing w:lineRule="auto" w:line="300" w:before="0" w:after="0"/>
              <w:jc w:val="right"/>
              <w:rPr/>
            </w:pPr>
            <w:r>
              <w:rPr/>
              <w:t>-</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lineRule="auto" w:line="300" w:before="0" w:after="0"/>
              <w:jc w:val="right"/>
              <w:rPr/>
            </w:pPr>
            <w:r>
              <w:rPr/>
              <w:t>3,850</w:t>
            </w:r>
          </w:p>
        </w:tc>
        <w:tc>
          <w:tcPr>
            <w:tcW w:w="99" w:type="dxa"/>
            <w:tcBorders/>
            <w:vAlign w:val="center"/>
          </w:tcPr>
          <w:p>
            <w:pPr>
              <w:pStyle w:val="TableContents"/>
              <w:bidi w:val="0"/>
              <w:spacing w:before="0" w:after="283"/>
              <w:jc w:val="left"/>
              <w:rPr/>
            </w:pPr>
            <w:r>
              <w:rPr/>
              <w:t> </w:t>
            </w:r>
          </w:p>
        </w:tc>
      </w:tr>
      <w:tr>
        <w:trPr/>
        <w:tc>
          <w:tcPr>
            <w:tcW w:w="2564"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Stock-based compensation</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27" w:type="dxa"/>
            <w:tcBorders/>
            <w:shd w:fill="CCEEFF" w:val="clear"/>
            <w:vAlign w:val="center"/>
          </w:tcPr>
          <w:p>
            <w:pPr>
              <w:pStyle w:val="TableContents"/>
              <w:bidi w:val="0"/>
              <w:spacing w:before="0" w:after="283"/>
              <w:jc w:val="left"/>
              <w:rPr/>
            </w:pPr>
            <w:r>
              <w:rPr/>
              <w:t> </w:t>
            </w:r>
          </w:p>
        </w:tc>
        <w:tc>
          <w:tcPr>
            <w:tcW w:w="368" w:type="dxa"/>
            <w:tcBorders/>
            <w:shd w:fill="CCEEFF" w:val="clear"/>
            <w:vAlign w:val="center"/>
          </w:tcPr>
          <w:p>
            <w:pPr>
              <w:pStyle w:val="TableContents"/>
              <w:bidi w:val="0"/>
              <w:spacing w:lineRule="auto" w:line="300" w:before="0" w:after="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1111" w:type="dxa"/>
            <w:tcBorders/>
            <w:shd w:fill="CCEEFF" w:val="clear"/>
            <w:vAlign w:val="center"/>
          </w:tcPr>
          <w:p>
            <w:pPr>
              <w:pStyle w:val="TableContents"/>
              <w:bidi w:val="0"/>
              <w:spacing w:lineRule="auto" w:line="300" w:before="0" w:after="0"/>
              <w:jc w:val="right"/>
              <w:rPr/>
            </w:pPr>
            <w:r>
              <w:rPr/>
              <w:t>20,172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5" w:type="dxa"/>
            <w:tcBorders/>
            <w:shd w:fill="CCEEFF" w:val="clear"/>
            <w:vAlign w:val="center"/>
          </w:tcPr>
          <w:p>
            <w:pPr>
              <w:pStyle w:val="TableContents"/>
              <w:bidi w:val="0"/>
              <w:spacing w:before="0" w:after="283"/>
              <w:jc w:val="left"/>
              <w:rPr/>
            </w:pPr>
            <w:r>
              <w:rPr/>
              <w:t> </w:t>
            </w:r>
          </w:p>
        </w:tc>
        <w:tc>
          <w:tcPr>
            <w:tcW w:w="1253" w:type="dxa"/>
            <w:tcBorders/>
            <w:shd w:fill="CCEEFF" w:val="clear"/>
            <w:vAlign w:val="center"/>
          </w:tcPr>
          <w:p>
            <w:pPr>
              <w:pStyle w:val="TableContents"/>
              <w:bidi w:val="0"/>
              <w:spacing w:lineRule="auto" w:line="300" w:before="0" w:after="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1209" w:type="dxa"/>
            <w:tcBorders/>
            <w:shd w:fill="CCEEFF" w:val="clear"/>
            <w:vAlign w:val="center"/>
          </w:tcPr>
          <w:p>
            <w:pPr>
              <w:pStyle w:val="TableContents"/>
              <w:bidi w:val="0"/>
              <w:spacing w:lineRule="auto" w:line="300" w:before="0" w:after="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lineRule="auto" w:line="300" w:before="0" w:after="0"/>
              <w:jc w:val="right"/>
              <w:rPr/>
            </w:pPr>
            <w:r>
              <w:rPr/>
              <w:t>20,172</w:t>
            </w:r>
          </w:p>
        </w:tc>
        <w:tc>
          <w:tcPr>
            <w:tcW w:w="99" w:type="dxa"/>
            <w:tcBorders/>
            <w:shd w:fill="CCEEFF" w:val="clear"/>
            <w:vAlign w:val="center"/>
          </w:tcPr>
          <w:p>
            <w:pPr>
              <w:pStyle w:val="TableContents"/>
              <w:bidi w:val="0"/>
              <w:spacing w:before="0" w:after="283"/>
              <w:jc w:val="left"/>
              <w:rPr/>
            </w:pPr>
            <w:r>
              <w:rPr/>
              <w:t> </w:t>
            </w:r>
          </w:p>
        </w:tc>
      </w:tr>
      <w:tr>
        <w:trPr/>
        <w:tc>
          <w:tcPr>
            <w:tcW w:w="2564"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Other comprehensive income, net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7" w:type="dxa"/>
            <w:tcBorders/>
            <w:vAlign w:val="center"/>
          </w:tcPr>
          <w:p>
            <w:pPr>
              <w:pStyle w:val="TableContents"/>
              <w:bidi w:val="0"/>
              <w:spacing w:before="0" w:after="283"/>
              <w:jc w:val="left"/>
              <w:rPr/>
            </w:pPr>
            <w:r>
              <w:rPr/>
              <w:t> </w:t>
            </w:r>
          </w:p>
        </w:tc>
        <w:tc>
          <w:tcPr>
            <w:tcW w:w="368" w:type="dxa"/>
            <w:tcBorders/>
            <w:vAlign w:val="center"/>
          </w:tcPr>
          <w:p>
            <w:pPr>
              <w:pStyle w:val="TableContents"/>
              <w:bidi w:val="0"/>
              <w:spacing w:lineRule="auto" w:line="300" w:before="0" w:after="0"/>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 w:type="dxa"/>
            <w:tcBorders/>
            <w:vAlign w:val="center"/>
          </w:tcPr>
          <w:p>
            <w:pPr>
              <w:pStyle w:val="TableContents"/>
              <w:bidi w:val="0"/>
              <w:spacing w:before="0" w:after="283"/>
              <w:jc w:val="left"/>
              <w:rPr/>
            </w:pPr>
            <w:r>
              <w:rPr/>
              <w:t> </w:t>
            </w:r>
          </w:p>
        </w:tc>
        <w:tc>
          <w:tcPr>
            <w:tcW w:w="1111" w:type="dxa"/>
            <w:tcBorders/>
            <w:vAlign w:val="center"/>
          </w:tcPr>
          <w:p>
            <w:pPr>
              <w:pStyle w:val="TableContents"/>
              <w:bidi w:val="0"/>
              <w:spacing w:lineRule="auto" w:line="300" w:before="0" w:after="0"/>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5" w:type="dxa"/>
            <w:tcBorders/>
            <w:vAlign w:val="center"/>
          </w:tcPr>
          <w:p>
            <w:pPr>
              <w:pStyle w:val="TableContents"/>
              <w:bidi w:val="0"/>
              <w:spacing w:before="0" w:after="283"/>
              <w:jc w:val="left"/>
              <w:rPr/>
            </w:pPr>
            <w:r>
              <w:rPr/>
              <w:t> </w:t>
            </w:r>
          </w:p>
        </w:tc>
        <w:tc>
          <w:tcPr>
            <w:tcW w:w="1253" w:type="dxa"/>
            <w:tcBorders/>
            <w:vAlign w:val="center"/>
          </w:tcPr>
          <w:p>
            <w:pPr>
              <w:pStyle w:val="TableContents"/>
              <w:bidi w:val="0"/>
              <w:spacing w:lineRule="auto" w:line="300" w:before="0" w:after="0"/>
              <w:jc w:val="right"/>
              <w:rPr/>
            </w:pPr>
            <w:r>
              <w:rPr/>
              <w:t>16,600</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3" w:type="dxa"/>
            <w:tcBorders/>
            <w:vAlign w:val="center"/>
          </w:tcPr>
          <w:p>
            <w:pPr>
              <w:pStyle w:val="TableContents"/>
              <w:bidi w:val="0"/>
              <w:spacing w:before="0" w:after="283"/>
              <w:jc w:val="left"/>
              <w:rPr/>
            </w:pPr>
            <w:r>
              <w:rPr/>
              <w:t> </w:t>
            </w:r>
          </w:p>
        </w:tc>
        <w:tc>
          <w:tcPr>
            <w:tcW w:w="1209" w:type="dxa"/>
            <w:tcBorders/>
            <w:vAlign w:val="center"/>
          </w:tcPr>
          <w:p>
            <w:pPr>
              <w:pStyle w:val="TableContents"/>
              <w:bidi w:val="0"/>
              <w:spacing w:lineRule="auto" w:line="300" w:before="0" w:after="0"/>
              <w:jc w:val="right"/>
              <w:rPr/>
            </w:pPr>
            <w:r>
              <w:rPr/>
              <w:t>-</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lineRule="auto" w:line="300" w:before="0" w:after="0"/>
              <w:jc w:val="right"/>
              <w:rPr/>
            </w:pPr>
            <w:r>
              <w:rPr/>
              <w:t>16,600</w:t>
            </w:r>
          </w:p>
        </w:tc>
        <w:tc>
          <w:tcPr>
            <w:tcW w:w="99" w:type="dxa"/>
            <w:tcBorders/>
            <w:vAlign w:val="center"/>
          </w:tcPr>
          <w:p>
            <w:pPr>
              <w:pStyle w:val="TableContents"/>
              <w:bidi w:val="0"/>
              <w:spacing w:before="0" w:after="283"/>
              <w:jc w:val="left"/>
              <w:rPr/>
            </w:pPr>
            <w:r>
              <w:rPr/>
              <w:t> </w:t>
            </w:r>
          </w:p>
        </w:tc>
      </w:tr>
      <w:tr>
        <w:trPr/>
        <w:tc>
          <w:tcPr>
            <w:tcW w:w="2564"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Net loss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2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368" w:type="dxa"/>
            <w:tcBorders>
              <w:bottom w:val="single" w:sz="12" w:space="0" w:color="000000"/>
            </w:tcBorders>
            <w:shd w:fill="CCEEFF" w:val="clear"/>
            <w:tcMar>
              <w:bottom w:w="28" w:type="dxa"/>
            </w:tcMar>
            <w:vAlign w:val="center"/>
          </w:tcPr>
          <w:p>
            <w:pPr>
              <w:pStyle w:val="TableContents"/>
              <w:bidi w:val="0"/>
              <w:spacing w:lineRule="auto" w:line="300" w:before="0" w:after="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11" w:type="dxa"/>
            <w:tcBorders>
              <w:bottom w:val="single" w:sz="12" w:space="0" w:color="000000"/>
            </w:tcBorders>
            <w:shd w:fill="CCEEFF" w:val="clear"/>
            <w:tcMar>
              <w:bottom w:w="28" w:type="dxa"/>
            </w:tcMar>
            <w:vAlign w:val="center"/>
          </w:tcPr>
          <w:p>
            <w:pPr>
              <w:pStyle w:val="TableContents"/>
              <w:bidi w:val="0"/>
              <w:spacing w:lineRule="auto" w:line="300" w:before="0" w:after="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53" w:type="dxa"/>
            <w:tcBorders>
              <w:bottom w:val="single" w:sz="12" w:space="0" w:color="000000"/>
            </w:tcBorders>
            <w:shd w:fill="CCEEFF" w:val="clear"/>
            <w:tcMar>
              <w:bottom w:w="28" w:type="dxa"/>
            </w:tcMar>
            <w:vAlign w:val="center"/>
          </w:tcPr>
          <w:p>
            <w:pPr>
              <w:pStyle w:val="TableContents"/>
              <w:bidi w:val="0"/>
              <w:spacing w:lineRule="auto" w:line="300" w:before="0" w:after="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09" w:type="dxa"/>
            <w:tcBorders>
              <w:bottom w:val="single" w:sz="12" w:space="0" w:color="000000"/>
            </w:tcBorders>
            <w:shd w:fill="CCEEFF" w:val="clear"/>
            <w:tcMar>
              <w:bottom w:w="28" w:type="dxa"/>
            </w:tcMar>
            <w:vAlign w:val="center"/>
          </w:tcPr>
          <w:p>
            <w:pPr>
              <w:pStyle w:val="TableContents"/>
              <w:bidi w:val="0"/>
              <w:spacing w:lineRule="auto" w:line="300" w:before="0" w:after="0"/>
              <w:jc w:val="right"/>
              <w:rPr/>
            </w:pPr>
            <w:r>
              <w:rPr/>
              <w:t>(57,366</w:t>
            </w:r>
          </w:p>
        </w:tc>
        <w:tc>
          <w:tcPr>
            <w:tcW w:w="80"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CCEEFF" w:val="clear"/>
            <w:tcMar>
              <w:bottom w:w="28" w:type="dxa"/>
            </w:tcMar>
            <w:vAlign w:val="center"/>
          </w:tcPr>
          <w:p>
            <w:pPr>
              <w:pStyle w:val="TableContents"/>
              <w:bidi w:val="0"/>
              <w:spacing w:lineRule="auto" w:line="300" w:before="0" w:after="0"/>
              <w:jc w:val="right"/>
              <w:rPr/>
            </w:pPr>
            <w:r>
              <w:rPr/>
              <w:t>(57,366</w:t>
            </w:r>
          </w:p>
        </w:tc>
        <w:tc>
          <w:tcPr>
            <w:tcW w:w="99"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r>
      <w:tr>
        <w:trPr/>
        <w:tc>
          <w:tcPr>
            <w:tcW w:w="2564"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Balance as of March 31, 2026</w:t>
            </w:r>
          </w:p>
        </w:tc>
        <w:tc>
          <w:tcPr>
            <w:tcW w:w="60" w:type="dxa"/>
            <w:tcBorders/>
            <w:vAlign w:val="center"/>
          </w:tcPr>
          <w:p>
            <w:pPr>
              <w:pStyle w:val="TableContents"/>
              <w:bidi w:val="0"/>
              <w:spacing w:before="0" w:after="283"/>
              <w:jc w:val="left"/>
              <w:rPr/>
            </w:pPr>
            <w:r>
              <w:rPr/>
              <w:t> </w:t>
            </w:r>
          </w:p>
        </w:tc>
        <w:tc>
          <w:tcPr>
            <w:tcW w:w="60" w:type="dxa"/>
            <w:tcBorders>
              <w:bottom w:val="double" w:sz="8" w:space="0" w:color="000000"/>
            </w:tcBorders>
            <w:tcMar>
              <w:bottom w:w="28" w:type="dxa"/>
            </w:tcMar>
            <w:vAlign w:val="center"/>
          </w:tcPr>
          <w:p>
            <w:pPr>
              <w:pStyle w:val="TableContents"/>
              <w:bidi w:val="0"/>
              <w:spacing w:before="0" w:after="283"/>
              <w:jc w:val="left"/>
              <w:rPr/>
            </w:pPr>
            <w:r>
              <w:rPr/>
              <w:t> </w:t>
            </w:r>
          </w:p>
        </w:tc>
        <w:tc>
          <w:tcPr>
            <w:tcW w:w="1100" w:type="dxa"/>
            <w:tcBorders>
              <w:bottom w:val="double" w:sz="8" w:space="0" w:color="000000"/>
            </w:tcBorders>
            <w:tcMar>
              <w:bottom w:w="28" w:type="dxa"/>
            </w:tcMar>
            <w:vAlign w:val="center"/>
          </w:tcPr>
          <w:p>
            <w:pPr>
              <w:pStyle w:val="TableContents"/>
              <w:bidi w:val="0"/>
              <w:spacing w:lineRule="auto" w:line="300" w:before="0" w:after="0"/>
              <w:jc w:val="right"/>
              <w:rPr/>
            </w:pPr>
            <w:r>
              <w:rPr/>
              <w:t>60,817,930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7" w:type="dxa"/>
            <w:tcBorders>
              <w:bottom w:val="double" w:sz="8" w:space="0" w:color="000000"/>
            </w:tcBorders>
            <w:tcMar>
              <w:bottom w:w="28" w:type="dxa"/>
            </w:tcM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368" w:type="dxa"/>
            <w:tcBorders>
              <w:bottom w:val="double" w:sz="8" w:space="0" w:color="000000"/>
            </w:tcBorders>
            <w:tcMar>
              <w:bottom w:w="28" w:type="dxa"/>
            </w:tcMar>
            <w:vAlign w:val="center"/>
          </w:tcPr>
          <w:p>
            <w:pPr>
              <w:pStyle w:val="TableContents"/>
              <w:bidi w:val="0"/>
              <w:spacing w:lineRule="auto" w:line="300" w:before="0" w:after="0"/>
              <w:jc w:val="right"/>
              <w:rPr/>
            </w:pPr>
            <w:r>
              <w:rPr/>
              <w:t>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 w:type="dxa"/>
            <w:tcBorders>
              <w:bottom w:val="double" w:sz="8" w:space="0" w:color="000000"/>
            </w:tcBorders>
            <w:tcMar>
              <w:bottom w:w="28" w:type="dxa"/>
            </w:tcM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1111" w:type="dxa"/>
            <w:tcBorders>
              <w:bottom w:val="double" w:sz="8" w:space="0" w:color="000000"/>
            </w:tcBorders>
            <w:tcMar>
              <w:bottom w:w="28" w:type="dxa"/>
            </w:tcMar>
            <w:vAlign w:val="center"/>
          </w:tcPr>
          <w:p>
            <w:pPr>
              <w:pStyle w:val="TableContents"/>
              <w:bidi w:val="0"/>
              <w:spacing w:lineRule="auto" w:line="300" w:before="0" w:after="0"/>
              <w:jc w:val="right"/>
              <w:rPr/>
            </w:pPr>
            <w:r>
              <w:rPr/>
              <w:t>1,896,782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5" w:type="dxa"/>
            <w:tcBorders>
              <w:bottom w:val="double" w:sz="8" w:space="0" w:color="000000"/>
            </w:tcBorders>
            <w:tcMar>
              <w:bottom w:w="28" w:type="dxa"/>
            </w:tcM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1253" w:type="dxa"/>
            <w:tcBorders>
              <w:bottom w:val="double" w:sz="8" w:space="0" w:color="000000"/>
            </w:tcBorders>
            <w:tcMar>
              <w:bottom w:w="28" w:type="dxa"/>
            </w:tcMar>
            <w:vAlign w:val="center"/>
          </w:tcPr>
          <w:p>
            <w:pPr>
              <w:pStyle w:val="TableContents"/>
              <w:bidi w:val="0"/>
              <w:spacing w:lineRule="auto" w:line="300" w:before="0" w:after="0"/>
              <w:jc w:val="right"/>
              <w:rPr/>
            </w:pPr>
            <w:r>
              <w:rPr/>
              <w:t>4,937</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3" w:type="dxa"/>
            <w:tcBorders>
              <w:bottom w:val="double" w:sz="8" w:space="0" w:color="000000"/>
            </w:tcBorders>
            <w:tcMar>
              <w:bottom w:w="28" w:type="dxa"/>
            </w:tcM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1209" w:type="dxa"/>
            <w:tcBorders>
              <w:bottom w:val="double" w:sz="8" w:space="0" w:color="000000"/>
            </w:tcBorders>
            <w:tcMar>
              <w:bottom w:w="28" w:type="dxa"/>
            </w:tcMar>
            <w:vAlign w:val="center"/>
          </w:tcPr>
          <w:p>
            <w:pPr>
              <w:pStyle w:val="TableContents"/>
              <w:bidi w:val="0"/>
              <w:spacing w:lineRule="auto" w:line="300" w:before="0" w:after="0"/>
              <w:jc w:val="right"/>
              <w:rPr/>
            </w:pPr>
            <w:r>
              <w:rPr/>
              <w:t>(1,491,005</w:t>
            </w:r>
          </w:p>
        </w:tc>
        <w:tc>
          <w:tcPr>
            <w:tcW w:w="80"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vAlign w:val="center"/>
          </w:tcPr>
          <w:p>
            <w:pPr>
              <w:pStyle w:val="TableContents"/>
              <w:bidi w:val="0"/>
              <w:spacing w:before="0" w:after="283"/>
              <w:jc w:val="left"/>
              <w:rPr/>
            </w:pPr>
            <w:r>
              <w:rPr/>
              <w:t> </w:t>
            </w:r>
          </w:p>
        </w:tc>
        <w:tc>
          <w:tcPr>
            <w:tcW w:w="125" w:type="dxa"/>
            <w:tcBorders>
              <w:bottom w:val="double" w:sz="8" w:space="0" w:color="000000"/>
            </w:tcBorders>
            <w:tcMar>
              <w:bottom w:w="28" w:type="dxa"/>
            </w:tcM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800" w:type="dxa"/>
            <w:tcBorders>
              <w:bottom w:val="double" w:sz="8" w:space="0" w:color="000000"/>
            </w:tcBorders>
            <w:tcMar>
              <w:bottom w:w="28" w:type="dxa"/>
            </w:tcMar>
            <w:vAlign w:val="center"/>
          </w:tcPr>
          <w:p>
            <w:pPr>
              <w:pStyle w:val="TableContents"/>
              <w:bidi w:val="0"/>
              <w:spacing w:lineRule="auto" w:line="300" w:before="0" w:after="0"/>
              <w:jc w:val="right"/>
              <w:rPr/>
            </w:pPr>
            <w:r>
              <w:rPr/>
              <w:t>410,720</w:t>
            </w:r>
          </w:p>
        </w:tc>
        <w:tc>
          <w:tcPr>
            <w:tcW w:w="99" w:type="dxa"/>
            <w:tcBorders/>
            <w:vAlign w:val="center"/>
          </w:tcPr>
          <w:p>
            <w:pPr>
              <w:pStyle w:val="TableContents"/>
              <w:bidi w:val="0"/>
              <w:spacing w:before="0" w:after="283"/>
              <w:jc w:val="left"/>
              <w:rPr/>
            </w:pPr>
            <w:r>
              <w:rPr/>
              <w:t> </w:t>
            </w:r>
          </w:p>
        </w:tc>
      </w:tr>
      <w:tr>
        <w:trPr/>
        <w:tc>
          <w:tcPr>
            <w:tcW w:w="2564"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Issuance of common stock upon exercise of stock-based awards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lineRule="auto" w:line="300" w:before="0" w:after="0"/>
              <w:jc w:val="right"/>
              <w:rPr/>
            </w:pPr>
            <w:r>
              <w:rPr/>
              <w:t>400,503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27" w:type="dxa"/>
            <w:tcBorders/>
            <w:shd w:fill="CCEEFF" w:val="clear"/>
            <w:vAlign w:val="center"/>
          </w:tcPr>
          <w:p>
            <w:pPr>
              <w:pStyle w:val="TableContents"/>
              <w:bidi w:val="0"/>
              <w:spacing w:before="0" w:after="283"/>
              <w:jc w:val="left"/>
              <w:rPr/>
            </w:pPr>
            <w:r>
              <w:rPr/>
              <w:t> </w:t>
            </w:r>
          </w:p>
        </w:tc>
        <w:tc>
          <w:tcPr>
            <w:tcW w:w="368" w:type="dxa"/>
            <w:tcBorders/>
            <w:shd w:fill="CCEEFF" w:val="clear"/>
            <w:vAlign w:val="center"/>
          </w:tcPr>
          <w:p>
            <w:pPr>
              <w:pStyle w:val="TableContents"/>
              <w:bidi w:val="0"/>
              <w:spacing w:lineRule="auto" w:line="300" w:before="0" w:after="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1111" w:type="dxa"/>
            <w:tcBorders/>
            <w:shd w:fill="CCEEFF" w:val="clear"/>
            <w:vAlign w:val="center"/>
          </w:tcPr>
          <w:p>
            <w:pPr>
              <w:pStyle w:val="TableContents"/>
              <w:bidi w:val="0"/>
              <w:spacing w:lineRule="auto" w:line="300" w:before="0" w:after="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5" w:type="dxa"/>
            <w:tcBorders/>
            <w:shd w:fill="CCEEFF" w:val="clear"/>
            <w:vAlign w:val="center"/>
          </w:tcPr>
          <w:p>
            <w:pPr>
              <w:pStyle w:val="TableContents"/>
              <w:bidi w:val="0"/>
              <w:spacing w:before="0" w:after="283"/>
              <w:jc w:val="left"/>
              <w:rPr/>
            </w:pPr>
            <w:r>
              <w:rPr/>
              <w:t> </w:t>
            </w:r>
          </w:p>
        </w:tc>
        <w:tc>
          <w:tcPr>
            <w:tcW w:w="1253" w:type="dxa"/>
            <w:tcBorders/>
            <w:shd w:fill="CCEEFF" w:val="clear"/>
            <w:vAlign w:val="center"/>
          </w:tcPr>
          <w:p>
            <w:pPr>
              <w:pStyle w:val="TableContents"/>
              <w:bidi w:val="0"/>
              <w:spacing w:lineRule="auto" w:line="300" w:before="0" w:after="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1209" w:type="dxa"/>
            <w:tcBorders/>
            <w:shd w:fill="CCEEFF" w:val="clear"/>
            <w:vAlign w:val="center"/>
          </w:tcPr>
          <w:p>
            <w:pPr>
              <w:pStyle w:val="TableContents"/>
              <w:bidi w:val="0"/>
              <w:spacing w:lineRule="auto" w:line="300" w:before="0" w:after="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lineRule="auto" w:line="300" w:before="0" w:after="0"/>
              <w:jc w:val="right"/>
              <w:rPr/>
            </w:pPr>
            <w:r>
              <w:rPr/>
              <w:t>*-</w:t>
            </w:r>
          </w:p>
        </w:tc>
        <w:tc>
          <w:tcPr>
            <w:tcW w:w="99" w:type="dxa"/>
            <w:tcBorders/>
            <w:shd w:fill="CCEEFF" w:val="clear"/>
            <w:vAlign w:val="center"/>
          </w:tcPr>
          <w:p>
            <w:pPr>
              <w:pStyle w:val="TableContents"/>
              <w:bidi w:val="0"/>
              <w:spacing w:before="0" w:after="283"/>
              <w:jc w:val="left"/>
              <w:rPr/>
            </w:pPr>
            <w:r>
              <w:rPr/>
              <w:t> </w:t>
            </w:r>
          </w:p>
        </w:tc>
      </w:tr>
      <w:tr>
        <w:trPr/>
        <w:tc>
          <w:tcPr>
            <w:tcW w:w="2564"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Issuance of common stock under employee stock purchase plan</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lineRule="auto" w:line="300" w:before="0" w:after="0"/>
              <w:jc w:val="right"/>
              <w:rPr/>
            </w:pPr>
            <w:r>
              <w:rPr/>
              <w:t>294,186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7" w:type="dxa"/>
            <w:tcBorders/>
            <w:vAlign w:val="center"/>
          </w:tcPr>
          <w:p>
            <w:pPr>
              <w:pStyle w:val="TableContents"/>
              <w:bidi w:val="0"/>
              <w:spacing w:before="0" w:after="283"/>
              <w:jc w:val="left"/>
              <w:rPr/>
            </w:pPr>
            <w:r>
              <w:rPr/>
              <w:t> </w:t>
            </w:r>
          </w:p>
        </w:tc>
        <w:tc>
          <w:tcPr>
            <w:tcW w:w="368" w:type="dxa"/>
            <w:tcBorders/>
            <w:vAlign w:val="center"/>
          </w:tcPr>
          <w:p>
            <w:pPr>
              <w:pStyle w:val="TableContents"/>
              <w:bidi w:val="0"/>
              <w:spacing w:lineRule="auto" w:line="300" w:before="0" w:after="0"/>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 w:type="dxa"/>
            <w:tcBorders/>
            <w:vAlign w:val="center"/>
          </w:tcPr>
          <w:p>
            <w:pPr>
              <w:pStyle w:val="TableContents"/>
              <w:bidi w:val="0"/>
              <w:spacing w:before="0" w:after="283"/>
              <w:jc w:val="left"/>
              <w:rPr/>
            </w:pPr>
            <w:r>
              <w:rPr/>
              <w:t> </w:t>
            </w:r>
          </w:p>
        </w:tc>
        <w:tc>
          <w:tcPr>
            <w:tcW w:w="1111" w:type="dxa"/>
            <w:tcBorders/>
            <w:vAlign w:val="center"/>
          </w:tcPr>
          <w:p>
            <w:pPr>
              <w:pStyle w:val="TableContents"/>
              <w:bidi w:val="0"/>
              <w:spacing w:lineRule="auto" w:line="300" w:before="0" w:after="0"/>
              <w:jc w:val="right"/>
              <w:rPr/>
            </w:pPr>
            <w:r>
              <w:rPr/>
              <w:t>8,232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5" w:type="dxa"/>
            <w:tcBorders/>
            <w:vAlign w:val="center"/>
          </w:tcPr>
          <w:p>
            <w:pPr>
              <w:pStyle w:val="TableContents"/>
              <w:bidi w:val="0"/>
              <w:spacing w:before="0" w:after="283"/>
              <w:jc w:val="left"/>
              <w:rPr/>
            </w:pPr>
            <w:r>
              <w:rPr/>
              <w:t> </w:t>
            </w:r>
          </w:p>
        </w:tc>
        <w:tc>
          <w:tcPr>
            <w:tcW w:w="1253" w:type="dxa"/>
            <w:tcBorders/>
            <w:vAlign w:val="center"/>
          </w:tcPr>
          <w:p>
            <w:pPr>
              <w:pStyle w:val="TableContents"/>
              <w:bidi w:val="0"/>
              <w:spacing w:lineRule="auto" w:line="300" w:before="0" w:after="0"/>
              <w:jc w:val="right"/>
              <w:rPr/>
            </w:pPr>
            <w:r>
              <w:rPr/>
              <w:t>-</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3" w:type="dxa"/>
            <w:tcBorders/>
            <w:vAlign w:val="center"/>
          </w:tcPr>
          <w:p>
            <w:pPr>
              <w:pStyle w:val="TableContents"/>
              <w:bidi w:val="0"/>
              <w:spacing w:before="0" w:after="283"/>
              <w:jc w:val="left"/>
              <w:rPr/>
            </w:pPr>
            <w:r>
              <w:rPr/>
              <w:t> </w:t>
            </w:r>
          </w:p>
        </w:tc>
        <w:tc>
          <w:tcPr>
            <w:tcW w:w="1209" w:type="dxa"/>
            <w:tcBorders/>
            <w:vAlign w:val="center"/>
          </w:tcPr>
          <w:p>
            <w:pPr>
              <w:pStyle w:val="TableContents"/>
              <w:bidi w:val="0"/>
              <w:spacing w:lineRule="auto" w:line="300" w:before="0" w:after="0"/>
              <w:jc w:val="right"/>
              <w:rPr/>
            </w:pPr>
            <w:r>
              <w:rPr/>
              <w:t>-</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lineRule="auto" w:line="300" w:before="0" w:after="0"/>
              <w:jc w:val="right"/>
              <w:rPr/>
            </w:pPr>
            <w:r>
              <w:rPr/>
              <w:t>8,232</w:t>
            </w:r>
          </w:p>
        </w:tc>
        <w:tc>
          <w:tcPr>
            <w:tcW w:w="99" w:type="dxa"/>
            <w:tcBorders/>
            <w:vAlign w:val="center"/>
          </w:tcPr>
          <w:p>
            <w:pPr>
              <w:pStyle w:val="TableContents"/>
              <w:bidi w:val="0"/>
              <w:spacing w:before="0" w:after="283"/>
              <w:jc w:val="left"/>
              <w:rPr/>
            </w:pPr>
            <w:r>
              <w:rPr/>
              <w:t> </w:t>
            </w:r>
          </w:p>
        </w:tc>
      </w:tr>
      <w:tr>
        <w:trPr/>
        <w:tc>
          <w:tcPr>
            <w:tcW w:w="2564"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Stock-based compensation</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27" w:type="dxa"/>
            <w:tcBorders/>
            <w:shd w:fill="CCEEFF" w:val="clear"/>
            <w:vAlign w:val="center"/>
          </w:tcPr>
          <w:p>
            <w:pPr>
              <w:pStyle w:val="TableContents"/>
              <w:bidi w:val="0"/>
              <w:spacing w:before="0" w:after="283"/>
              <w:jc w:val="left"/>
              <w:rPr/>
            </w:pPr>
            <w:r>
              <w:rPr/>
              <w:t> </w:t>
            </w:r>
          </w:p>
        </w:tc>
        <w:tc>
          <w:tcPr>
            <w:tcW w:w="368" w:type="dxa"/>
            <w:tcBorders/>
            <w:shd w:fill="CCEEFF" w:val="clear"/>
            <w:vAlign w:val="center"/>
          </w:tcPr>
          <w:p>
            <w:pPr>
              <w:pStyle w:val="TableContents"/>
              <w:bidi w:val="0"/>
              <w:spacing w:lineRule="auto" w:line="300" w:before="0" w:after="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1111" w:type="dxa"/>
            <w:tcBorders/>
            <w:shd w:fill="CCEEFF" w:val="clear"/>
            <w:vAlign w:val="center"/>
          </w:tcPr>
          <w:p>
            <w:pPr>
              <w:pStyle w:val="TableContents"/>
              <w:bidi w:val="0"/>
              <w:spacing w:lineRule="auto" w:line="300" w:before="0" w:after="0"/>
              <w:jc w:val="right"/>
              <w:rPr/>
            </w:pPr>
            <w:r>
              <w:rPr/>
              <w:t>20,010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5" w:type="dxa"/>
            <w:tcBorders/>
            <w:shd w:fill="CCEEFF" w:val="clear"/>
            <w:vAlign w:val="center"/>
          </w:tcPr>
          <w:p>
            <w:pPr>
              <w:pStyle w:val="TableContents"/>
              <w:bidi w:val="0"/>
              <w:spacing w:before="0" w:after="283"/>
              <w:jc w:val="left"/>
              <w:rPr/>
            </w:pPr>
            <w:r>
              <w:rPr/>
              <w:t> </w:t>
            </w:r>
          </w:p>
        </w:tc>
        <w:tc>
          <w:tcPr>
            <w:tcW w:w="1253" w:type="dxa"/>
            <w:tcBorders/>
            <w:shd w:fill="CCEEFF" w:val="clear"/>
            <w:vAlign w:val="center"/>
          </w:tcPr>
          <w:p>
            <w:pPr>
              <w:pStyle w:val="TableContents"/>
              <w:bidi w:val="0"/>
              <w:spacing w:lineRule="auto" w:line="300" w:before="0" w:after="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1209" w:type="dxa"/>
            <w:tcBorders/>
            <w:shd w:fill="CCEEFF" w:val="clear"/>
            <w:vAlign w:val="center"/>
          </w:tcPr>
          <w:p>
            <w:pPr>
              <w:pStyle w:val="TableContents"/>
              <w:bidi w:val="0"/>
              <w:spacing w:lineRule="auto" w:line="300" w:before="0" w:after="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lineRule="auto" w:line="300" w:before="0" w:after="0"/>
              <w:jc w:val="right"/>
              <w:rPr/>
            </w:pPr>
            <w:r>
              <w:rPr/>
              <w:t>20,010</w:t>
            </w:r>
          </w:p>
        </w:tc>
        <w:tc>
          <w:tcPr>
            <w:tcW w:w="99" w:type="dxa"/>
            <w:tcBorders/>
            <w:shd w:fill="CCEEFF" w:val="clear"/>
            <w:vAlign w:val="center"/>
          </w:tcPr>
          <w:p>
            <w:pPr>
              <w:pStyle w:val="TableContents"/>
              <w:bidi w:val="0"/>
              <w:spacing w:before="0" w:after="283"/>
              <w:jc w:val="left"/>
              <w:rPr/>
            </w:pPr>
            <w:r>
              <w:rPr/>
              <w:t> </w:t>
            </w:r>
          </w:p>
        </w:tc>
      </w:tr>
      <w:tr>
        <w:trPr/>
        <w:tc>
          <w:tcPr>
            <w:tcW w:w="2564"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Other comprehensive income, net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7" w:type="dxa"/>
            <w:tcBorders/>
            <w:vAlign w:val="center"/>
          </w:tcPr>
          <w:p>
            <w:pPr>
              <w:pStyle w:val="TableContents"/>
              <w:bidi w:val="0"/>
              <w:spacing w:before="0" w:after="283"/>
              <w:jc w:val="left"/>
              <w:rPr/>
            </w:pPr>
            <w:r>
              <w:rPr/>
              <w:t> </w:t>
            </w:r>
          </w:p>
        </w:tc>
        <w:tc>
          <w:tcPr>
            <w:tcW w:w="368" w:type="dxa"/>
            <w:tcBorders/>
            <w:vAlign w:val="center"/>
          </w:tcPr>
          <w:p>
            <w:pPr>
              <w:pStyle w:val="TableContents"/>
              <w:bidi w:val="0"/>
              <w:spacing w:lineRule="auto" w:line="300" w:before="0" w:after="0"/>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 w:type="dxa"/>
            <w:tcBorders/>
            <w:vAlign w:val="center"/>
          </w:tcPr>
          <w:p>
            <w:pPr>
              <w:pStyle w:val="TableContents"/>
              <w:bidi w:val="0"/>
              <w:spacing w:before="0" w:after="283"/>
              <w:jc w:val="left"/>
              <w:rPr/>
            </w:pPr>
            <w:r>
              <w:rPr/>
              <w:t> </w:t>
            </w:r>
          </w:p>
        </w:tc>
        <w:tc>
          <w:tcPr>
            <w:tcW w:w="1111" w:type="dxa"/>
            <w:tcBorders/>
            <w:vAlign w:val="center"/>
          </w:tcPr>
          <w:p>
            <w:pPr>
              <w:pStyle w:val="TableContents"/>
              <w:bidi w:val="0"/>
              <w:spacing w:lineRule="auto" w:line="300" w:before="0" w:after="0"/>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5" w:type="dxa"/>
            <w:tcBorders/>
            <w:vAlign w:val="center"/>
          </w:tcPr>
          <w:p>
            <w:pPr>
              <w:pStyle w:val="TableContents"/>
              <w:bidi w:val="0"/>
              <w:spacing w:before="0" w:after="283"/>
              <w:jc w:val="left"/>
              <w:rPr/>
            </w:pPr>
            <w:r>
              <w:rPr/>
              <w:t> </w:t>
            </w:r>
          </w:p>
        </w:tc>
        <w:tc>
          <w:tcPr>
            <w:tcW w:w="1253" w:type="dxa"/>
            <w:tcBorders/>
            <w:vAlign w:val="center"/>
          </w:tcPr>
          <w:p>
            <w:pPr>
              <w:pStyle w:val="TableContents"/>
              <w:bidi w:val="0"/>
              <w:spacing w:lineRule="auto" w:line="300" w:before="0" w:after="0"/>
              <w:jc w:val="right"/>
              <w:rPr/>
            </w:pPr>
            <w:r>
              <w:rPr/>
              <w:t>3,876</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3" w:type="dxa"/>
            <w:tcBorders/>
            <w:vAlign w:val="center"/>
          </w:tcPr>
          <w:p>
            <w:pPr>
              <w:pStyle w:val="TableContents"/>
              <w:bidi w:val="0"/>
              <w:spacing w:before="0" w:after="283"/>
              <w:jc w:val="left"/>
              <w:rPr/>
            </w:pPr>
            <w:r>
              <w:rPr/>
              <w:t> </w:t>
            </w:r>
          </w:p>
        </w:tc>
        <w:tc>
          <w:tcPr>
            <w:tcW w:w="1209" w:type="dxa"/>
            <w:tcBorders/>
            <w:vAlign w:val="center"/>
          </w:tcPr>
          <w:p>
            <w:pPr>
              <w:pStyle w:val="TableContents"/>
              <w:bidi w:val="0"/>
              <w:spacing w:lineRule="auto" w:line="300" w:before="0" w:after="0"/>
              <w:jc w:val="right"/>
              <w:rPr/>
            </w:pPr>
            <w:r>
              <w:rPr/>
              <w:t>-</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lineRule="auto" w:line="300" w:before="0" w:after="0"/>
              <w:jc w:val="right"/>
              <w:rPr/>
            </w:pPr>
            <w:r>
              <w:rPr/>
              <w:t>3,876</w:t>
            </w:r>
          </w:p>
        </w:tc>
        <w:tc>
          <w:tcPr>
            <w:tcW w:w="99" w:type="dxa"/>
            <w:tcBorders/>
            <w:vAlign w:val="center"/>
          </w:tcPr>
          <w:p>
            <w:pPr>
              <w:pStyle w:val="TableContents"/>
              <w:bidi w:val="0"/>
              <w:spacing w:before="0" w:after="283"/>
              <w:jc w:val="left"/>
              <w:rPr/>
            </w:pPr>
            <w:r>
              <w:rPr/>
              <w:t> </w:t>
            </w:r>
          </w:p>
        </w:tc>
      </w:tr>
      <w:tr>
        <w:trPr/>
        <w:tc>
          <w:tcPr>
            <w:tcW w:w="2564"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Net loss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2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368" w:type="dxa"/>
            <w:tcBorders>
              <w:bottom w:val="single" w:sz="12" w:space="0" w:color="000000"/>
            </w:tcBorders>
            <w:shd w:fill="CCEEFF" w:val="clear"/>
            <w:tcMar>
              <w:bottom w:w="28" w:type="dxa"/>
            </w:tcMar>
            <w:vAlign w:val="center"/>
          </w:tcPr>
          <w:p>
            <w:pPr>
              <w:pStyle w:val="TableContents"/>
              <w:bidi w:val="0"/>
              <w:spacing w:lineRule="auto" w:line="300" w:before="0" w:after="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11" w:type="dxa"/>
            <w:tcBorders>
              <w:bottom w:val="single" w:sz="12" w:space="0" w:color="000000"/>
            </w:tcBorders>
            <w:shd w:fill="CCEEFF" w:val="clear"/>
            <w:tcMar>
              <w:bottom w:w="28" w:type="dxa"/>
            </w:tcMar>
            <w:vAlign w:val="center"/>
          </w:tcPr>
          <w:p>
            <w:pPr>
              <w:pStyle w:val="TableContents"/>
              <w:bidi w:val="0"/>
              <w:spacing w:lineRule="auto" w:line="300" w:before="0" w:after="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53" w:type="dxa"/>
            <w:tcBorders>
              <w:bottom w:val="single" w:sz="12" w:space="0" w:color="000000"/>
            </w:tcBorders>
            <w:shd w:fill="CCEEFF" w:val="clear"/>
            <w:tcMar>
              <w:bottom w:w="28" w:type="dxa"/>
            </w:tcMar>
            <w:vAlign w:val="center"/>
          </w:tcPr>
          <w:p>
            <w:pPr>
              <w:pStyle w:val="TableContents"/>
              <w:bidi w:val="0"/>
              <w:spacing w:lineRule="auto" w:line="300" w:before="0" w:after="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09" w:type="dxa"/>
            <w:tcBorders>
              <w:bottom w:val="single" w:sz="12" w:space="0" w:color="000000"/>
            </w:tcBorders>
            <w:shd w:fill="CCEEFF" w:val="clear"/>
            <w:tcMar>
              <w:bottom w:w="28" w:type="dxa"/>
            </w:tcMar>
            <w:vAlign w:val="center"/>
          </w:tcPr>
          <w:p>
            <w:pPr>
              <w:pStyle w:val="TableContents"/>
              <w:bidi w:val="0"/>
              <w:spacing w:lineRule="auto" w:line="300" w:before="0" w:after="0"/>
              <w:jc w:val="right"/>
              <w:rPr/>
            </w:pPr>
            <w:r>
              <w:rPr/>
              <w:t>(30,753</w:t>
            </w:r>
          </w:p>
        </w:tc>
        <w:tc>
          <w:tcPr>
            <w:tcW w:w="80"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CCEEFF" w:val="clear"/>
            <w:tcMar>
              <w:bottom w:w="28" w:type="dxa"/>
            </w:tcMar>
            <w:vAlign w:val="center"/>
          </w:tcPr>
          <w:p>
            <w:pPr>
              <w:pStyle w:val="TableContents"/>
              <w:bidi w:val="0"/>
              <w:spacing w:lineRule="auto" w:line="300" w:before="0" w:after="0"/>
              <w:jc w:val="right"/>
              <w:rPr/>
            </w:pPr>
            <w:r>
              <w:rPr/>
              <w:t>(30,753</w:t>
            </w:r>
          </w:p>
        </w:tc>
        <w:tc>
          <w:tcPr>
            <w:tcW w:w="99"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r>
      <w:tr>
        <w:trPr/>
        <w:tc>
          <w:tcPr>
            <w:tcW w:w="2564"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Balance as of June 30, 2026</w:t>
            </w:r>
          </w:p>
        </w:tc>
        <w:tc>
          <w:tcPr>
            <w:tcW w:w="60" w:type="dxa"/>
            <w:tcBorders/>
            <w:vAlign w:val="center"/>
          </w:tcPr>
          <w:p>
            <w:pPr>
              <w:pStyle w:val="TableContents"/>
              <w:bidi w:val="0"/>
              <w:spacing w:before="0" w:after="283"/>
              <w:jc w:val="left"/>
              <w:rPr/>
            </w:pPr>
            <w:r>
              <w:rPr/>
              <w:t> </w:t>
            </w:r>
          </w:p>
        </w:tc>
        <w:tc>
          <w:tcPr>
            <w:tcW w:w="60" w:type="dxa"/>
            <w:tcBorders>
              <w:bottom w:val="double" w:sz="8" w:space="0" w:color="000000"/>
            </w:tcBorders>
            <w:tcMar>
              <w:bottom w:w="28" w:type="dxa"/>
            </w:tcMar>
            <w:vAlign w:val="center"/>
          </w:tcPr>
          <w:p>
            <w:pPr>
              <w:pStyle w:val="TableContents"/>
              <w:bidi w:val="0"/>
              <w:spacing w:before="0" w:after="283"/>
              <w:jc w:val="left"/>
              <w:rPr/>
            </w:pPr>
            <w:r>
              <w:rPr/>
              <w:t> </w:t>
            </w:r>
          </w:p>
        </w:tc>
        <w:tc>
          <w:tcPr>
            <w:tcW w:w="1100" w:type="dxa"/>
            <w:tcBorders>
              <w:bottom w:val="double" w:sz="8" w:space="0" w:color="000000"/>
            </w:tcBorders>
            <w:tcMar>
              <w:bottom w:w="28" w:type="dxa"/>
            </w:tcMar>
            <w:vAlign w:val="center"/>
          </w:tcPr>
          <w:p>
            <w:pPr>
              <w:pStyle w:val="TableContents"/>
              <w:bidi w:val="0"/>
              <w:spacing w:lineRule="auto" w:line="300" w:before="0" w:after="0"/>
              <w:jc w:val="right"/>
              <w:rPr/>
            </w:pPr>
            <w:r>
              <w:rPr/>
              <w:t>61,512,619</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7" w:type="dxa"/>
            <w:tcBorders>
              <w:bottom w:val="double" w:sz="8" w:space="0" w:color="000000"/>
            </w:tcBorders>
            <w:tcMar>
              <w:bottom w:w="28" w:type="dxa"/>
            </w:tcM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368" w:type="dxa"/>
            <w:tcBorders>
              <w:bottom w:val="double" w:sz="8" w:space="0" w:color="000000"/>
            </w:tcBorders>
            <w:tcMar>
              <w:bottom w:w="28" w:type="dxa"/>
            </w:tcMar>
            <w:vAlign w:val="center"/>
          </w:tcPr>
          <w:p>
            <w:pPr>
              <w:pStyle w:val="TableContents"/>
              <w:bidi w:val="0"/>
              <w:spacing w:lineRule="auto" w:line="300" w:before="0" w:after="0"/>
              <w:jc w:val="right"/>
              <w:rPr/>
            </w:pPr>
            <w:r>
              <w:rPr/>
              <w:t>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 w:type="dxa"/>
            <w:tcBorders>
              <w:bottom w:val="double" w:sz="8" w:space="0" w:color="000000"/>
            </w:tcBorders>
            <w:tcMar>
              <w:bottom w:w="28" w:type="dxa"/>
            </w:tcM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1111" w:type="dxa"/>
            <w:tcBorders>
              <w:bottom w:val="double" w:sz="8" w:space="0" w:color="000000"/>
            </w:tcBorders>
            <w:tcMar>
              <w:bottom w:w="28" w:type="dxa"/>
            </w:tcMar>
            <w:vAlign w:val="center"/>
          </w:tcPr>
          <w:p>
            <w:pPr>
              <w:pStyle w:val="TableContents"/>
              <w:bidi w:val="0"/>
              <w:spacing w:lineRule="auto" w:line="300" w:before="0" w:after="0"/>
              <w:jc w:val="right"/>
              <w:rPr/>
            </w:pPr>
            <w:r>
              <w:rPr/>
              <w:t>1,925,024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5" w:type="dxa"/>
            <w:tcBorders>
              <w:bottom w:val="double" w:sz="8" w:space="0" w:color="000000"/>
            </w:tcBorders>
            <w:tcMar>
              <w:bottom w:w="28" w:type="dxa"/>
            </w:tcM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1253" w:type="dxa"/>
            <w:tcBorders>
              <w:bottom w:val="double" w:sz="8" w:space="0" w:color="000000"/>
            </w:tcBorders>
            <w:tcMar>
              <w:bottom w:w="28" w:type="dxa"/>
            </w:tcMar>
            <w:vAlign w:val="center"/>
          </w:tcPr>
          <w:p>
            <w:pPr>
              <w:pStyle w:val="TableContents"/>
              <w:bidi w:val="0"/>
              <w:spacing w:lineRule="auto" w:line="300" w:before="0" w:after="0"/>
              <w:jc w:val="right"/>
              <w:rPr/>
            </w:pPr>
            <w:r>
              <w:rPr/>
              <w:t>8,813</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3" w:type="dxa"/>
            <w:tcBorders>
              <w:bottom w:val="double" w:sz="8" w:space="0" w:color="000000"/>
            </w:tcBorders>
            <w:tcMar>
              <w:bottom w:w="28" w:type="dxa"/>
            </w:tcM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1209" w:type="dxa"/>
            <w:tcBorders>
              <w:bottom w:val="double" w:sz="8" w:space="0" w:color="000000"/>
            </w:tcBorders>
            <w:tcMar>
              <w:bottom w:w="28" w:type="dxa"/>
            </w:tcMar>
            <w:vAlign w:val="center"/>
          </w:tcPr>
          <w:p>
            <w:pPr>
              <w:pStyle w:val="TableContents"/>
              <w:bidi w:val="0"/>
              <w:spacing w:lineRule="auto" w:line="300" w:before="0" w:after="0"/>
              <w:jc w:val="right"/>
              <w:rPr/>
            </w:pPr>
            <w:r>
              <w:rPr/>
              <w:t>(1,521,758</w:t>
            </w:r>
          </w:p>
        </w:tc>
        <w:tc>
          <w:tcPr>
            <w:tcW w:w="80"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vAlign w:val="center"/>
          </w:tcPr>
          <w:p>
            <w:pPr>
              <w:pStyle w:val="TableContents"/>
              <w:bidi w:val="0"/>
              <w:spacing w:before="0" w:after="283"/>
              <w:jc w:val="left"/>
              <w:rPr/>
            </w:pPr>
            <w:r>
              <w:rPr/>
              <w:t> </w:t>
            </w:r>
          </w:p>
        </w:tc>
        <w:tc>
          <w:tcPr>
            <w:tcW w:w="125" w:type="dxa"/>
            <w:tcBorders>
              <w:bottom w:val="double" w:sz="8" w:space="0" w:color="000000"/>
            </w:tcBorders>
            <w:tcMar>
              <w:bottom w:w="28" w:type="dxa"/>
            </w:tcM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800" w:type="dxa"/>
            <w:tcBorders>
              <w:bottom w:val="double" w:sz="8" w:space="0" w:color="000000"/>
            </w:tcBorders>
            <w:tcMar>
              <w:bottom w:w="28" w:type="dxa"/>
            </w:tcMar>
            <w:vAlign w:val="center"/>
          </w:tcPr>
          <w:p>
            <w:pPr>
              <w:pStyle w:val="TableContents"/>
              <w:bidi w:val="0"/>
              <w:spacing w:lineRule="auto" w:line="300" w:before="0" w:after="0"/>
              <w:jc w:val="right"/>
              <w:rPr/>
            </w:pPr>
            <w:r>
              <w:rPr/>
              <w:t>412,085</w:t>
            </w:r>
          </w:p>
        </w:tc>
        <w:tc>
          <w:tcPr>
            <w:tcW w:w="99" w:type="dxa"/>
            <w:tcBorders/>
            <w:vAlign w:val="center"/>
          </w:tcPr>
          <w:p>
            <w:pPr>
              <w:pStyle w:val="TableContents"/>
              <w:bidi w:val="0"/>
              <w:spacing w:before="0" w:after="283"/>
              <w:jc w:val="left"/>
              <w:rPr/>
            </w:pPr>
            <w:r>
              <w:rPr/>
              <w:t> </w:t>
            </w:r>
          </w:p>
        </w:tc>
      </w:tr>
    </w:tbl>
    <w:p>
      <w:pPr>
        <w:pStyle w:val="TextBody"/>
        <w:bidi w:val="0"/>
        <w:spacing w:lineRule="auto" w:line="300" w:before="0" w:after="0"/>
        <w:jc w:val="left"/>
        <w:rPr/>
      </w:pPr>
      <w:r>
        <w:rPr/>
        <w:t> </w:t>
      </w:r>
    </w:p>
    <w:p>
      <w:pPr>
        <w:pStyle w:val="TextBody"/>
        <w:bidi w:val="0"/>
        <w:spacing w:before="200" w:after="20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SOLAREDGE TECHNOLOGIES INC. | 2026 Form 10-Q | F - 5</w:t>
      </w:r>
    </w:p>
    <w:p>
      <w:pPr>
        <w:pStyle w:val="HorizontalLine"/>
        <w:bidi w:val="0"/>
        <w:spacing w:before="200" w:after="200"/>
        <w:jc w:val="left"/>
        <w:rPr/>
      </w:pPr>
      <w:r>
        <w:rPr/>
      </w:r>
    </w:p>
    <w:p>
      <w:pPr>
        <w:pStyle w:val="TextBody"/>
        <w:bidi w:val="0"/>
        <w:spacing w:lineRule="auto" w:line="300" w:before="0" w:after="0"/>
        <w:jc w:val="left"/>
        <w:rPr/>
      </w:pPr>
      <w:r>
        <w:rPr/>
        <w:t> </w:t>
      </w:r>
    </w:p>
    <w:p>
      <w:pPr>
        <w:pStyle w:val="TextBody"/>
        <w:bidi w:val="0"/>
        <w:spacing w:lineRule="auto" w:line="300" w:before="0" w:after="0"/>
        <w:ind w:left="0" w:right="0" w:firstLine="360"/>
        <w:jc w:val="center"/>
        <w:rPr>
          <w:b/>
        </w:rPr>
      </w:pPr>
      <w:r>
        <w:rPr>
          <w:rFonts w:ascii="Times New Roman;Times;serif" w:hAnsi="Times New Roman;Times;serif"/>
          <w:b/>
          <w:sz w:val="20"/>
        </w:rPr>
        <w:t>SOLAREDGE TECHNOLOGIES, INC.</w:t>
      </w:r>
      <w:r>
        <w:rPr>
          <w:b/>
        </w:rPr>
        <w:t xml:space="preserve"> </w:t>
      </w:r>
    </w:p>
    <w:p>
      <w:pPr>
        <w:pStyle w:val="TextBody"/>
        <w:bidi w:val="0"/>
        <w:spacing w:lineRule="auto" w:line="300" w:before="0" w:after="0"/>
        <w:jc w:val="center"/>
        <w:rPr/>
      </w:pPr>
      <w:r>
        <w:rPr/>
        <w:t> </w:t>
      </w:r>
    </w:p>
    <w:p>
      <w:pPr>
        <w:pStyle w:val="TextBody"/>
        <w:bidi w:val="0"/>
        <w:spacing w:lineRule="auto" w:line="300" w:before="0" w:after="0"/>
        <w:ind w:left="0" w:right="0" w:firstLine="360"/>
        <w:jc w:val="center"/>
        <w:rPr>
          <w:rFonts w:ascii="Times New Roman;Times;serif" w:hAnsi="Times New Roman;Times;serif"/>
          <w:b/>
          <w:sz w:val="20"/>
        </w:rPr>
      </w:pPr>
      <w:r>
        <w:rPr>
          <w:rFonts w:ascii="Times New Roman;Times;serif" w:hAnsi="Times New Roman;Times;serif"/>
          <w:b/>
          <w:sz w:val="20"/>
        </w:rPr>
        <w:t>CONDENSED CONSOLIDATED STATEMENTS OF STOCKHOLDERS’ EQUITY (Unaudited)</w:t>
      </w:r>
    </w:p>
    <w:p>
      <w:pPr>
        <w:pStyle w:val="TextBody"/>
        <w:bidi w:val="0"/>
        <w:spacing w:lineRule="auto" w:line="300" w:before="0" w:after="0"/>
        <w:jc w:val="center"/>
        <w:rPr/>
      </w:pPr>
      <w:r>
        <w:rPr/>
        <w:t> </w:t>
      </w:r>
    </w:p>
    <w:p>
      <w:pPr>
        <w:pStyle w:val="TextBody"/>
        <w:bidi w:val="0"/>
        <w:spacing w:lineRule="auto" w:line="300" w:before="0" w:after="0"/>
        <w:jc w:val="center"/>
        <w:rPr>
          <w:rFonts w:ascii="Times New Roman;Times;serif" w:hAnsi="Times New Roman;Times;serif"/>
          <w:b/>
          <w:sz w:val="20"/>
        </w:rPr>
      </w:pPr>
      <w:r>
        <w:rPr>
          <w:rFonts w:ascii="Times New Roman;Times;serif" w:hAnsi="Times New Roman;Times;serif"/>
          <w:b/>
          <w:sz w:val="20"/>
        </w:rPr>
        <w:t>(in thousands, except per share data)</w:t>
      </w:r>
    </w:p>
    <w:p>
      <w:pPr>
        <w:pStyle w:val="TextBody"/>
        <w:bidi w:val="0"/>
        <w:spacing w:lineRule="auto" w:line="300" w:before="0" w:after="0"/>
        <w:ind w:left="0" w:right="0" w:firstLine="360"/>
        <w:jc w:val="center"/>
        <w:rPr/>
      </w:pPr>
      <w:r>
        <w:rPr/>
        <w:t> </w:t>
      </w:r>
    </w:p>
    <w:tbl>
      <w:tblPr>
        <w:tblW w:w="10205" w:type="dxa"/>
        <w:jc w:val="left"/>
        <w:tblInd w:w="0" w:type="dxa"/>
        <w:tblLayout w:type="fixed"/>
        <w:tblCellMar>
          <w:top w:w="0" w:type="dxa"/>
          <w:left w:w="0" w:type="dxa"/>
          <w:bottom w:w="0" w:type="dxa"/>
          <w:right w:w="0" w:type="dxa"/>
        </w:tblCellMar>
      </w:tblPr>
      <w:tblGrid>
        <w:gridCol w:w="1804"/>
        <w:gridCol w:w="60"/>
        <w:gridCol w:w="60"/>
        <w:gridCol w:w="1100"/>
        <w:gridCol w:w="60"/>
        <w:gridCol w:w="60"/>
        <w:gridCol w:w="327"/>
        <w:gridCol w:w="368"/>
        <w:gridCol w:w="60"/>
        <w:gridCol w:w="60"/>
        <w:gridCol w:w="128"/>
        <w:gridCol w:w="1007"/>
        <w:gridCol w:w="80"/>
        <w:gridCol w:w="60"/>
        <w:gridCol w:w="129"/>
        <w:gridCol w:w="779"/>
        <w:gridCol w:w="80"/>
        <w:gridCol w:w="60"/>
        <w:gridCol w:w="187"/>
        <w:gridCol w:w="1141"/>
        <w:gridCol w:w="80"/>
        <w:gridCol w:w="60"/>
        <w:gridCol w:w="128"/>
        <w:gridCol w:w="1087"/>
        <w:gridCol w:w="80"/>
        <w:gridCol w:w="60"/>
        <w:gridCol w:w="125"/>
        <w:gridCol w:w="875"/>
        <w:gridCol w:w="100"/>
      </w:tblGrid>
      <w:tr>
        <w:trPr/>
        <w:tc>
          <w:tcPr>
            <w:tcW w:w="180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75" w:type="dxa"/>
            <w:gridSpan w:val="6"/>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Common stock</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35" w:type="dxa"/>
            <w:gridSpan w:val="2"/>
            <w:vMerge w:val="restart"/>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Additional paid in</w:t>
            </w:r>
          </w:p>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Capital</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08" w:type="dxa"/>
            <w:gridSpan w:val="2"/>
            <w:vMerge w:val="restart"/>
            <w:tcBorders>
              <w:bottom w:val="single" w:sz="12" w:space="0" w:color="000000"/>
            </w:tcBorders>
            <w:tcMar>
              <w:bottom w:w="28" w:type="dxa"/>
            </w:tcMar>
            <w:vAlign w:val="center"/>
          </w:tcPr>
          <w:p>
            <w:pPr>
              <w:pStyle w:val="TableContents"/>
              <w:bidi w:val="0"/>
              <w:spacing w:before="0" w:after="0"/>
              <w:jc w:val="left"/>
              <w:rPr/>
            </w:pPr>
            <w:r>
              <w:rPr/>
              <w:t> </w:t>
            </w:r>
          </w:p>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Treasury stock</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28" w:type="dxa"/>
            <w:gridSpan w:val="2"/>
            <w:vMerge w:val="restart"/>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Accumulated</w:t>
            </w:r>
          </w:p>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other comprehensive</w:t>
            </w:r>
          </w:p>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loss</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15" w:type="dxa"/>
            <w:gridSpan w:val="2"/>
            <w:vMerge w:val="restart"/>
            <w:tcBorders>
              <w:bottom w:val="single" w:sz="12" w:space="0" w:color="000000"/>
            </w:tcBorders>
            <w:tcMar>
              <w:bottom w:w="28" w:type="dxa"/>
            </w:tcMar>
            <w:vAlign w:val="center"/>
          </w:tcPr>
          <w:p>
            <w:pPr>
              <w:pStyle w:val="TableContents"/>
              <w:bidi w:val="0"/>
              <w:spacing w:before="0" w:after="0"/>
              <w:jc w:val="left"/>
              <w:rPr/>
            </w:pPr>
            <w:r>
              <w:rPr/>
              <w:t> </w:t>
            </w:r>
          </w:p>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Accumulated deficit</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00" w:type="dxa"/>
            <w:gridSpan w:val="2"/>
            <w:vMerge w:val="restart"/>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Total</w:t>
            </w:r>
          </w:p>
        </w:tc>
        <w:tc>
          <w:tcPr>
            <w:tcW w:w="100" w:type="dxa"/>
            <w:tcBorders/>
            <w:vAlign w:val="center"/>
          </w:tcPr>
          <w:p>
            <w:pPr>
              <w:pStyle w:val="TableContents"/>
              <w:bidi w:val="0"/>
              <w:spacing w:before="0" w:after="283"/>
              <w:jc w:val="left"/>
              <w:rPr/>
            </w:pPr>
            <w:r>
              <w:rPr/>
              <w:t> </w:t>
            </w:r>
          </w:p>
        </w:tc>
      </w:tr>
      <w:tr>
        <w:trPr/>
        <w:tc>
          <w:tcPr>
            <w:tcW w:w="180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Number</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95"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35" w:type="dxa"/>
            <w:gridSpan w:val="2"/>
            <w:vMerge w:val="continue"/>
            <w:tcBorders>
              <w:bottom w:val="single" w:sz="12" w:space="0" w:color="000000"/>
            </w:tcBorders>
            <w:tcMar>
              <w:bottom w:w="28" w:type="dxa"/>
            </w:tcMar>
            <w:vAlign w:val="center"/>
          </w:tcPr>
          <w:p>
            <w:pPr>
              <w:pStyle w:val="Normal"/>
              <w:bidi w:val="0"/>
              <w:jc w:val="left"/>
              <w:rPr/>
            </w:pPr>
            <w:r>
              <w:rPr/>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08" w:type="dxa"/>
            <w:gridSpan w:val="2"/>
            <w:vMerge w:val="continue"/>
            <w:tcBorders>
              <w:bottom w:val="single" w:sz="12" w:space="0" w:color="000000"/>
            </w:tcBorders>
            <w:tcMar>
              <w:bottom w:w="28" w:type="dxa"/>
            </w:tcMar>
            <w:vAlign w:val="center"/>
          </w:tcPr>
          <w:p>
            <w:pPr>
              <w:pStyle w:val="Normal"/>
              <w:bidi w:val="0"/>
              <w:jc w:val="left"/>
              <w:rPr/>
            </w:pPr>
            <w:r>
              <w:rPr/>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28" w:type="dxa"/>
            <w:gridSpan w:val="2"/>
            <w:vMerge w:val="continue"/>
            <w:tcBorders>
              <w:bottom w:val="single" w:sz="12" w:space="0" w:color="000000"/>
            </w:tcBorders>
            <w:tcMar>
              <w:bottom w:w="28" w:type="dxa"/>
            </w:tcMar>
            <w:vAlign w:val="center"/>
          </w:tcPr>
          <w:p>
            <w:pPr>
              <w:pStyle w:val="Normal"/>
              <w:bidi w:val="0"/>
              <w:jc w:val="left"/>
              <w:rPr/>
            </w:pPr>
            <w:r>
              <w:rPr/>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15" w:type="dxa"/>
            <w:gridSpan w:val="2"/>
            <w:vMerge w:val="continue"/>
            <w:tcBorders>
              <w:bottom w:val="single" w:sz="12" w:space="0" w:color="000000"/>
            </w:tcBorders>
            <w:tcMar>
              <w:bottom w:w="28" w:type="dxa"/>
            </w:tcMar>
            <w:vAlign w:val="center"/>
          </w:tcPr>
          <w:p>
            <w:pPr>
              <w:pStyle w:val="Normal"/>
              <w:bidi w:val="0"/>
              <w:jc w:val="left"/>
              <w:rPr/>
            </w:pPr>
            <w:r>
              <w:rPr/>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00" w:type="dxa"/>
            <w:gridSpan w:val="2"/>
            <w:vMerge w:val="continue"/>
            <w:tcBorders>
              <w:bottom w:val="single" w:sz="12" w:space="0" w:color="000000"/>
            </w:tcBorders>
            <w:tcMar>
              <w:bottom w:w="28" w:type="dxa"/>
            </w:tcMar>
            <w:vAlign w:val="center"/>
          </w:tcPr>
          <w:p>
            <w:pPr>
              <w:pStyle w:val="Normal"/>
              <w:bidi w:val="0"/>
              <w:jc w:val="left"/>
              <w:rPr/>
            </w:pPr>
            <w:r>
              <w:rPr/>
            </w:r>
          </w:p>
        </w:tc>
        <w:tc>
          <w:tcPr>
            <w:tcW w:w="100" w:type="dxa"/>
            <w:tcBorders/>
            <w:vAlign w:val="center"/>
          </w:tcPr>
          <w:p>
            <w:pPr>
              <w:pStyle w:val="TableContents"/>
              <w:bidi w:val="0"/>
              <w:spacing w:before="0" w:after="283"/>
              <w:jc w:val="left"/>
              <w:rPr/>
            </w:pPr>
            <w:r>
              <w:rPr/>
              <w:t> </w:t>
            </w:r>
          </w:p>
        </w:tc>
      </w:tr>
      <w:tr>
        <w:trPr/>
        <w:tc>
          <w:tcPr>
            <w:tcW w:w="1804"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Balance as of January 1, 2025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lineRule="auto" w:line="300" w:before="0" w:after="0"/>
              <w:jc w:val="right"/>
              <w:rPr/>
            </w:pPr>
            <w:r>
              <w:rPr/>
              <w:t>58,027,126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27"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368" w:type="dxa"/>
            <w:tcBorders/>
            <w:shd w:fill="CCEEFF" w:val="clear"/>
            <w:vAlign w:val="center"/>
          </w:tcPr>
          <w:p>
            <w:pPr>
              <w:pStyle w:val="TableContents"/>
              <w:bidi w:val="0"/>
              <w:spacing w:lineRule="auto" w:line="300" w:before="0" w:after="0"/>
              <w:jc w:val="right"/>
              <w:rPr/>
            </w:pPr>
            <w:r>
              <w:rPr/>
              <w:t>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1007" w:type="dxa"/>
            <w:tcBorders/>
            <w:shd w:fill="CCEEFF" w:val="clear"/>
            <w:vAlign w:val="center"/>
          </w:tcPr>
          <w:p>
            <w:pPr>
              <w:pStyle w:val="TableContents"/>
              <w:bidi w:val="0"/>
              <w:spacing w:lineRule="auto" w:line="300" w:before="0" w:after="0"/>
              <w:jc w:val="right"/>
              <w:rPr/>
            </w:pPr>
            <w:r>
              <w:rPr/>
              <w:t>1,813,198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9"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779" w:type="dxa"/>
            <w:tcBorders/>
            <w:shd w:fill="CCEEFF" w:val="clear"/>
            <w:vAlign w:val="center"/>
          </w:tcPr>
          <w:p>
            <w:pPr>
              <w:pStyle w:val="TableContents"/>
              <w:bidi w:val="0"/>
              <w:spacing w:lineRule="auto" w:line="300" w:before="0" w:after="0"/>
              <w:jc w:val="right"/>
              <w:rPr/>
            </w:pPr>
            <w:r>
              <w:rPr/>
              <w:t>(50,194</w:t>
            </w:r>
          </w:p>
        </w:tc>
        <w:tc>
          <w:tcPr>
            <w:tcW w:w="80"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1141" w:type="dxa"/>
            <w:tcBorders/>
            <w:shd w:fill="CCEEFF" w:val="clear"/>
            <w:vAlign w:val="center"/>
          </w:tcPr>
          <w:p>
            <w:pPr>
              <w:pStyle w:val="TableContents"/>
              <w:bidi w:val="0"/>
              <w:spacing w:lineRule="auto" w:line="300" w:before="0" w:after="0"/>
              <w:jc w:val="right"/>
              <w:rPr/>
            </w:pPr>
            <w:r>
              <w:rPr/>
              <w:t>(76,477</w:t>
            </w:r>
          </w:p>
        </w:tc>
        <w:tc>
          <w:tcPr>
            <w:tcW w:w="80"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1087" w:type="dxa"/>
            <w:tcBorders/>
            <w:shd w:fill="CCEEFF" w:val="clear"/>
            <w:vAlign w:val="center"/>
          </w:tcPr>
          <w:p>
            <w:pPr>
              <w:pStyle w:val="TableContents"/>
              <w:bidi w:val="0"/>
              <w:spacing w:lineRule="auto" w:line="300" w:before="0" w:after="0"/>
              <w:jc w:val="right"/>
              <w:rPr/>
            </w:pPr>
            <w:r>
              <w:rPr/>
              <w:t>(1,028,191</w:t>
            </w:r>
          </w:p>
        </w:tc>
        <w:tc>
          <w:tcPr>
            <w:tcW w:w="80"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875" w:type="dxa"/>
            <w:tcBorders/>
            <w:shd w:fill="CCEEFF" w:val="clear"/>
            <w:vAlign w:val="center"/>
          </w:tcPr>
          <w:p>
            <w:pPr>
              <w:pStyle w:val="TableContents"/>
              <w:bidi w:val="0"/>
              <w:spacing w:lineRule="auto" w:line="300" w:before="0" w:after="0"/>
              <w:jc w:val="right"/>
              <w:rPr/>
            </w:pPr>
            <w:r>
              <w:rPr/>
              <w:t>658,342</w:t>
            </w:r>
          </w:p>
        </w:tc>
        <w:tc>
          <w:tcPr>
            <w:tcW w:w="100" w:type="dxa"/>
            <w:tcBorders/>
            <w:shd w:fill="CCEEFF" w:val="clear"/>
            <w:vAlign w:val="center"/>
          </w:tcPr>
          <w:p>
            <w:pPr>
              <w:pStyle w:val="TableContents"/>
              <w:bidi w:val="0"/>
              <w:spacing w:before="0" w:after="283"/>
              <w:jc w:val="left"/>
              <w:rPr/>
            </w:pPr>
            <w:r>
              <w:rPr/>
              <w:t> </w:t>
            </w:r>
          </w:p>
        </w:tc>
      </w:tr>
      <w:tr>
        <w:trPr/>
        <w:tc>
          <w:tcPr>
            <w:tcW w:w="1804"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Issuance of common stock upon exercise of stock-based awards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lineRule="auto" w:line="300" w:before="0" w:after="0"/>
              <w:jc w:val="right"/>
              <w:rPr/>
            </w:pPr>
            <w:r>
              <w:rPr/>
              <w:t>263,327</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7" w:type="dxa"/>
            <w:tcBorders/>
            <w:vAlign w:val="center"/>
          </w:tcPr>
          <w:p>
            <w:pPr>
              <w:pStyle w:val="TableContents"/>
              <w:bidi w:val="0"/>
              <w:spacing w:before="0" w:after="283"/>
              <w:jc w:val="left"/>
              <w:rPr/>
            </w:pPr>
            <w:r>
              <w:rPr/>
              <w:t> </w:t>
            </w:r>
          </w:p>
        </w:tc>
        <w:tc>
          <w:tcPr>
            <w:tcW w:w="368" w:type="dxa"/>
            <w:tcBorders/>
            <w:vAlign w:val="center"/>
          </w:tcPr>
          <w:p>
            <w:pPr>
              <w:pStyle w:val="TableContents"/>
              <w:bidi w:val="0"/>
              <w:spacing w:lineRule="auto" w:line="300" w:before="0" w:after="0"/>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8" w:type="dxa"/>
            <w:tcBorders/>
            <w:vAlign w:val="center"/>
          </w:tcPr>
          <w:p>
            <w:pPr>
              <w:pStyle w:val="TableContents"/>
              <w:bidi w:val="0"/>
              <w:spacing w:before="0" w:after="283"/>
              <w:jc w:val="left"/>
              <w:rPr/>
            </w:pPr>
            <w:r>
              <w:rPr/>
              <w:t> </w:t>
            </w:r>
          </w:p>
        </w:tc>
        <w:tc>
          <w:tcPr>
            <w:tcW w:w="1007" w:type="dxa"/>
            <w:tcBorders/>
            <w:vAlign w:val="center"/>
          </w:tcPr>
          <w:p>
            <w:pPr>
              <w:pStyle w:val="TableContents"/>
              <w:bidi w:val="0"/>
              <w:spacing w:lineRule="auto" w:line="300" w:before="0" w:after="0"/>
              <w:jc w:val="right"/>
              <w:rPr/>
            </w:pPr>
            <w:r>
              <w:rPr/>
              <w:t>10</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9" w:type="dxa"/>
            <w:tcBorders/>
            <w:vAlign w:val="center"/>
          </w:tcPr>
          <w:p>
            <w:pPr>
              <w:pStyle w:val="TableContents"/>
              <w:bidi w:val="0"/>
              <w:spacing w:before="0" w:after="283"/>
              <w:jc w:val="left"/>
              <w:rPr/>
            </w:pPr>
            <w:r>
              <w:rPr/>
              <w:t> </w:t>
            </w:r>
          </w:p>
        </w:tc>
        <w:tc>
          <w:tcPr>
            <w:tcW w:w="779" w:type="dxa"/>
            <w:tcBorders/>
            <w:vAlign w:val="center"/>
          </w:tcPr>
          <w:p>
            <w:pPr>
              <w:pStyle w:val="TableContents"/>
              <w:bidi w:val="0"/>
              <w:spacing w:lineRule="auto" w:line="300" w:before="0" w:after="0"/>
              <w:jc w:val="right"/>
              <w:rPr/>
            </w:pPr>
            <w:r>
              <w:rPr/>
              <w:t>-</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7" w:type="dxa"/>
            <w:tcBorders/>
            <w:vAlign w:val="center"/>
          </w:tcPr>
          <w:p>
            <w:pPr>
              <w:pStyle w:val="TableContents"/>
              <w:bidi w:val="0"/>
              <w:spacing w:before="0" w:after="283"/>
              <w:jc w:val="left"/>
              <w:rPr/>
            </w:pPr>
            <w:r>
              <w:rPr/>
              <w:t> </w:t>
            </w:r>
          </w:p>
        </w:tc>
        <w:tc>
          <w:tcPr>
            <w:tcW w:w="1141" w:type="dxa"/>
            <w:tcBorders/>
            <w:vAlign w:val="center"/>
          </w:tcPr>
          <w:p>
            <w:pPr>
              <w:pStyle w:val="TableContents"/>
              <w:bidi w:val="0"/>
              <w:spacing w:lineRule="auto" w:line="300" w:before="0" w:after="0"/>
              <w:jc w:val="right"/>
              <w:rPr/>
            </w:pPr>
            <w:r>
              <w:rPr/>
              <w:t>-</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8" w:type="dxa"/>
            <w:tcBorders/>
            <w:vAlign w:val="center"/>
          </w:tcPr>
          <w:p>
            <w:pPr>
              <w:pStyle w:val="TableContents"/>
              <w:bidi w:val="0"/>
              <w:spacing w:before="0" w:after="283"/>
              <w:jc w:val="left"/>
              <w:rPr/>
            </w:pPr>
            <w:r>
              <w:rPr/>
              <w:t> </w:t>
            </w:r>
          </w:p>
        </w:tc>
        <w:tc>
          <w:tcPr>
            <w:tcW w:w="1087" w:type="dxa"/>
            <w:tcBorders/>
            <w:vAlign w:val="center"/>
          </w:tcPr>
          <w:p>
            <w:pPr>
              <w:pStyle w:val="TableContents"/>
              <w:bidi w:val="0"/>
              <w:spacing w:lineRule="auto" w:line="300" w:before="0" w:after="0"/>
              <w:jc w:val="right"/>
              <w:rPr/>
            </w:pPr>
            <w:r>
              <w:rPr/>
              <w:t>-</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lineRule="auto" w:line="300" w:before="0" w:after="0"/>
              <w:jc w:val="right"/>
              <w:rPr/>
            </w:pPr>
            <w:r>
              <w:rPr/>
              <w:t>10</w:t>
            </w:r>
          </w:p>
        </w:tc>
        <w:tc>
          <w:tcPr>
            <w:tcW w:w="100" w:type="dxa"/>
            <w:tcBorders/>
            <w:vAlign w:val="center"/>
          </w:tcPr>
          <w:p>
            <w:pPr>
              <w:pStyle w:val="TableContents"/>
              <w:bidi w:val="0"/>
              <w:spacing w:before="0" w:after="283"/>
              <w:jc w:val="left"/>
              <w:rPr/>
            </w:pPr>
            <w:r>
              <w:rPr/>
              <w:t> </w:t>
            </w:r>
          </w:p>
        </w:tc>
      </w:tr>
      <w:tr>
        <w:trPr/>
        <w:tc>
          <w:tcPr>
            <w:tcW w:w="1804"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Stock-based compensation</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27" w:type="dxa"/>
            <w:tcBorders/>
            <w:shd w:fill="CCEEFF" w:val="clear"/>
            <w:vAlign w:val="center"/>
          </w:tcPr>
          <w:p>
            <w:pPr>
              <w:pStyle w:val="TableContents"/>
              <w:bidi w:val="0"/>
              <w:spacing w:before="0" w:after="283"/>
              <w:jc w:val="left"/>
              <w:rPr/>
            </w:pPr>
            <w:r>
              <w:rPr/>
              <w:t> </w:t>
            </w:r>
          </w:p>
        </w:tc>
        <w:tc>
          <w:tcPr>
            <w:tcW w:w="368" w:type="dxa"/>
            <w:tcBorders/>
            <w:shd w:fill="CCEEFF" w:val="clear"/>
            <w:vAlign w:val="center"/>
          </w:tcPr>
          <w:p>
            <w:pPr>
              <w:pStyle w:val="TableContents"/>
              <w:bidi w:val="0"/>
              <w:spacing w:lineRule="auto" w:line="300" w:before="0" w:after="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jc w:val="left"/>
              <w:rPr/>
            </w:pPr>
            <w:r>
              <w:rPr/>
              <w:t> </w:t>
            </w:r>
          </w:p>
        </w:tc>
        <w:tc>
          <w:tcPr>
            <w:tcW w:w="1007" w:type="dxa"/>
            <w:tcBorders/>
            <w:shd w:fill="CCEEFF" w:val="clear"/>
            <w:vAlign w:val="center"/>
          </w:tcPr>
          <w:p>
            <w:pPr>
              <w:pStyle w:val="TableContents"/>
              <w:bidi w:val="0"/>
              <w:spacing w:lineRule="auto" w:line="300" w:before="0" w:after="0"/>
              <w:jc w:val="right"/>
              <w:rPr/>
            </w:pPr>
            <w:r>
              <w:rPr/>
              <w:t>32,511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9" w:type="dxa"/>
            <w:tcBorders/>
            <w:shd w:fill="CCEEFF" w:val="clear"/>
            <w:vAlign w:val="center"/>
          </w:tcPr>
          <w:p>
            <w:pPr>
              <w:pStyle w:val="TableContents"/>
              <w:bidi w:val="0"/>
              <w:spacing w:before="0" w:after="283"/>
              <w:jc w:val="left"/>
              <w:rPr/>
            </w:pPr>
            <w:r>
              <w:rPr/>
              <w:t> </w:t>
            </w:r>
          </w:p>
        </w:tc>
        <w:tc>
          <w:tcPr>
            <w:tcW w:w="779" w:type="dxa"/>
            <w:tcBorders/>
            <w:shd w:fill="CCEEFF" w:val="clear"/>
            <w:vAlign w:val="center"/>
          </w:tcPr>
          <w:p>
            <w:pPr>
              <w:pStyle w:val="TableContents"/>
              <w:bidi w:val="0"/>
              <w:spacing w:lineRule="auto" w:line="300" w:before="0" w:after="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 </w:t>
            </w:r>
          </w:p>
        </w:tc>
        <w:tc>
          <w:tcPr>
            <w:tcW w:w="1141" w:type="dxa"/>
            <w:tcBorders/>
            <w:shd w:fill="CCEEFF" w:val="clear"/>
            <w:vAlign w:val="center"/>
          </w:tcPr>
          <w:p>
            <w:pPr>
              <w:pStyle w:val="TableContents"/>
              <w:bidi w:val="0"/>
              <w:spacing w:lineRule="auto" w:line="300" w:before="0" w:after="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jc w:val="left"/>
              <w:rPr/>
            </w:pPr>
            <w:r>
              <w:rPr/>
              <w:t> </w:t>
            </w:r>
          </w:p>
        </w:tc>
        <w:tc>
          <w:tcPr>
            <w:tcW w:w="1087" w:type="dxa"/>
            <w:tcBorders/>
            <w:shd w:fill="CCEEFF" w:val="clear"/>
            <w:vAlign w:val="center"/>
          </w:tcPr>
          <w:p>
            <w:pPr>
              <w:pStyle w:val="TableContents"/>
              <w:bidi w:val="0"/>
              <w:spacing w:lineRule="auto" w:line="300" w:before="0" w:after="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lineRule="auto" w:line="300" w:before="0" w:after="0"/>
              <w:jc w:val="right"/>
              <w:rPr/>
            </w:pPr>
            <w:r>
              <w:rPr/>
              <w:t>32,511</w:t>
            </w:r>
          </w:p>
        </w:tc>
        <w:tc>
          <w:tcPr>
            <w:tcW w:w="100" w:type="dxa"/>
            <w:tcBorders/>
            <w:shd w:fill="CCEEFF" w:val="clear"/>
            <w:vAlign w:val="center"/>
          </w:tcPr>
          <w:p>
            <w:pPr>
              <w:pStyle w:val="TableContents"/>
              <w:bidi w:val="0"/>
              <w:spacing w:before="0" w:after="283"/>
              <w:jc w:val="left"/>
              <w:rPr/>
            </w:pPr>
            <w:r>
              <w:rPr/>
              <w:t> </w:t>
            </w:r>
          </w:p>
        </w:tc>
      </w:tr>
      <w:tr>
        <w:trPr/>
        <w:tc>
          <w:tcPr>
            <w:tcW w:w="1804"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Other comprehensive income, net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7" w:type="dxa"/>
            <w:tcBorders/>
            <w:vAlign w:val="center"/>
          </w:tcPr>
          <w:p>
            <w:pPr>
              <w:pStyle w:val="TableContents"/>
              <w:bidi w:val="0"/>
              <w:spacing w:before="0" w:after="283"/>
              <w:jc w:val="left"/>
              <w:rPr/>
            </w:pPr>
            <w:r>
              <w:rPr/>
              <w:t> </w:t>
            </w:r>
          </w:p>
        </w:tc>
        <w:tc>
          <w:tcPr>
            <w:tcW w:w="368" w:type="dxa"/>
            <w:tcBorders/>
            <w:vAlign w:val="center"/>
          </w:tcPr>
          <w:p>
            <w:pPr>
              <w:pStyle w:val="TableContents"/>
              <w:bidi w:val="0"/>
              <w:spacing w:lineRule="auto" w:line="300" w:before="0" w:after="0"/>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8" w:type="dxa"/>
            <w:tcBorders/>
            <w:vAlign w:val="center"/>
          </w:tcPr>
          <w:p>
            <w:pPr>
              <w:pStyle w:val="TableContents"/>
              <w:bidi w:val="0"/>
              <w:spacing w:before="0" w:after="283"/>
              <w:jc w:val="left"/>
              <w:rPr/>
            </w:pPr>
            <w:r>
              <w:rPr/>
              <w:t> </w:t>
            </w:r>
          </w:p>
        </w:tc>
        <w:tc>
          <w:tcPr>
            <w:tcW w:w="1007" w:type="dxa"/>
            <w:tcBorders/>
            <w:vAlign w:val="center"/>
          </w:tcPr>
          <w:p>
            <w:pPr>
              <w:pStyle w:val="TableContents"/>
              <w:bidi w:val="0"/>
              <w:spacing w:lineRule="auto" w:line="300" w:before="0" w:after="0"/>
              <w:jc w:val="right"/>
              <w:rPr/>
            </w:pPr>
            <w:r>
              <w:rPr/>
              <w:t>-</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9" w:type="dxa"/>
            <w:tcBorders/>
            <w:vAlign w:val="center"/>
          </w:tcPr>
          <w:p>
            <w:pPr>
              <w:pStyle w:val="TableContents"/>
              <w:bidi w:val="0"/>
              <w:spacing w:before="0" w:after="283"/>
              <w:jc w:val="left"/>
              <w:rPr/>
            </w:pPr>
            <w:r>
              <w:rPr/>
              <w:t> </w:t>
            </w:r>
          </w:p>
        </w:tc>
        <w:tc>
          <w:tcPr>
            <w:tcW w:w="779" w:type="dxa"/>
            <w:tcBorders/>
            <w:vAlign w:val="center"/>
          </w:tcPr>
          <w:p>
            <w:pPr>
              <w:pStyle w:val="TableContents"/>
              <w:bidi w:val="0"/>
              <w:spacing w:lineRule="auto" w:line="300" w:before="0" w:after="0"/>
              <w:jc w:val="right"/>
              <w:rPr/>
            </w:pPr>
            <w:r>
              <w:rPr/>
              <w:t>-</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7" w:type="dxa"/>
            <w:tcBorders/>
            <w:vAlign w:val="center"/>
          </w:tcPr>
          <w:p>
            <w:pPr>
              <w:pStyle w:val="TableContents"/>
              <w:bidi w:val="0"/>
              <w:spacing w:before="0" w:after="283"/>
              <w:jc w:val="left"/>
              <w:rPr/>
            </w:pPr>
            <w:r>
              <w:rPr/>
              <w:t> </w:t>
            </w:r>
          </w:p>
        </w:tc>
        <w:tc>
          <w:tcPr>
            <w:tcW w:w="1141" w:type="dxa"/>
            <w:tcBorders/>
            <w:vAlign w:val="center"/>
          </w:tcPr>
          <w:p>
            <w:pPr>
              <w:pStyle w:val="TableContents"/>
              <w:bidi w:val="0"/>
              <w:spacing w:lineRule="auto" w:line="300" w:before="0" w:after="0"/>
              <w:jc w:val="right"/>
              <w:rPr/>
            </w:pPr>
            <w:r>
              <w:rPr/>
              <w:t>1,873</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8" w:type="dxa"/>
            <w:tcBorders/>
            <w:vAlign w:val="center"/>
          </w:tcPr>
          <w:p>
            <w:pPr>
              <w:pStyle w:val="TableContents"/>
              <w:bidi w:val="0"/>
              <w:spacing w:before="0" w:after="283"/>
              <w:jc w:val="left"/>
              <w:rPr/>
            </w:pPr>
            <w:r>
              <w:rPr/>
              <w:t> </w:t>
            </w:r>
          </w:p>
        </w:tc>
        <w:tc>
          <w:tcPr>
            <w:tcW w:w="1087" w:type="dxa"/>
            <w:tcBorders/>
            <w:vAlign w:val="center"/>
          </w:tcPr>
          <w:p>
            <w:pPr>
              <w:pStyle w:val="TableContents"/>
              <w:bidi w:val="0"/>
              <w:spacing w:lineRule="auto" w:line="300" w:before="0" w:after="0"/>
              <w:jc w:val="right"/>
              <w:rPr/>
            </w:pPr>
            <w:r>
              <w:rPr/>
              <w:t>-</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lineRule="auto" w:line="300" w:before="0" w:after="0"/>
              <w:jc w:val="right"/>
              <w:rPr/>
            </w:pPr>
            <w:r>
              <w:rPr/>
              <w:t>1,873</w:t>
            </w:r>
          </w:p>
        </w:tc>
        <w:tc>
          <w:tcPr>
            <w:tcW w:w="100" w:type="dxa"/>
            <w:tcBorders/>
            <w:vAlign w:val="center"/>
          </w:tcPr>
          <w:p>
            <w:pPr>
              <w:pStyle w:val="TableContents"/>
              <w:bidi w:val="0"/>
              <w:spacing w:before="0" w:after="283"/>
              <w:jc w:val="left"/>
              <w:rPr/>
            </w:pPr>
            <w:r>
              <w:rPr/>
              <w:t> </w:t>
            </w:r>
          </w:p>
        </w:tc>
      </w:tr>
      <w:tr>
        <w:trPr/>
        <w:tc>
          <w:tcPr>
            <w:tcW w:w="1804"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Net loss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2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368" w:type="dxa"/>
            <w:tcBorders>
              <w:bottom w:val="single" w:sz="12" w:space="0" w:color="000000"/>
            </w:tcBorders>
            <w:shd w:fill="CCEEFF" w:val="clear"/>
            <w:tcMar>
              <w:bottom w:w="28" w:type="dxa"/>
            </w:tcMar>
            <w:vAlign w:val="center"/>
          </w:tcPr>
          <w:p>
            <w:pPr>
              <w:pStyle w:val="TableContents"/>
              <w:bidi w:val="0"/>
              <w:spacing w:lineRule="auto" w:line="300" w:before="0" w:after="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07" w:type="dxa"/>
            <w:tcBorders>
              <w:bottom w:val="single" w:sz="12" w:space="0" w:color="000000"/>
            </w:tcBorders>
            <w:shd w:fill="CCEEFF" w:val="clear"/>
            <w:tcMar>
              <w:bottom w:w="28" w:type="dxa"/>
            </w:tcMar>
            <w:vAlign w:val="center"/>
          </w:tcPr>
          <w:p>
            <w:pPr>
              <w:pStyle w:val="TableContents"/>
              <w:bidi w:val="0"/>
              <w:spacing w:lineRule="auto" w:line="300" w:before="0" w:after="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79" w:type="dxa"/>
            <w:tcBorders>
              <w:bottom w:val="single" w:sz="12" w:space="0" w:color="000000"/>
            </w:tcBorders>
            <w:shd w:fill="CCEEFF" w:val="clear"/>
            <w:tcMar>
              <w:bottom w:w="28" w:type="dxa"/>
            </w:tcMar>
            <w:vAlign w:val="center"/>
          </w:tcPr>
          <w:p>
            <w:pPr>
              <w:pStyle w:val="TableContents"/>
              <w:bidi w:val="0"/>
              <w:spacing w:lineRule="auto" w:line="300" w:before="0" w:after="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41" w:type="dxa"/>
            <w:tcBorders>
              <w:bottom w:val="single" w:sz="12" w:space="0" w:color="000000"/>
            </w:tcBorders>
            <w:shd w:fill="CCEEFF" w:val="clear"/>
            <w:tcMar>
              <w:bottom w:w="28" w:type="dxa"/>
            </w:tcMar>
            <w:vAlign w:val="center"/>
          </w:tcPr>
          <w:p>
            <w:pPr>
              <w:pStyle w:val="TableContents"/>
              <w:bidi w:val="0"/>
              <w:spacing w:lineRule="auto" w:line="300" w:before="0" w:after="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87" w:type="dxa"/>
            <w:tcBorders>
              <w:bottom w:val="single" w:sz="12" w:space="0" w:color="000000"/>
            </w:tcBorders>
            <w:shd w:fill="CCEEFF" w:val="clear"/>
            <w:tcMar>
              <w:bottom w:w="28" w:type="dxa"/>
            </w:tcMar>
            <w:vAlign w:val="center"/>
          </w:tcPr>
          <w:p>
            <w:pPr>
              <w:pStyle w:val="TableContents"/>
              <w:bidi w:val="0"/>
              <w:spacing w:lineRule="auto" w:line="300" w:before="0" w:after="0"/>
              <w:jc w:val="right"/>
              <w:rPr/>
            </w:pPr>
            <w:r>
              <w:rPr/>
              <w:t>(98,523</w:t>
            </w:r>
          </w:p>
        </w:tc>
        <w:tc>
          <w:tcPr>
            <w:tcW w:w="80"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CCEEFF" w:val="clear"/>
            <w:tcMar>
              <w:bottom w:w="28" w:type="dxa"/>
            </w:tcMar>
            <w:vAlign w:val="center"/>
          </w:tcPr>
          <w:p>
            <w:pPr>
              <w:pStyle w:val="TableContents"/>
              <w:bidi w:val="0"/>
              <w:spacing w:lineRule="auto" w:line="300" w:before="0" w:after="0"/>
              <w:jc w:val="right"/>
              <w:rPr/>
            </w:pPr>
            <w:r>
              <w:rPr/>
              <w:t>(98,523</w:t>
            </w:r>
          </w:p>
        </w:tc>
        <w:tc>
          <w:tcPr>
            <w:tcW w:w="100"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r>
      <w:tr>
        <w:trPr/>
        <w:tc>
          <w:tcPr>
            <w:tcW w:w="1804"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Balance as of March 31, 2025</w:t>
            </w:r>
          </w:p>
        </w:tc>
        <w:tc>
          <w:tcPr>
            <w:tcW w:w="60" w:type="dxa"/>
            <w:tcBorders/>
            <w:vAlign w:val="center"/>
          </w:tcPr>
          <w:p>
            <w:pPr>
              <w:pStyle w:val="TableContents"/>
              <w:bidi w:val="0"/>
              <w:spacing w:before="0" w:after="283"/>
              <w:jc w:val="left"/>
              <w:rPr/>
            </w:pPr>
            <w:r>
              <w:rPr/>
              <w:t> </w:t>
            </w:r>
          </w:p>
        </w:tc>
        <w:tc>
          <w:tcPr>
            <w:tcW w:w="60" w:type="dxa"/>
            <w:tcBorders>
              <w:bottom w:val="double" w:sz="8" w:space="0" w:color="000000"/>
            </w:tcBorders>
            <w:tcMar>
              <w:bottom w:w="28" w:type="dxa"/>
            </w:tcMar>
            <w:vAlign w:val="center"/>
          </w:tcPr>
          <w:p>
            <w:pPr>
              <w:pStyle w:val="TableContents"/>
              <w:bidi w:val="0"/>
              <w:spacing w:before="0" w:after="283"/>
              <w:jc w:val="left"/>
              <w:rPr/>
            </w:pPr>
            <w:r>
              <w:rPr/>
              <w:t> </w:t>
            </w:r>
          </w:p>
        </w:tc>
        <w:tc>
          <w:tcPr>
            <w:tcW w:w="1100" w:type="dxa"/>
            <w:tcBorders>
              <w:bottom w:val="double" w:sz="8" w:space="0" w:color="000000"/>
            </w:tcBorders>
            <w:tcMar>
              <w:bottom w:w="28" w:type="dxa"/>
            </w:tcMar>
            <w:vAlign w:val="center"/>
          </w:tcPr>
          <w:p>
            <w:pPr>
              <w:pStyle w:val="TableContents"/>
              <w:bidi w:val="0"/>
              <w:spacing w:lineRule="auto" w:line="300" w:before="0" w:after="0"/>
              <w:jc w:val="right"/>
              <w:rPr/>
            </w:pPr>
            <w:r>
              <w:rPr/>
              <w:t>58,290,453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7" w:type="dxa"/>
            <w:tcBorders>
              <w:bottom w:val="double" w:sz="8" w:space="0" w:color="000000"/>
            </w:tcBorders>
            <w:tcMar>
              <w:bottom w:w="28" w:type="dxa"/>
            </w:tcM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368" w:type="dxa"/>
            <w:tcBorders>
              <w:bottom w:val="double" w:sz="8" w:space="0" w:color="000000"/>
            </w:tcBorders>
            <w:tcMar>
              <w:bottom w:w="28" w:type="dxa"/>
            </w:tcMar>
            <w:vAlign w:val="center"/>
          </w:tcPr>
          <w:p>
            <w:pPr>
              <w:pStyle w:val="TableContents"/>
              <w:bidi w:val="0"/>
              <w:spacing w:lineRule="auto" w:line="300" w:before="0" w:after="0"/>
              <w:jc w:val="right"/>
              <w:rPr/>
            </w:pPr>
            <w:r>
              <w:rPr/>
              <w:t>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8" w:type="dxa"/>
            <w:tcBorders>
              <w:bottom w:val="double" w:sz="8" w:space="0" w:color="000000"/>
            </w:tcBorders>
            <w:tcMar>
              <w:bottom w:w="28" w:type="dxa"/>
            </w:tcM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1007" w:type="dxa"/>
            <w:tcBorders>
              <w:bottom w:val="double" w:sz="8" w:space="0" w:color="000000"/>
            </w:tcBorders>
            <w:tcMar>
              <w:bottom w:w="28" w:type="dxa"/>
            </w:tcMar>
            <w:vAlign w:val="center"/>
          </w:tcPr>
          <w:p>
            <w:pPr>
              <w:pStyle w:val="TableContents"/>
              <w:bidi w:val="0"/>
              <w:spacing w:lineRule="auto" w:line="300" w:before="0" w:after="0"/>
              <w:jc w:val="right"/>
              <w:rPr/>
            </w:pPr>
            <w:r>
              <w:rPr/>
              <w:t>1,845,719</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9" w:type="dxa"/>
            <w:tcBorders>
              <w:bottom w:val="double" w:sz="8" w:space="0" w:color="000000"/>
            </w:tcBorders>
            <w:tcMar>
              <w:bottom w:w="28" w:type="dxa"/>
            </w:tcM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779" w:type="dxa"/>
            <w:tcBorders>
              <w:bottom w:val="double" w:sz="8" w:space="0" w:color="000000"/>
            </w:tcBorders>
            <w:tcMar>
              <w:bottom w:w="28" w:type="dxa"/>
            </w:tcMar>
            <w:vAlign w:val="center"/>
          </w:tcPr>
          <w:p>
            <w:pPr>
              <w:pStyle w:val="TableContents"/>
              <w:bidi w:val="0"/>
              <w:spacing w:lineRule="auto" w:line="300" w:before="0" w:after="0"/>
              <w:jc w:val="right"/>
              <w:rPr/>
            </w:pPr>
            <w:r>
              <w:rPr/>
              <w:t>(50,194</w:t>
            </w:r>
          </w:p>
        </w:tc>
        <w:tc>
          <w:tcPr>
            <w:tcW w:w="80"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vAlign w:val="center"/>
          </w:tcPr>
          <w:p>
            <w:pPr>
              <w:pStyle w:val="TableContents"/>
              <w:bidi w:val="0"/>
              <w:spacing w:before="0" w:after="283"/>
              <w:jc w:val="left"/>
              <w:rPr/>
            </w:pPr>
            <w:r>
              <w:rPr/>
              <w:t> </w:t>
            </w:r>
          </w:p>
        </w:tc>
        <w:tc>
          <w:tcPr>
            <w:tcW w:w="187" w:type="dxa"/>
            <w:tcBorders>
              <w:bottom w:val="double" w:sz="8" w:space="0" w:color="000000"/>
            </w:tcBorders>
            <w:tcMar>
              <w:bottom w:w="28" w:type="dxa"/>
            </w:tcM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1141" w:type="dxa"/>
            <w:tcBorders>
              <w:bottom w:val="double" w:sz="8" w:space="0" w:color="000000"/>
            </w:tcBorders>
            <w:tcMar>
              <w:bottom w:w="28" w:type="dxa"/>
            </w:tcMar>
            <w:vAlign w:val="center"/>
          </w:tcPr>
          <w:p>
            <w:pPr>
              <w:pStyle w:val="TableContents"/>
              <w:bidi w:val="0"/>
              <w:spacing w:lineRule="auto" w:line="300" w:before="0" w:after="0"/>
              <w:jc w:val="right"/>
              <w:rPr/>
            </w:pPr>
            <w:r>
              <w:rPr/>
              <w:t>(74,604</w:t>
            </w:r>
          </w:p>
        </w:tc>
        <w:tc>
          <w:tcPr>
            <w:tcW w:w="80"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vAlign w:val="center"/>
          </w:tcPr>
          <w:p>
            <w:pPr>
              <w:pStyle w:val="TableContents"/>
              <w:bidi w:val="0"/>
              <w:spacing w:before="0" w:after="283"/>
              <w:jc w:val="left"/>
              <w:rPr/>
            </w:pPr>
            <w:r>
              <w:rPr/>
              <w:t> </w:t>
            </w:r>
          </w:p>
        </w:tc>
        <w:tc>
          <w:tcPr>
            <w:tcW w:w="128" w:type="dxa"/>
            <w:tcBorders>
              <w:bottom w:val="double" w:sz="8" w:space="0" w:color="000000"/>
            </w:tcBorders>
            <w:tcMar>
              <w:bottom w:w="28" w:type="dxa"/>
            </w:tcM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1087" w:type="dxa"/>
            <w:tcBorders>
              <w:bottom w:val="double" w:sz="8" w:space="0" w:color="000000"/>
            </w:tcBorders>
            <w:tcMar>
              <w:bottom w:w="28" w:type="dxa"/>
            </w:tcMar>
            <w:vAlign w:val="center"/>
          </w:tcPr>
          <w:p>
            <w:pPr>
              <w:pStyle w:val="TableContents"/>
              <w:bidi w:val="0"/>
              <w:spacing w:lineRule="auto" w:line="300" w:before="0" w:after="0"/>
              <w:jc w:val="right"/>
              <w:rPr/>
            </w:pPr>
            <w:r>
              <w:rPr/>
              <w:t>(1,126,714</w:t>
            </w:r>
          </w:p>
        </w:tc>
        <w:tc>
          <w:tcPr>
            <w:tcW w:w="80"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vAlign w:val="center"/>
          </w:tcPr>
          <w:p>
            <w:pPr>
              <w:pStyle w:val="TableContents"/>
              <w:bidi w:val="0"/>
              <w:spacing w:before="0" w:after="283"/>
              <w:jc w:val="left"/>
              <w:rPr/>
            </w:pPr>
            <w:r>
              <w:rPr/>
              <w:t> </w:t>
            </w:r>
          </w:p>
        </w:tc>
        <w:tc>
          <w:tcPr>
            <w:tcW w:w="125" w:type="dxa"/>
            <w:tcBorders>
              <w:bottom w:val="double" w:sz="8" w:space="0" w:color="000000"/>
            </w:tcBorders>
            <w:tcMar>
              <w:bottom w:w="28" w:type="dxa"/>
            </w:tcM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875" w:type="dxa"/>
            <w:tcBorders>
              <w:bottom w:val="double" w:sz="8" w:space="0" w:color="000000"/>
            </w:tcBorders>
            <w:tcMar>
              <w:bottom w:w="28" w:type="dxa"/>
            </w:tcMar>
            <w:vAlign w:val="center"/>
          </w:tcPr>
          <w:p>
            <w:pPr>
              <w:pStyle w:val="TableContents"/>
              <w:bidi w:val="0"/>
              <w:spacing w:lineRule="auto" w:line="300" w:before="0" w:after="0"/>
              <w:jc w:val="right"/>
              <w:rPr/>
            </w:pPr>
            <w:r>
              <w:rPr/>
              <w:t>594,213</w:t>
            </w:r>
          </w:p>
        </w:tc>
        <w:tc>
          <w:tcPr>
            <w:tcW w:w="100" w:type="dxa"/>
            <w:tcBorders/>
            <w:vAlign w:val="center"/>
          </w:tcPr>
          <w:p>
            <w:pPr>
              <w:pStyle w:val="TableContents"/>
              <w:bidi w:val="0"/>
              <w:spacing w:before="0" w:after="283"/>
              <w:jc w:val="left"/>
              <w:rPr/>
            </w:pPr>
            <w:r>
              <w:rPr/>
              <w:t> </w:t>
            </w:r>
          </w:p>
        </w:tc>
      </w:tr>
      <w:tr>
        <w:trPr/>
        <w:tc>
          <w:tcPr>
            <w:tcW w:w="1804"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Issuance of common stock upon exercise of stock-based awards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lineRule="auto" w:line="300" w:before="0" w:after="0"/>
              <w:jc w:val="right"/>
              <w:rPr/>
            </w:pPr>
            <w:r>
              <w:rPr/>
              <w:t>330,739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27" w:type="dxa"/>
            <w:tcBorders/>
            <w:shd w:fill="CCEEFF" w:val="clear"/>
            <w:vAlign w:val="center"/>
          </w:tcPr>
          <w:p>
            <w:pPr>
              <w:pStyle w:val="TableContents"/>
              <w:bidi w:val="0"/>
              <w:spacing w:before="0" w:after="283"/>
              <w:jc w:val="left"/>
              <w:rPr/>
            </w:pPr>
            <w:r>
              <w:rPr/>
              <w:t> </w:t>
            </w:r>
          </w:p>
        </w:tc>
        <w:tc>
          <w:tcPr>
            <w:tcW w:w="368" w:type="dxa"/>
            <w:tcBorders/>
            <w:shd w:fill="CCEEFF" w:val="clear"/>
            <w:vAlign w:val="center"/>
          </w:tcPr>
          <w:p>
            <w:pPr>
              <w:pStyle w:val="TableContents"/>
              <w:bidi w:val="0"/>
              <w:spacing w:lineRule="auto" w:line="300" w:before="0" w:after="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jc w:val="left"/>
              <w:rPr/>
            </w:pPr>
            <w:r>
              <w:rPr/>
              <w:t> </w:t>
            </w:r>
          </w:p>
        </w:tc>
        <w:tc>
          <w:tcPr>
            <w:tcW w:w="1007" w:type="dxa"/>
            <w:tcBorders/>
            <w:shd w:fill="CCEEFF" w:val="clear"/>
            <w:vAlign w:val="center"/>
          </w:tcPr>
          <w:p>
            <w:pPr>
              <w:pStyle w:val="TableContents"/>
              <w:bidi w:val="0"/>
              <w:spacing w:lineRule="auto" w:line="300" w:before="0" w:after="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9" w:type="dxa"/>
            <w:tcBorders/>
            <w:shd w:fill="CCEEFF" w:val="clear"/>
            <w:vAlign w:val="center"/>
          </w:tcPr>
          <w:p>
            <w:pPr>
              <w:pStyle w:val="TableContents"/>
              <w:bidi w:val="0"/>
              <w:spacing w:before="0" w:after="283"/>
              <w:jc w:val="left"/>
              <w:rPr/>
            </w:pPr>
            <w:r>
              <w:rPr/>
              <w:t> </w:t>
            </w:r>
          </w:p>
        </w:tc>
        <w:tc>
          <w:tcPr>
            <w:tcW w:w="779" w:type="dxa"/>
            <w:tcBorders/>
            <w:shd w:fill="CCEEFF" w:val="clear"/>
            <w:vAlign w:val="center"/>
          </w:tcPr>
          <w:p>
            <w:pPr>
              <w:pStyle w:val="TableContents"/>
              <w:bidi w:val="0"/>
              <w:spacing w:lineRule="auto" w:line="300" w:before="0" w:after="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 </w:t>
            </w:r>
          </w:p>
        </w:tc>
        <w:tc>
          <w:tcPr>
            <w:tcW w:w="1141" w:type="dxa"/>
            <w:tcBorders/>
            <w:shd w:fill="CCEEFF" w:val="clear"/>
            <w:vAlign w:val="center"/>
          </w:tcPr>
          <w:p>
            <w:pPr>
              <w:pStyle w:val="TableContents"/>
              <w:bidi w:val="0"/>
              <w:spacing w:lineRule="auto" w:line="300" w:before="0" w:after="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jc w:val="left"/>
              <w:rPr/>
            </w:pPr>
            <w:r>
              <w:rPr/>
              <w:t> </w:t>
            </w:r>
          </w:p>
        </w:tc>
        <w:tc>
          <w:tcPr>
            <w:tcW w:w="1087" w:type="dxa"/>
            <w:tcBorders/>
            <w:shd w:fill="CCEEFF" w:val="clear"/>
            <w:vAlign w:val="center"/>
          </w:tcPr>
          <w:p>
            <w:pPr>
              <w:pStyle w:val="TableContents"/>
              <w:bidi w:val="0"/>
              <w:spacing w:lineRule="auto" w:line="300" w:before="0" w:after="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lineRule="auto" w:line="300" w:before="0" w:after="0"/>
              <w:jc w:val="right"/>
              <w:rPr/>
            </w:pPr>
            <w:r>
              <w:rPr/>
              <w:t>*-</w:t>
            </w:r>
          </w:p>
        </w:tc>
        <w:tc>
          <w:tcPr>
            <w:tcW w:w="100" w:type="dxa"/>
            <w:tcBorders/>
            <w:shd w:fill="CCEEFF" w:val="clear"/>
            <w:vAlign w:val="center"/>
          </w:tcPr>
          <w:p>
            <w:pPr>
              <w:pStyle w:val="TableContents"/>
              <w:bidi w:val="0"/>
              <w:spacing w:before="0" w:after="283"/>
              <w:jc w:val="left"/>
              <w:rPr/>
            </w:pPr>
            <w:r>
              <w:rPr/>
              <w:t> </w:t>
            </w:r>
          </w:p>
        </w:tc>
      </w:tr>
      <w:tr>
        <w:trPr/>
        <w:tc>
          <w:tcPr>
            <w:tcW w:w="1804"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Issuance of common stock under employee stock purchase plan (512,858 shares transferred from treasury stock)</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lineRule="auto" w:line="300" w:before="0" w:after="0"/>
              <w:jc w:val="right"/>
              <w:rPr/>
            </w:pPr>
            <w:r>
              <w:rPr/>
              <w:t>512,858</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7" w:type="dxa"/>
            <w:tcBorders/>
            <w:vAlign w:val="center"/>
          </w:tcPr>
          <w:p>
            <w:pPr>
              <w:pStyle w:val="TableContents"/>
              <w:bidi w:val="0"/>
              <w:spacing w:before="0" w:after="283"/>
              <w:jc w:val="left"/>
              <w:rPr/>
            </w:pPr>
            <w:r>
              <w:rPr/>
              <w:t> </w:t>
            </w:r>
          </w:p>
        </w:tc>
        <w:tc>
          <w:tcPr>
            <w:tcW w:w="368" w:type="dxa"/>
            <w:tcBorders/>
            <w:vAlign w:val="center"/>
          </w:tcPr>
          <w:p>
            <w:pPr>
              <w:pStyle w:val="TableContents"/>
              <w:bidi w:val="0"/>
              <w:spacing w:lineRule="auto" w:line="300" w:before="0" w:after="0"/>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8" w:type="dxa"/>
            <w:tcBorders/>
            <w:vAlign w:val="center"/>
          </w:tcPr>
          <w:p>
            <w:pPr>
              <w:pStyle w:val="TableContents"/>
              <w:bidi w:val="0"/>
              <w:spacing w:before="0" w:after="283"/>
              <w:jc w:val="left"/>
              <w:rPr/>
            </w:pPr>
            <w:r>
              <w:rPr/>
              <w:t> </w:t>
            </w:r>
          </w:p>
        </w:tc>
        <w:tc>
          <w:tcPr>
            <w:tcW w:w="1007" w:type="dxa"/>
            <w:tcBorders/>
            <w:vAlign w:val="center"/>
          </w:tcPr>
          <w:p>
            <w:pPr>
              <w:pStyle w:val="TableContents"/>
              <w:bidi w:val="0"/>
              <w:spacing w:lineRule="auto" w:line="300" w:before="0" w:after="0"/>
              <w:jc w:val="right"/>
              <w:rPr/>
            </w:pPr>
            <w:r>
              <w:rPr/>
              <w:t>(27,243</w:t>
            </w:r>
          </w:p>
        </w:tc>
        <w:tc>
          <w:tcPr>
            <w:tcW w:w="80"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vAlign w:val="center"/>
          </w:tcPr>
          <w:p>
            <w:pPr>
              <w:pStyle w:val="TableContents"/>
              <w:bidi w:val="0"/>
              <w:spacing w:before="0" w:after="283"/>
              <w:jc w:val="left"/>
              <w:rPr/>
            </w:pPr>
            <w:r>
              <w:rPr/>
              <w:t> </w:t>
            </w:r>
          </w:p>
        </w:tc>
        <w:tc>
          <w:tcPr>
            <w:tcW w:w="129" w:type="dxa"/>
            <w:tcBorders/>
            <w:vAlign w:val="center"/>
          </w:tcPr>
          <w:p>
            <w:pPr>
              <w:pStyle w:val="TableContents"/>
              <w:bidi w:val="0"/>
              <w:spacing w:before="0" w:after="283"/>
              <w:jc w:val="left"/>
              <w:rPr/>
            </w:pPr>
            <w:r>
              <w:rPr/>
              <w:t> </w:t>
            </w:r>
          </w:p>
        </w:tc>
        <w:tc>
          <w:tcPr>
            <w:tcW w:w="779" w:type="dxa"/>
            <w:tcBorders/>
            <w:vAlign w:val="center"/>
          </w:tcPr>
          <w:p>
            <w:pPr>
              <w:pStyle w:val="TableContents"/>
              <w:bidi w:val="0"/>
              <w:spacing w:lineRule="auto" w:line="300" w:before="0" w:after="0"/>
              <w:jc w:val="right"/>
              <w:rPr/>
            </w:pPr>
            <w:r>
              <w:rPr/>
              <w:t>34,170</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7" w:type="dxa"/>
            <w:tcBorders/>
            <w:vAlign w:val="center"/>
          </w:tcPr>
          <w:p>
            <w:pPr>
              <w:pStyle w:val="TableContents"/>
              <w:bidi w:val="0"/>
              <w:spacing w:before="0" w:after="283"/>
              <w:jc w:val="left"/>
              <w:rPr/>
            </w:pPr>
            <w:r>
              <w:rPr/>
              <w:t> </w:t>
            </w:r>
          </w:p>
        </w:tc>
        <w:tc>
          <w:tcPr>
            <w:tcW w:w="1141" w:type="dxa"/>
            <w:tcBorders/>
            <w:vAlign w:val="center"/>
          </w:tcPr>
          <w:p>
            <w:pPr>
              <w:pStyle w:val="TableContents"/>
              <w:bidi w:val="0"/>
              <w:spacing w:lineRule="auto" w:line="300" w:before="0" w:after="0"/>
              <w:jc w:val="right"/>
              <w:rPr/>
            </w:pPr>
            <w:r>
              <w:rPr/>
              <w:t>-</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8" w:type="dxa"/>
            <w:tcBorders/>
            <w:vAlign w:val="center"/>
          </w:tcPr>
          <w:p>
            <w:pPr>
              <w:pStyle w:val="TableContents"/>
              <w:bidi w:val="0"/>
              <w:spacing w:before="0" w:after="283"/>
              <w:jc w:val="left"/>
              <w:rPr/>
            </w:pPr>
            <w:r>
              <w:rPr/>
              <w:t> </w:t>
            </w:r>
          </w:p>
        </w:tc>
        <w:tc>
          <w:tcPr>
            <w:tcW w:w="1087" w:type="dxa"/>
            <w:tcBorders/>
            <w:vAlign w:val="center"/>
          </w:tcPr>
          <w:p>
            <w:pPr>
              <w:pStyle w:val="TableContents"/>
              <w:bidi w:val="0"/>
              <w:spacing w:lineRule="auto" w:line="300" w:before="0" w:after="0"/>
              <w:jc w:val="right"/>
              <w:rPr/>
            </w:pPr>
            <w:r>
              <w:rPr/>
              <w:t>-</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lineRule="auto" w:line="300" w:before="0" w:after="0"/>
              <w:jc w:val="right"/>
              <w:rPr/>
            </w:pPr>
            <w:r>
              <w:rPr/>
              <w:t>6,927</w:t>
            </w:r>
          </w:p>
        </w:tc>
        <w:tc>
          <w:tcPr>
            <w:tcW w:w="100" w:type="dxa"/>
            <w:tcBorders/>
            <w:vAlign w:val="center"/>
          </w:tcPr>
          <w:p>
            <w:pPr>
              <w:pStyle w:val="TableContents"/>
              <w:bidi w:val="0"/>
              <w:spacing w:before="0" w:after="283"/>
              <w:jc w:val="left"/>
              <w:rPr/>
            </w:pPr>
            <w:r>
              <w:rPr/>
              <w:t> </w:t>
            </w:r>
          </w:p>
        </w:tc>
      </w:tr>
      <w:tr>
        <w:trPr/>
        <w:tc>
          <w:tcPr>
            <w:tcW w:w="1804"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Stock-based compensation</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27" w:type="dxa"/>
            <w:tcBorders/>
            <w:shd w:fill="CCEEFF" w:val="clear"/>
            <w:vAlign w:val="center"/>
          </w:tcPr>
          <w:p>
            <w:pPr>
              <w:pStyle w:val="TableContents"/>
              <w:bidi w:val="0"/>
              <w:spacing w:before="0" w:after="283"/>
              <w:jc w:val="left"/>
              <w:rPr/>
            </w:pPr>
            <w:r>
              <w:rPr/>
              <w:t> </w:t>
            </w:r>
          </w:p>
        </w:tc>
        <w:tc>
          <w:tcPr>
            <w:tcW w:w="368" w:type="dxa"/>
            <w:tcBorders/>
            <w:shd w:fill="CCEEFF" w:val="clear"/>
            <w:vAlign w:val="center"/>
          </w:tcPr>
          <w:p>
            <w:pPr>
              <w:pStyle w:val="TableContents"/>
              <w:bidi w:val="0"/>
              <w:spacing w:lineRule="auto" w:line="300" w:before="0" w:after="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jc w:val="left"/>
              <w:rPr/>
            </w:pPr>
            <w:r>
              <w:rPr/>
              <w:t> </w:t>
            </w:r>
          </w:p>
        </w:tc>
        <w:tc>
          <w:tcPr>
            <w:tcW w:w="1007" w:type="dxa"/>
            <w:tcBorders/>
            <w:shd w:fill="CCEEFF" w:val="clear"/>
            <w:vAlign w:val="center"/>
          </w:tcPr>
          <w:p>
            <w:pPr>
              <w:pStyle w:val="TableContents"/>
              <w:bidi w:val="0"/>
              <w:spacing w:lineRule="auto" w:line="300" w:before="0" w:after="0"/>
              <w:jc w:val="right"/>
              <w:rPr/>
            </w:pPr>
            <w:r>
              <w:rPr/>
              <w:t>20,087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9" w:type="dxa"/>
            <w:tcBorders/>
            <w:shd w:fill="CCEEFF" w:val="clear"/>
            <w:vAlign w:val="center"/>
          </w:tcPr>
          <w:p>
            <w:pPr>
              <w:pStyle w:val="TableContents"/>
              <w:bidi w:val="0"/>
              <w:spacing w:before="0" w:after="283"/>
              <w:jc w:val="left"/>
              <w:rPr/>
            </w:pPr>
            <w:r>
              <w:rPr/>
              <w:t> </w:t>
            </w:r>
          </w:p>
        </w:tc>
        <w:tc>
          <w:tcPr>
            <w:tcW w:w="779" w:type="dxa"/>
            <w:tcBorders/>
            <w:shd w:fill="CCEEFF" w:val="clear"/>
            <w:vAlign w:val="center"/>
          </w:tcPr>
          <w:p>
            <w:pPr>
              <w:pStyle w:val="TableContents"/>
              <w:bidi w:val="0"/>
              <w:spacing w:lineRule="auto" w:line="300" w:before="0" w:after="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 </w:t>
            </w:r>
          </w:p>
        </w:tc>
        <w:tc>
          <w:tcPr>
            <w:tcW w:w="1141" w:type="dxa"/>
            <w:tcBorders/>
            <w:shd w:fill="CCEEFF" w:val="clear"/>
            <w:vAlign w:val="center"/>
          </w:tcPr>
          <w:p>
            <w:pPr>
              <w:pStyle w:val="TableContents"/>
              <w:bidi w:val="0"/>
              <w:spacing w:lineRule="auto" w:line="300" w:before="0" w:after="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jc w:val="left"/>
              <w:rPr/>
            </w:pPr>
            <w:r>
              <w:rPr/>
              <w:t> </w:t>
            </w:r>
          </w:p>
        </w:tc>
        <w:tc>
          <w:tcPr>
            <w:tcW w:w="1087" w:type="dxa"/>
            <w:tcBorders/>
            <w:shd w:fill="CCEEFF" w:val="clear"/>
            <w:vAlign w:val="center"/>
          </w:tcPr>
          <w:p>
            <w:pPr>
              <w:pStyle w:val="TableContents"/>
              <w:bidi w:val="0"/>
              <w:spacing w:lineRule="auto" w:line="300" w:before="0" w:after="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lineRule="auto" w:line="300" w:before="0" w:after="0"/>
              <w:jc w:val="right"/>
              <w:rPr/>
            </w:pPr>
            <w:r>
              <w:rPr/>
              <w:t>20,087</w:t>
            </w:r>
          </w:p>
        </w:tc>
        <w:tc>
          <w:tcPr>
            <w:tcW w:w="100" w:type="dxa"/>
            <w:tcBorders/>
            <w:shd w:fill="CCEEFF" w:val="clear"/>
            <w:vAlign w:val="center"/>
          </w:tcPr>
          <w:p>
            <w:pPr>
              <w:pStyle w:val="TableContents"/>
              <w:bidi w:val="0"/>
              <w:spacing w:before="0" w:after="283"/>
              <w:jc w:val="left"/>
              <w:rPr/>
            </w:pPr>
            <w:r>
              <w:rPr/>
              <w:t> </w:t>
            </w:r>
          </w:p>
        </w:tc>
      </w:tr>
      <w:tr>
        <w:trPr/>
        <w:tc>
          <w:tcPr>
            <w:tcW w:w="1804"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Other comprehensive income, net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7" w:type="dxa"/>
            <w:tcBorders/>
            <w:vAlign w:val="center"/>
          </w:tcPr>
          <w:p>
            <w:pPr>
              <w:pStyle w:val="TableContents"/>
              <w:bidi w:val="0"/>
              <w:spacing w:before="0" w:after="283"/>
              <w:jc w:val="left"/>
              <w:rPr/>
            </w:pPr>
            <w:r>
              <w:rPr/>
              <w:t> </w:t>
            </w:r>
          </w:p>
        </w:tc>
        <w:tc>
          <w:tcPr>
            <w:tcW w:w="368" w:type="dxa"/>
            <w:tcBorders/>
            <w:vAlign w:val="center"/>
          </w:tcPr>
          <w:p>
            <w:pPr>
              <w:pStyle w:val="TableContents"/>
              <w:bidi w:val="0"/>
              <w:spacing w:lineRule="auto" w:line="300" w:before="0" w:after="0"/>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8" w:type="dxa"/>
            <w:tcBorders/>
            <w:vAlign w:val="center"/>
          </w:tcPr>
          <w:p>
            <w:pPr>
              <w:pStyle w:val="TableContents"/>
              <w:bidi w:val="0"/>
              <w:spacing w:before="0" w:after="283"/>
              <w:jc w:val="left"/>
              <w:rPr/>
            </w:pPr>
            <w:r>
              <w:rPr/>
              <w:t> </w:t>
            </w:r>
          </w:p>
        </w:tc>
        <w:tc>
          <w:tcPr>
            <w:tcW w:w="1007" w:type="dxa"/>
            <w:tcBorders/>
            <w:vAlign w:val="center"/>
          </w:tcPr>
          <w:p>
            <w:pPr>
              <w:pStyle w:val="TableContents"/>
              <w:bidi w:val="0"/>
              <w:spacing w:lineRule="auto" w:line="300" w:before="0" w:after="0"/>
              <w:jc w:val="right"/>
              <w:rPr/>
            </w:pPr>
            <w:r>
              <w:rPr/>
              <w:t>-</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9" w:type="dxa"/>
            <w:tcBorders/>
            <w:vAlign w:val="center"/>
          </w:tcPr>
          <w:p>
            <w:pPr>
              <w:pStyle w:val="TableContents"/>
              <w:bidi w:val="0"/>
              <w:spacing w:before="0" w:after="283"/>
              <w:jc w:val="left"/>
              <w:rPr/>
            </w:pPr>
            <w:r>
              <w:rPr/>
              <w:t> </w:t>
            </w:r>
          </w:p>
        </w:tc>
        <w:tc>
          <w:tcPr>
            <w:tcW w:w="779" w:type="dxa"/>
            <w:tcBorders/>
            <w:vAlign w:val="center"/>
          </w:tcPr>
          <w:p>
            <w:pPr>
              <w:pStyle w:val="TableContents"/>
              <w:bidi w:val="0"/>
              <w:spacing w:lineRule="auto" w:line="300" w:before="0" w:after="0"/>
              <w:jc w:val="right"/>
              <w:rPr/>
            </w:pPr>
            <w:r>
              <w:rPr/>
              <w:t>-</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7" w:type="dxa"/>
            <w:tcBorders/>
            <w:vAlign w:val="center"/>
          </w:tcPr>
          <w:p>
            <w:pPr>
              <w:pStyle w:val="TableContents"/>
              <w:bidi w:val="0"/>
              <w:spacing w:before="0" w:after="283"/>
              <w:jc w:val="left"/>
              <w:rPr/>
            </w:pPr>
            <w:r>
              <w:rPr/>
              <w:t> </w:t>
            </w:r>
          </w:p>
        </w:tc>
        <w:tc>
          <w:tcPr>
            <w:tcW w:w="1141" w:type="dxa"/>
            <w:tcBorders/>
            <w:vAlign w:val="center"/>
          </w:tcPr>
          <w:p>
            <w:pPr>
              <w:pStyle w:val="TableContents"/>
              <w:bidi w:val="0"/>
              <w:spacing w:lineRule="auto" w:line="300" w:before="0" w:after="0"/>
              <w:jc w:val="right"/>
              <w:rPr/>
            </w:pPr>
            <w:r>
              <w:rPr/>
              <w:t>16,736</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8" w:type="dxa"/>
            <w:tcBorders/>
            <w:vAlign w:val="center"/>
          </w:tcPr>
          <w:p>
            <w:pPr>
              <w:pStyle w:val="TableContents"/>
              <w:bidi w:val="0"/>
              <w:spacing w:before="0" w:after="283"/>
              <w:jc w:val="left"/>
              <w:rPr/>
            </w:pPr>
            <w:r>
              <w:rPr/>
              <w:t> </w:t>
            </w:r>
          </w:p>
        </w:tc>
        <w:tc>
          <w:tcPr>
            <w:tcW w:w="1087" w:type="dxa"/>
            <w:tcBorders/>
            <w:vAlign w:val="center"/>
          </w:tcPr>
          <w:p>
            <w:pPr>
              <w:pStyle w:val="TableContents"/>
              <w:bidi w:val="0"/>
              <w:spacing w:lineRule="auto" w:line="300" w:before="0" w:after="0"/>
              <w:jc w:val="right"/>
              <w:rPr/>
            </w:pPr>
            <w:r>
              <w:rPr/>
              <w:t>-</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lineRule="auto" w:line="300" w:before="0" w:after="0"/>
              <w:jc w:val="right"/>
              <w:rPr/>
            </w:pPr>
            <w:r>
              <w:rPr/>
              <w:t>16,736</w:t>
            </w:r>
          </w:p>
        </w:tc>
        <w:tc>
          <w:tcPr>
            <w:tcW w:w="100" w:type="dxa"/>
            <w:tcBorders/>
            <w:vAlign w:val="center"/>
          </w:tcPr>
          <w:p>
            <w:pPr>
              <w:pStyle w:val="TableContents"/>
              <w:bidi w:val="0"/>
              <w:spacing w:before="0" w:after="283"/>
              <w:jc w:val="left"/>
              <w:rPr/>
            </w:pPr>
            <w:r>
              <w:rPr/>
              <w:t> </w:t>
            </w:r>
          </w:p>
        </w:tc>
      </w:tr>
      <w:tr>
        <w:trPr/>
        <w:tc>
          <w:tcPr>
            <w:tcW w:w="1804"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Net loss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2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368" w:type="dxa"/>
            <w:tcBorders>
              <w:bottom w:val="single" w:sz="12" w:space="0" w:color="000000"/>
            </w:tcBorders>
            <w:shd w:fill="CCEEFF" w:val="clear"/>
            <w:tcMar>
              <w:bottom w:w="28" w:type="dxa"/>
            </w:tcMar>
            <w:vAlign w:val="center"/>
          </w:tcPr>
          <w:p>
            <w:pPr>
              <w:pStyle w:val="TableContents"/>
              <w:bidi w:val="0"/>
              <w:spacing w:lineRule="auto" w:line="300" w:before="0" w:after="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07" w:type="dxa"/>
            <w:tcBorders>
              <w:bottom w:val="single" w:sz="12" w:space="0" w:color="000000"/>
            </w:tcBorders>
            <w:shd w:fill="CCEEFF" w:val="clear"/>
            <w:tcMar>
              <w:bottom w:w="28" w:type="dxa"/>
            </w:tcMar>
            <w:vAlign w:val="center"/>
          </w:tcPr>
          <w:p>
            <w:pPr>
              <w:pStyle w:val="TableContents"/>
              <w:bidi w:val="0"/>
              <w:spacing w:lineRule="auto" w:line="300" w:before="0" w:after="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79" w:type="dxa"/>
            <w:tcBorders>
              <w:bottom w:val="single" w:sz="12" w:space="0" w:color="000000"/>
            </w:tcBorders>
            <w:shd w:fill="CCEEFF" w:val="clear"/>
            <w:tcMar>
              <w:bottom w:w="28" w:type="dxa"/>
            </w:tcMar>
            <w:vAlign w:val="center"/>
          </w:tcPr>
          <w:p>
            <w:pPr>
              <w:pStyle w:val="TableContents"/>
              <w:bidi w:val="0"/>
              <w:spacing w:lineRule="auto" w:line="300" w:before="0" w:after="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41" w:type="dxa"/>
            <w:tcBorders>
              <w:bottom w:val="single" w:sz="12" w:space="0" w:color="000000"/>
            </w:tcBorders>
            <w:shd w:fill="CCEEFF" w:val="clear"/>
            <w:tcMar>
              <w:bottom w:w="28" w:type="dxa"/>
            </w:tcMar>
            <w:vAlign w:val="center"/>
          </w:tcPr>
          <w:p>
            <w:pPr>
              <w:pStyle w:val="TableContents"/>
              <w:bidi w:val="0"/>
              <w:spacing w:lineRule="auto" w:line="300" w:before="0" w:after="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87" w:type="dxa"/>
            <w:tcBorders>
              <w:bottom w:val="single" w:sz="12" w:space="0" w:color="000000"/>
            </w:tcBorders>
            <w:shd w:fill="CCEEFF" w:val="clear"/>
            <w:tcMar>
              <w:bottom w:w="28" w:type="dxa"/>
            </w:tcMar>
            <w:vAlign w:val="center"/>
          </w:tcPr>
          <w:p>
            <w:pPr>
              <w:pStyle w:val="TableContents"/>
              <w:bidi w:val="0"/>
              <w:spacing w:lineRule="auto" w:line="300" w:before="0" w:after="0"/>
              <w:jc w:val="right"/>
              <w:rPr/>
            </w:pPr>
            <w:r>
              <w:rPr/>
              <w:t>(124,744</w:t>
            </w:r>
          </w:p>
        </w:tc>
        <w:tc>
          <w:tcPr>
            <w:tcW w:w="80"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CCEEFF" w:val="clear"/>
            <w:tcMar>
              <w:bottom w:w="28" w:type="dxa"/>
            </w:tcMar>
            <w:vAlign w:val="center"/>
          </w:tcPr>
          <w:p>
            <w:pPr>
              <w:pStyle w:val="TableContents"/>
              <w:bidi w:val="0"/>
              <w:spacing w:lineRule="auto" w:line="300" w:before="0" w:after="0"/>
              <w:jc w:val="right"/>
              <w:rPr/>
            </w:pPr>
            <w:r>
              <w:rPr/>
              <w:t>(124,744</w:t>
            </w:r>
          </w:p>
        </w:tc>
        <w:tc>
          <w:tcPr>
            <w:tcW w:w="100"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r>
      <w:tr>
        <w:trPr/>
        <w:tc>
          <w:tcPr>
            <w:tcW w:w="1804"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Balance as of June 30, 2025</w:t>
            </w:r>
          </w:p>
        </w:tc>
        <w:tc>
          <w:tcPr>
            <w:tcW w:w="60" w:type="dxa"/>
            <w:tcBorders/>
            <w:vAlign w:val="center"/>
          </w:tcPr>
          <w:p>
            <w:pPr>
              <w:pStyle w:val="TableContents"/>
              <w:bidi w:val="0"/>
              <w:spacing w:before="0" w:after="283"/>
              <w:jc w:val="left"/>
              <w:rPr/>
            </w:pPr>
            <w:r>
              <w:rPr/>
              <w:t> </w:t>
            </w:r>
          </w:p>
        </w:tc>
        <w:tc>
          <w:tcPr>
            <w:tcW w:w="60" w:type="dxa"/>
            <w:tcBorders>
              <w:bottom w:val="double" w:sz="8" w:space="0" w:color="000000"/>
            </w:tcBorders>
            <w:tcMar>
              <w:bottom w:w="28" w:type="dxa"/>
            </w:tcMar>
            <w:vAlign w:val="center"/>
          </w:tcPr>
          <w:p>
            <w:pPr>
              <w:pStyle w:val="TableContents"/>
              <w:bidi w:val="0"/>
              <w:spacing w:before="0" w:after="283"/>
              <w:jc w:val="left"/>
              <w:rPr/>
            </w:pPr>
            <w:r>
              <w:rPr/>
              <w:t> </w:t>
            </w:r>
          </w:p>
        </w:tc>
        <w:tc>
          <w:tcPr>
            <w:tcW w:w="1100" w:type="dxa"/>
            <w:tcBorders>
              <w:bottom w:val="double" w:sz="8" w:space="0" w:color="000000"/>
            </w:tcBorders>
            <w:tcMar>
              <w:bottom w:w="28" w:type="dxa"/>
            </w:tcMar>
            <w:vAlign w:val="center"/>
          </w:tcPr>
          <w:p>
            <w:pPr>
              <w:pStyle w:val="TableContents"/>
              <w:bidi w:val="0"/>
              <w:spacing w:lineRule="auto" w:line="300" w:before="0" w:after="0"/>
              <w:jc w:val="right"/>
              <w:rPr/>
            </w:pPr>
            <w:r>
              <w:rPr/>
              <w:t>59,134,050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7" w:type="dxa"/>
            <w:tcBorders>
              <w:bottom w:val="double" w:sz="8" w:space="0" w:color="000000"/>
            </w:tcBorders>
            <w:tcMar>
              <w:bottom w:w="28" w:type="dxa"/>
            </w:tcM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368" w:type="dxa"/>
            <w:tcBorders>
              <w:bottom w:val="double" w:sz="8" w:space="0" w:color="000000"/>
            </w:tcBorders>
            <w:tcMar>
              <w:bottom w:w="28" w:type="dxa"/>
            </w:tcMar>
            <w:vAlign w:val="center"/>
          </w:tcPr>
          <w:p>
            <w:pPr>
              <w:pStyle w:val="TableContents"/>
              <w:bidi w:val="0"/>
              <w:spacing w:lineRule="auto" w:line="300" w:before="0" w:after="0"/>
              <w:jc w:val="right"/>
              <w:rPr/>
            </w:pPr>
            <w:r>
              <w:rPr/>
              <w:t>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8" w:type="dxa"/>
            <w:tcBorders>
              <w:bottom w:val="double" w:sz="8" w:space="0" w:color="000000"/>
            </w:tcBorders>
            <w:tcMar>
              <w:bottom w:w="28" w:type="dxa"/>
            </w:tcM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1007" w:type="dxa"/>
            <w:tcBorders>
              <w:bottom w:val="double" w:sz="8" w:space="0" w:color="000000"/>
            </w:tcBorders>
            <w:tcMar>
              <w:bottom w:w="28" w:type="dxa"/>
            </w:tcMar>
            <w:vAlign w:val="center"/>
          </w:tcPr>
          <w:p>
            <w:pPr>
              <w:pStyle w:val="TableContents"/>
              <w:bidi w:val="0"/>
              <w:spacing w:lineRule="auto" w:line="300" w:before="0" w:after="0"/>
              <w:jc w:val="right"/>
              <w:rPr/>
            </w:pPr>
            <w:r>
              <w:rPr/>
              <w:t>1,838,563</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9" w:type="dxa"/>
            <w:tcBorders>
              <w:bottom w:val="double" w:sz="8" w:space="0" w:color="000000"/>
            </w:tcBorders>
            <w:tcMar>
              <w:bottom w:w="28" w:type="dxa"/>
            </w:tcM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779" w:type="dxa"/>
            <w:tcBorders>
              <w:bottom w:val="double" w:sz="8" w:space="0" w:color="000000"/>
            </w:tcBorders>
            <w:tcMar>
              <w:bottom w:w="28" w:type="dxa"/>
            </w:tcMar>
            <w:vAlign w:val="center"/>
          </w:tcPr>
          <w:p>
            <w:pPr>
              <w:pStyle w:val="TableContents"/>
              <w:bidi w:val="0"/>
              <w:spacing w:lineRule="auto" w:line="300" w:before="0" w:after="0"/>
              <w:jc w:val="right"/>
              <w:rPr/>
            </w:pPr>
            <w:r>
              <w:rPr/>
              <w:t>(16,024</w:t>
            </w:r>
          </w:p>
        </w:tc>
        <w:tc>
          <w:tcPr>
            <w:tcW w:w="80"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vAlign w:val="center"/>
          </w:tcPr>
          <w:p>
            <w:pPr>
              <w:pStyle w:val="TableContents"/>
              <w:bidi w:val="0"/>
              <w:spacing w:before="0" w:after="283"/>
              <w:jc w:val="left"/>
              <w:rPr/>
            </w:pPr>
            <w:r>
              <w:rPr/>
              <w:t> </w:t>
            </w:r>
          </w:p>
        </w:tc>
        <w:tc>
          <w:tcPr>
            <w:tcW w:w="187" w:type="dxa"/>
            <w:tcBorders>
              <w:bottom w:val="double" w:sz="8" w:space="0" w:color="000000"/>
            </w:tcBorders>
            <w:tcMar>
              <w:bottom w:w="28" w:type="dxa"/>
            </w:tcM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1141" w:type="dxa"/>
            <w:tcBorders>
              <w:bottom w:val="double" w:sz="8" w:space="0" w:color="000000"/>
            </w:tcBorders>
            <w:tcMar>
              <w:bottom w:w="28" w:type="dxa"/>
            </w:tcMar>
            <w:vAlign w:val="center"/>
          </w:tcPr>
          <w:p>
            <w:pPr>
              <w:pStyle w:val="TableContents"/>
              <w:bidi w:val="0"/>
              <w:spacing w:lineRule="auto" w:line="300" w:before="0" w:after="0"/>
              <w:jc w:val="right"/>
              <w:rPr/>
            </w:pPr>
            <w:r>
              <w:rPr/>
              <w:t>(57,868</w:t>
            </w:r>
          </w:p>
        </w:tc>
        <w:tc>
          <w:tcPr>
            <w:tcW w:w="80"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vAlign w:val="center"/>
          </w:tcPr>
          <w:p>
            <w:pPr>
              <w:pStyle w:val="TableContents"/>
              <w:bidi w:val="0"/>
              <w:spacing w:before="0" w:after="283"/>
              <w:jc w:val="left"/>
              <w:rPr/>
            </w:pPr>
            <w:r>
              <w:rPr/>
              <w:t> </w:t>
            </w:r>
          </w:p>
        </w:tc>
        <w:tc>
          <w:tcPr>
            <w:tcW w:w="128" w:type="dxa"/>
            <w:tcBorders>
              <w:bottom w:val="double" w:sz="8" w:space="0" w:color="000000"/>
            </w:tcBorders>
            <w:tcMar>
              <w:bottom w:w="28" w:type="dxa"/>
            </w:tcM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1087" w:type="dxa"/>
            <w:tcBorders>
              <w:bottom w:val="double" w:sz="8" w:space="0" w:color="000000"/>
            </w:tcBorders>
            <w:tcMar>
              <w:bottom w:w="28" w:type="dxa"/>
            </w:tcMar>
            <w:vAlign w:val="center"/>
          </w:tcPr>
          <w:p>
            <w:pPr>
              <w:pStyle w:val="TableContents"/>
              <w:bidi w:val="0"/>
              <w:spacing w:lineRule="auto" w:line="300" w:before="0" w:after="0"/>
              <w:jc w:val="right"/>
              <w:rPr/>
            </w:pPr>
            <w:r>
              <w:rPr/>
              <w:t>(1,251,458</w:t>
            </w:r>
          </w:p>
        </w:tc>
        <w:tc>
          <w:tcPr>
            <w:tcW w:w="80"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vAlign w:val="center"/>
          </w:tcPr>
          <w:p>
            <w:pPr>
              <w:pStyle w:val="TableContents"/>
              <w:bidi w:val="0"/>
              <w:spacing w:before="0" w:after="283"/>
              <w:jc w:val="left"/>
              <w:rPr/>
            </w:pPr>
            <w:r>
              <w:rPr/>
              <w:t> </w:t>
            </w:r>
          </w:p>
        </w:tc>
        <w:tc>
          <w:tcPr>
            <w:tcW w:w="125" w:type="dxa"/>
            <w:tcBorders>
              <w:bottom w:val="double" w:sz="8" w:space="0" w:color="000000"/>
            </w:tcBorders>
            <w:tcMar>
              <w:bottom w:w="28" w:type="dxa"/>
            </w:tcM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875" w:type="dxa"/>
            <w:tcBorders>
              <w:bottom w:val="double" w:sz="8" w:space="0" w:color="000000"/>
            </w:tcBorders>
            <w:tcMar>
              <w:bottom w:w="28" w:type="dxa"/>
            </w:tcMar>
            <w:vAlign w:val="center"/>
          </w:tcPr>
          <w:p>
            <w:pPr>
              <w:pStyle w:val="TableContents"/>
              <w:bidi w:val="0"/>
              <w:spacing w:lineRule="auto" w:line="300" w:before="0" w:after="0"/>
              <w:jc w:val="right"/>
              <w:rPr/>
            </w:pPr>
            <w:r>
              <w:rPr/>
              <w:t>513,219</w:t>
            </w:r>
          </w:p>
        </w:tc>
        <w:tc>
          <w:tcPr>
            <w:tcW w:w="100" w:type="dxa"/>
            <w:tcBorders/>
            <w:vAlign w:val="center"/>
          </w:tcPr>
          <w:p>
            <w:pPr>
              <w:pStyle w:val="TableContents"/>
              <w:bidi w:val="0"/>
              <w:spacing w:before="0" w:after="283"/>
              <w:jc w:val="left"/>
              <w:rPr/>
            </w:pPr>
            <w:r>
              <w:rPr/>
              <w:t> </w:t>
            </w:r>
          </w:p>
        </w:tc>
      </w:tr>
    </w:tbl>
    <w:p>
      <w:pPr>
        <w:pStyle w:val="TextBody"/>
        <w:bidi w:val="0"/>
        <w:spacing w:lineRule="auto" w:line="300" w:before="0" w:after="0"/>
        <w:jc w:val="left"/>
        <w:rPr/>
      </w:pPr>
      <w:r>
        <w:rPr/>
        <w:t> </w:t>
      </w:r>
    </w:p>
    <w:p>
      <w:pPr>
        <w:pStyle w:val="TextBody"/>
        <w:bidi w:val="0"/>
        <w:spacing w:lineRule="auto" w:line="300" w:before="0" w:after="0"/>
        <w:ind w:left="0" w:right="0" w:firstLine="360"/>
        <w:jc w:val="both"/>
        <w:rPr>
          <w:rFonts w:ascii="Times New Roman;Times;serif" w:hAnsi="Times New Roman;Times;serif"/>
          <w:sz w:val="20"/>
        </w:rPr>
      </w:pPr>
      <w:r>
        <w:rPr>
          <w:rFonts w:ascii="Times New Roman;Times;serif" w:hAnsi="Times New Roman;Times;serif"/>
          <w:sz w:val="20"/>
        </w:rPr>
        <w:t>* Represents an amount less than $1.</w:t>
      </w:r>
    </w:p>
    <w:p>
      <w:pPr>
        <w:pStyle w:val="TextBody"/>
        <w:bidi w:val="0"/>
        <w:spacing w:lineRule="auto" w:line="300" w:before="0" w:after="0"/>
        <w:jc w:val="left"/>
        <w:rPr/>
      </w:pPr>
      <w:r>
        <w:rPr/>
        <w:t> </w:t>
      </w:r>
    </w:p>
    <w:p>
      <w:pPr>
        <w:pStyle w:val="TextBody"/>
        <w:bidi w:val="0"/>
        <w:spacing w:lineRule="auto" w:line="300" w:before="0" w:after="0"/>
        <w:ind w:left="0" w:right="0" w:firstLine="360"/>
        <w:jc w:val="both"/>
        <w:rPr>
          <w:rFonts w:ascii="Times New Roman;Times;serif" w:hAnsi="Times New Roman;Times;serif"/>
          <w:sz w:val="20"/>
        </w:rPr>
      </w:pPr>
      <w:r>
        <w:rPr>
          <w:rFonts w:ascii="Times New Roman;Times;serif" w:hAnsi="Times New Roman;Times;serif"/>
          <w:sz w:val="20"/>
        </w:rPr>
        <w:t>The accompanying notes are an integral part of the condensed consolidated financial statements.</w:t>
      </w:r>
    </w:p>
    <w:p>
      <w:pPr>
        <w:pStyle w:val="TextBody"/>
        <w:bidi w:val="0"/>
        <w:spacing w:lineRule="auto" w:line="300" w:before="0" w:after="0"/>
        <w:ind w:left="0" w:right="0" w:firstLine="360"/>
        <w:jc w:val="both"/>
        <w:rPr/>
      </w:pPr>
      <w:r>
        <w:rPr/>
        <w:t> </w:t>
      </w:r>
    </w:p>
    <w:p>
      <w:pPr>
        <w:pStyle w:val="TextBody"/>
        <w:bidi w:val="0"/>
        <w:spacing w:before="200" w:after="20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SOLAREDGE TECHNOLOGIES INC. | 2026 Form 10-Q | F - 6</w:t>
      </w:r>
    </w:p>
    <w:p>
      <w:pPr>
        <w:pStyle w:val="HorizontalLine"/>
        <w:bidi w:val="0"/>
        <w:spacing w:before="200" w:after="200"/>
        <w:jc w:val="left"/>
        <w:rPr/>
      </w:pPr>
      <w:r>
        <w:rPr/>
      </w:r>
    </w:p>
    <w:p>
      <w:pPr>
        <w:pStyle w:val="TextBody"/>
        <w:bidi w:val="0"/>
        <w:spacing w:lineRule="auto" w:line="300" w:before="0" w:after="0"/>
        <w:jc w:val="left"/>
        <w:rPr/>
      </w:pPr>
      <w:r>
        <w:rPr/>
        <w:t> </w:t>
      </w:r>
    </w:p>
    <w:p>
      <w:pPr>
        <w:pStyle w:val="TextBody"/>
        <w:bidi w:val="0"/>
        <w:spacing w:lineRule="auto" w:line="300" w:before="0" w:after="0"/>
        <w:ind w:left="0" w:right="0" w:firstLine="360"/>
        <w:jc w:val="center"/>
        <w:rPr>
          <w:rFonts w:ascii="Times New Roman;Times;serif" w:hAnsi="Times New Roman;Times;serif"/>
          <w:b/>
          <w:sz w:val="20"/>
        </w:rPr>
      </w:pPr>
      <w:r>
        <w:rPr>
          <w:rFonts w:ascii="Times New Roman;Times;serif" w:hAnsi="Times New Roman;Times;serif"/>
          <w:b/>
          <w:sz w:val="20"/>
        </w:rPr>
        <w:t>SOLAREDGE TECHNOLOGIES, INC.</w:t>
      </w:r>
    </w:p>
    <w:p>
      <w:pPr>
        <w:pStyle w:val="TextBody"/>
        <w:bidi w:val="0"/>
        <w:spacing w:lineRule="auto" w:line="300" w:before="0" w:after="0"/>
        <w:jc w:val="left"/>
        <w:rPr/>
      </w:pPr>
      <w:r>
        <w:rPr/>
        <w:t> </w:t>
      </w:r>
    </w:p>
    <w:p>
      <w:pPr>
        <w:pStyle w:val="TextBody"/>
        <w:bidi w:val="0"/>
        <w:spacing w:lineRule="auto" w:line="300" w:before="0" w:after="0"/>
        <w:ind w:left="0" w:right="0" w:firstLine="360"/>
        <w:jc w:val="center"/>
        <w:rPr>
          <w:rFonts w:ascii="Times New Roman;Times;serif" w:hAnsi="Times New Roman;Times;serif"/>
          <w:b/>
          <w:sz w:val="20"/>
        </w:rPr>
      </w:pPr>
      <w:r>
        <w:rPr>
          <w:rFonts w:ascii="Times New Roman;Times;serif" w:hAnsi="Times New Roman;Times;serif"/>
          <w:b/>
          <w:sz w:val="20"/>
        </w:rPr>
        <w:t>CONDENSED CONSOLIDATED STATEMENTS OF C</w:t>
      </w:r>
      <w:bookmarkStart w:id="9" w:name="ASHFLOWS"/>
      <w:bookmarkEnd w:id="9"/>
      <w:r>
        <w:rPr>
          <w:rFonts w:ascii="Times New Roman;Times;serif" w:hAnsi="Times New Roman;Times;serif"/>
          <w:b/>
          <w:sz w:val="20"/>
        </w:rPr>
        <w:t>ASH FLOWS (Unaudited)</w:t>
      </w:r>
    </w:p>
    <w:p>
      <w:pPr>
        <w:pStyle w:val="TextBody"/>
        <w:bidi w:val="0"/>
        <w:spacing w:lineRule="auto" w:line="300" w:before="0" w:after="0"/>
        <w:jc w:val="left"/>
        <w:rPr/>
      </w:pPr>
      <w:r>
        <w:rPr/>
        <w:t> </w:t>
      </w:r>
    </w:p>
    <w:p>
      <w:pPr>
        <w:pStyle w:val="TextBody"/>
        <w:bidi w:val="0"/>
        <w:spacing w:lineRule="auto" w:line="300" w:before="0" w:after="0"/>
        <w:ind w:left="0" w:right="0" w:firstLine="360"/>
        <w:jc w:val="center"/>
        <w:rPr>
          <w:rFonts w:ascii="Times New Roman;Times;serif" w:hAnsi="Times New Roman;Times;serif"/>
          <w:b/>
          <w:sz w:val="20"/>
        </w:rPr>
      </w:pPr>
      <w:r>
        <w:rPr>
          <w:rFonts w:ascii="Times New Roman;Times;serif" w:hAnsi="Times New Roman;Times;serif"/>
          <w:b/>
          <w:sz w:val="20"/>
        </w:rPr>
        <w:t>(in thousands, except per share data)</w:t>
      </w:r>
    </w:p>
    <w:p>
      <w:pPr>
        <w:pStyle w:val="TextBody"/>
        <w:bidi w:val="0"/>
        <w:spacing w:lineRule="auto" w:line="300" w:before="0" w:after="0"/>
        <w:jc w:val="left"/>
        <w:rPr/>
      </w:pPr>
      <w:r>
        <w:rPr/>
        <w:t> </w:t>
      </w:r>
    </w:p>
    <w:tbl>
      <w:tblPr>
        <w:tblW w:w="8405" w:type="dxa"/>
        <w:jc w:val="left"/>
        <w:tblInd w:w="0" w:type="dxa"/>
        <w:tblLayout w:type="fixed"/>
        <w:tblCellMar>
          <w:top w:w="0" w:type="dxa"/>
          <w:left w:w="0" w:type="dxa"/>
          <w:bottom w:w="0" w:type="dxa"/>
          <w:right w:w="0" w:type="dxa"/>
        </w:tblCellMar>
      </w:tblPr>
      <w:tblGrid>
        <w:gridCol w:w="6350"/>
        <w:gridCol w:w="60"/>
        <w:gridCol w:w="125"/>
        <w:gridCol w:w="755"/>
        <w:gridCol w:w="80"/>
        <w:gridCol w:w="60"/>
        <w:gridCol w:w="125"/>
        <w:gridCol w:w="755"/>
        <w:gridCol w:w="95"/>
      </w:tblGrid>
      <w:tr>
        <w:trPr/>
        <w:tc>
          <w:tcPr>
            <w:tcW w:w="63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00" w:type="dxa"/>
            <w:gridSpan w:val="6"/>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Six Months Ended</w:t>
            </w:r>
          </w:p>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June 30,</w:t>
            </w:r>
          </w:p>
        </w:tc>
        <w:tc>
          <w:tcPr>
            <w:tcW w:w="95" w:type="dxa"/>
            <w:tcBorders/>
            <w:vAlign w:val="center"/>
          </w:tcPr>
          <w:p>
            <w:pPr>
              <w:pStyle w:val="TableContents"/>
              <w:bidi w:val="0"/>
              <w:spacing w:before="0" w:after="283"/>
              <w:jc w:val="left"/>
              <w:rPr/>
            </w:pPr>
            <w:r>
              <w:rPr/>
              <w:t> </w:t>
            </w:r>
          </w:p>
        </w:tc>
      </w:tr>
      <w:tr>
        <w:trPr/>
        <w:tc>
          <w:tcPr>
            <w:tcW w:w="63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80"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2026</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80"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2025</w:t>
            </w:r>
          </w:p>
        </w:tc>
        <w:tc>
          <w:tcPr>
            <w:tcW w:w="95" w:type="dxa"/>
            <w:tcBorders/>
            <w:vAlign w:val="center"/>
          </w:tcPr>
          <w:p>
            <w:pPr>
              <w:pStyle w:val="TableContents"/>
              <w:bidi w:val="0"/>
              <w:spacing w:before="0" w:after="283"/>
              <w:jc w:val="left"/>
              <w:rPr/>
            </w:pPr>
            <w:r>
              <w:rPr/>
              <w:t> </w:t>
            </w:r>
          </w:p>
        </w:tc>
      </w:tr>
      <w:tr>
        <w:trPr/>
        <w:tc>
          <w:tcPr>
            <w:tcW w:w="6350" w:type="dxa"/>
            <w:tcBorders/>
            <w:shd w:fill="CCEEFF" w:val="clear"/>
            <w:vAlign w:val="center"/>
          </w:tcPr>
          <w:p>
            <w:pPr>
              <w:pStyle w:val="TableContents"/>
              <w:bidi w:val="0"/>
              <w:spacing w:lineRule="auto" w:line="300" w:before="0" w:after="0"/>
              <w:jc w:val="left"/>
              <w:rPr>
                <w:rFonts w:ascii="Times New Roman;Times;serif" w:hAnsi="Times New Roman;Times;serif"/>
                <w:sz w:val="20"/>
                <w:u w:val="single"/>
              </w:rPr>
            </w:pPr>
            <w:r>
              <w:rPr>
                <w:rFonts w:ascii="Times New Roman;Times;serif" w:hAnsi="Times New Roman;Times;serif"/>
                <w:sz w:val="20"/>
                <w:u w:val="single"/>
              </w:rPr>
              <w:t>Cash flows from operating activities:</w:t>
            </w:r>
          </w:p>
        </w:tc>
        <w:tc>
          <w:tcPr>
            <w:tcW w:w="60" w:type="dxa"/>
            <w:tcBorders/>
            <w:shd w:fill="CCEEFF" w:val="clear"/>
            <w:vAlign w:val="center"/>
          </w:tcPr>
          <w:p>
            <w:pPr>
              <w:pStyle w:val="TableContents"/>
              <w:bidi w:val="0"/>
              <w:spacing w:before="0" w:after="283"/>
              <w:jc w:val="left"/>
              <w:rPr/>
            </w:pPr>
            <w:r>
              <w:rPr/>
              <w:t> </w:t>
            </w:r>
          </w:p>
        </w:tc>
        <w:tc>
          <w:tcPr>
            <w:tcW w:w="880" w:type="dxa"/>
            <w:gridSpan w:val="2"/>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80" w:type="dxa"/>
            <w:gridSpan w:val="2"/>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6350" w:type="dxa"/>
            <w:tcBorders/>
            <w:vAlign w:val="center"/>
          </w:tcPr>
          <w:p>
            <w:pPr>
              <w:pStyle w:val="TableContents"/>
              <w:bidi w:val="0"/>
              <w:spacing w:lineRule="auto" w:line="300" w:before="0" w:after="0"/>
              <w:ind w:left="120" w:right="0" w:hanging="0"/>
              <w:jc w:val="left"/>
              <w:rPr>
                <w:rFonts w:ascii="Times New Roman;Times;serif" w:hAnsi="Times New Roman;Times;serif"/>
                <w:sz w:val="20"/>
              </w:rPr>
            </w:pPr>
            <w:r>
              <w:rPr>
                <w:rFonts w:ascii="Times New Roman;Times;serif" w:hAnsi="Times New Roman;Times;serif"/>
                <w:sz w:val="20"/>
              </w:rPr>
              <w:t>Net loss</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755"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(88,119</w:t>
            </w:r>
          </w:p>
        </w:tc>
        <w:tc>
          <w:tcPr>
            <w:tcW w:w="80"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755"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(223,267</w:t>
            </w:r>
          </w:p>
        </w:tc>
        <w:tc>
          <w:tcPr>
            <w:tcW w:w="95"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r>
      <w:tr>
        <w:trPr/>
        <w:tc>
          <w:tcPr>
            <w:tcW w:w="6350" w:type="dxa"/>
            <w:tcBorders/>
            <w:shd w:fill="CCEEFF" w:val="clear"/>
            <w:vAlign w:val="center"/>
          </w:tcPr>
          <w:p>
            <w:pPr>
              <w:pStyle w:val="TableContents"/>
              <w:bidi w:val="0"/>
              <w:spacing w:lineRule="auto" w:line="300" w:before="0" w:after="0"/>
              <w:ind w:left="120" w:right="0" w:hanging="0"/>
              <w:jc w:val="left"/>
              <w:rPr>
                <w:rFonts w:ascii="Times New Roman;Times;serif" w:hAnsi="Times New Roman;Times;serif"/>
                <w:sz w:val="20"/>
              </w:rPr>
            </w:pPr>
            <w:r>
              <w:rPr>
                <w:rFonts w:ascii="Times New Roman;Times;serif" w:hAnsi="Times New Roman;Times;serif"/>
                <w:sz w:val="20"/>
              </w:rPr>
              <w:t>Adjustments to reconcile net loss to net cash provided by operating activities: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6350" w:type="dxa"/>
            <w:tcBorders/>
            <w:vAlign w:val="center"/>
          </w:tcPr>
          <w:p>
            <w:pPr>
              <w:pStyle w:val="TableContents"/>
              <w:bidi w:val="0"/>
              <w:spacing w:lineRule="auto" w:line="300" w:before="0" w:after="0"/>
              <w:ind w:left="270" w:right="0" w:hanging="0"/>
              <w:jc w:val="left"/>
              <w:rPr>
                <w:rFonts w:ascii="Times New Roman;Times;serif" w:hAnsi="Times New Roman;Times;serif"/>
                <w:sz w:val="20"/>
              </w:rPr>
            </w:pPr>
            <w:r>
              <w:rPr>
                <w:rFonts w:ascii="Times New Roman;Times;serif" w:hAnsi="Times New Roman;Times;serif"/>
                <w:sz w:val="20"/>
              </w:rPr>
              <w:t>Depreciation and amortization</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11,687</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16,227</w:t>
            </w:r>
          </w:p>
        </w:tc>
        <w:tc>
          <w:tcPr>
            <w:tcW w:w="95" w:type="dxa"/>
            <w:tcBorders/>
            <w:vAlign w:val="center"/>
          </w:tcPr>
          <w:p>
            <w:pPr>
              <w:pStyle w:val="TableContents"/>
              <w:bidi w:val="0"/>
              <w:spacing w:before="0" w:after="283"/>
              <w:jc w:val="left"/>
              <w:rPr/>
            </w:pPr>
            <w:r>
              <w:rPr/>
              <w:t> </w:t>
            </w:r>
          </w:p>
        </w:tc>
      </w:tr>
      <w:tr>
        <w:trPr/>
        <w:tc>
          <w:tcPr>
            <w:tcW w:w="6350" w:type="dxa"/>
            <w:tcBorders/>
            <w:shd w:fill="CCEEFF" w:val="clear"/>
            <w:vAlign w:val="center"/>
          </w:tcPr>
          <w:p>
            <w:pPr>
              <w:pStyle w:val="TableContents"/>
              <w:bidi w:val="0"/>
              <w:spacing w:lineRule="auto" w:line="300" w:before="0" w:after="0"/>
              <w:ind w:left="270" w:right="0" w:hanging="0"/>
              <w:jc w:val="left"/>
              <w:rPr>
                <w:rFonts w:ascii="Times New Roman;Times;serif" w:hAnsi="Times New Roman;Times;serif"/>
                <w:sz w:val="20"/>
              </w:rPr>
            </w:pPr>
            <w:r>
              <w:rPr>
                <w:rFonts w:ascii="Times New Roman;Times;serif" w:hAnsi="Times New Roman;Times;serif"/>
                <w:sz w:val="20"/>
              </w:rPr>
              <w:t>Impairment of asset held-for-sale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38,339</w:t>
            </w:r>
          </w:p>
        </w:tc>
        <w:tc>
          <w:tcPr>
            <w:tcW w:w="95" w:type="dxa"/>
            <w:tcBorders/>
            <w:shd w:fill="CCEEFF" w:val="clear"/>
            <w:vAlign w:val="center"/>
          </w:tcPr>
          <w:p>
            <w:pPr>
              <w:pStyle w:val="TableContents"/>
              <w:bidi w:val="0"/>
              <w:spacing w:before="0" w:after="283"/>
              <w:jc w:val="left"/>
              <w:rPr/>
            </w:pPr>
            <w:r>
              <w:rPr/>
              <w:t> </w:t>
            </w:r>
          </w:p>
        </w:tc>
      </w:tr>
      <w:tr>
        <w:trPr/>
        <w:tc>
          <w:tcPr>
            <w:tcW w:w="6350" w:type="dxa"/>
            <w:tcBorders/>
            <w:vAlign w:val="center"/>
          </w:tcPr>
          <w:p>
            <w:pPr>
              <w:pStyle w:val="TableContents"/>
              <w:bidi w:val="0"/>
              <w:spacing w:lineRule="auto" w:line="300" w:before="0" w:after="0"/>
              <w:ind w:left="270" w:right="0" w:hanging="0"/>
              <w:jc w:val="left"/>
              <w:rPr>
                <w:rFonts w:ascii="Times New Roman;Times;serif" w:hAnsi="Times New Roman;Times;serif"/>
                <w:sz w:val="20"/>
              </w:rPr>
            </w:pPr>
            <w:r>
              <w:rPr>
                <w:rFonts w:ascii="Times New Roman;Times;serif" w:hAnsi="Times New Roman;Times;serif"/>
                <w:sz w:val="20"/>
              </w:rPr>
              <w:t>Stock-based compensation expenses</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39,549</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50,687</w:t>
            </w:r>
          </w:p>
        </w:tc>
        <w:tc>
          <w:tcPr>
            <w:tcW w:w="95" w:type="dxa"/>
            <w:tcBorders/>
            <w:vAlign w:val="center"/>
          </w:tcPr>
          <w:p>
            <w:pPr>
              <w:pStyle w:val="TableContents"/>
              <w:bidi w:val="0"/>
              <w:spacing w:before="0" w:after="283"/>
              <w:jc w:val="left"/>
              <w:rPr/>
            </w:pPr>
            <w:r>
              <w:rPr/>
              <w:t> </w:t>
            </w:r>
          </w:p>
        </w:tc>
      </w:tr>
      <w:tr>
        <w:trPr/>
        <w:tc>
          <w:tcPr>
            <w:tcW w:w="6350" w:type="dxa"/>
            <w:tcBorders/>
            <w:shd w:fill="CCEEFF" w:val="clear"/>
            <w:vAlign w:val="center"/>
          </w:tcPr>
          <w:p>
            <w:pPr>
              <w:pStyle w:val="TableContents"/>
              <w:bidi w:val="0"/>
              <w:spacing w:lineRule="auto" w:line="300" w:before="0" w:after="0"/>
              <w:ind w:left="270" w:right="0" w:hanging="0"/>
              <w:jc w:val="left"/>
              <w:rPr>
                <w:rFonts w:ascii="Times New Roman;Times;serif" w:hAnsi="Times New Roman;Times;serif"/>
                <w:sz w:val="20"/>
              </w:rPr>
            </w:pPr>
            <w:r>
              <w:rPr>
                <w:rFonts w:ascii="Times New Roman;Times;serif" w:hAnsi="Times New Roman;Times;serif"/>
                <w:sz w:val="20"/>
              </w:rPr>
              <w:t>Loss from business disposition</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7,699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17,875</w:t>
            </w:r>
          </w:p>
        </w:tc>
        <w:tc>
          <w:tcPr>
            <w:tcW w:w="95" w:type="dxa"/>
            <w:tcBorders/>
            <w:shd w:fill="CCEEFF" w:val="clear"/>
            <w:vAlign w:val="center"/>
          </w:tcPr>
          <w:p>
            <w:pPr>
              <w:pStyle w:val="TableContents"/>
              <w:bidi w:val="0"/>
              <w:spacing w:before="0" w:after="283"/>
              <w:jc w:val="left"/>
              <w:rPr/>
            </w:pPr>
            <w:r>
              <w:rPr/>
              <w:t> </w:t>
            </w:r>
          </w:p>
        </w:tc>
      </w:tr>
      <w:tr>
        <w:trPr/>
        <w:tc>
          <w:tcPr>
            <w:tcW w:w="6350" w:type="dxa"/>
            <w:tcBorders/>
            <w:vAlign w:val="center"/>
          </w:tcPr>
          <w:p>
            <w:pPr>
              <w:pStyle w:val="TableContents"/>
              <w:bidi w:val="0"/>
              <w:spacing w:lineRule="auto" w:line="300" w:before="0" w:after="0"/>
              <w:ind w:left="270" w:right="0" w:hanging="0"/>
              <w:jc w:val="left"/>
              <w:rPr>
                <w:rFonts w:ascii="Times New Roman;Times;serif" w:hAnsi="Times New Roman;Times;serif"/>
                <w:sz w:val="20"/>
              </w:rPr>
            </w:pPr>
            <w:r>
              <w:rPr>
                <w:rFonts w:ascii="Times New Roman;Times;serif" w:hAnsi="Times New Roman;Times;serif"/>
                <w:sz w:val="20"/>
              </w:rPr>
              <w:t>Loss (gain) from exchange rate fluctuations</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(1,740</w:t>
            </w:r>
          </w:p>
        </w:tc>
        <w:tc>
          <w:tcPr>
            <w:tcW w:w="80"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1,516</w:t>
            </w:r>
          </w:p>
        </w:tc>
        <w:tc>
          <w:tcPr>
            <w:tcW w:w="95" w:type="dxa"/>
            <w:tcBorders/>
            <w:vAlign w:val="center"/>
          </w:tcPr>
          <w:p>
            <w:pPr>
              <w:pStyle w:val="TableContents"/>
              <w:bidi w:val="0"/>
              <w:spacing w:before="0" w:after="283"/>
              <w:jc w:val="left"/>
              <w:rPr/>
            </w:pPr>
            <w:r>
              <w:rPr/>
              <w:t> </w:t>
            </w:r>
          </w:p>
        </w:tc>
      </w:tr>
      <w:tr>
        <w:trPr/>
        <w:tc>
          <w:tcPr>
            <w:tcW w:w="6350" w:type="dxa"/>
            <w:tcBorders/>
            <w:shd w:fill="CCEEFF" w:val="clear"/>
            <w:vAlign w:val="center"/>
          </w:tcPr>
          <w:p>
            <w:pPr>
              <w:pStyle w:val="TableContents"/>
              <w:bidi w:val="0"/>
              <w:spacing w:lineRule="auto" w:line="300" w:before="0" w:after="0"/>
              <w:ind w:left="270" w:right="0" w:hanging="0"/>
              <w:jc w:val="left"/>
              <w:rPr>
                <w:rFonts w:ascii="Times New Roman;Times;serif" w:hAnsi="Times New Roman;Times;serif"/>
                <w:sz w:val="20"/>
              </w:rPr>
            </w:pPr>
            <w:r>
              <w:rPr>
                <w:rFonts w:ascii="Times New Roman;Times;serif" w:hAnsi="Times New Roman;Times;serif"/>
                <w:sz w:val="20"/>
              </w:rPr>
              <w:t>Other items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7,984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(2,221</w:t>
            </w:r>
          </w:p>
        </w:tc>
        <w:tc>
          <w:tcPr>
            <w:tcW w:w="95"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r>
      <w:tr>
        <w:trPr/>
        <w:tc>
          <w:tcPr>
            <w:tcW w:w="6350" w:type="dxa"/>
            <w:tcBorders/>
            <w:vAlign w:val="center"/>
          </w:tcPr>
          <w:p>
            <w:pPr>
              <w:pStyle w:val="TableContents"/>
              <w:bidi w:val="0"/>
              <w:spacing w:lineRule="auto" w:line="300" w:before="0" w:after="0"/>
              <w:ind w:left="120" w:right="0" w:hanging="0"/>
              <w:jc w:val="left"/>
              <w:rPr>
                <w:rFonts w:ascii="Times New Roman;Times;serif" w:hAnsi="Times New Roman;Times;serif"/>
                <w:sz w:val="20"/>
              </w:rPr>
            </w:pPr>
            <w:r>
              <w:rPr>
                <w:rFonts w:ascii="Times New Roman;Times;serif" w:hAnsi="Times New Roman;Times;serif"/>
                <w:sz w:val="20"/>
              </w:rPr>
              <w:t>Changes in assets and liabilities:</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r>
      <w:tr>
        <w:trPr/>
        <w:tc>
          <w:tcPr>
            <w:tcW w:w="6350" w:type="dxa"/>
            <w:tcBorders/>
            <w:shd w:fill="CCEEFF" w:val="clear"/>
            <w:vAlign w:val="center"/>
          </w:tcPr>
          <w:p>
            <w:pPr>
              <w:pStyle w:val="TableContents"/>
              <w:bidi w:val="0"/>
              <w:spacing w:lineRule="auto" w:line="300" w:before="0" w:after="0"/>
              <w:ind w:left="270" w:right="0" w:hanging="0"/>
              <w:jc w:val="left"/>
              <w:rPr>
                <w:rFonts w:ascii="Times New Roman;Times;serif" w:hAnsi="Times New Roman;Times;serif"/>
                <w:sz w:val="20"/>
              </w:rPr>
            </w:pPr>
            <w:r>
              <w:rPr>
                <w:rFonts w:ascii="Times New Roman;Times;serif" w:hAnsi="Times New Roman;Times;serif"/>
                <w:sz w:val="20"/>
              </w:rPr>
              <w:t>Trade receivables, net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53,801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(54,686</w:t>
            </w:r>
          </w:p>
        </w:tc>
        <w:tc>
          <w:tcPr>
            <w:tcW w:w="95"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r>
      <w:tr>
        <w:trPr/>
        <w:tc>
          <w:tcPr>
            <w:tcW w:w="6350" w:type="dxa"/>
            <w:tcBorders/>
            <w:vAlign w:val="center"/>
          </w:tcPr>
          <w:p>
            <w:pPr>
              <w:pStyle w:val="TableContents"/>
              <w:bidi w:val="0"/>
              <w:spacing w:lineRule="auto" w:line="300" w:before="0" w:after="0"/>
              <w:ind w:left="270" w:right="0" w:hanging="0"/>
              <w:jc w:val="left"/>
              <w:rPr>
                <w:rFonts w:ascii="Times New Roman;Times;serif" w:hAnsi="Times New Roman;Times;serif"/>
                <w:sz w:val="20"/>
              </w:rPr>
            </w:pPr>
            <w:r>
              <w:rPr>
                <w:rFonts w:ascii="Times New Roman;Times;serif" w:hAnsi="Times New Roman;Times;serif"/>
                <w:sz w:val="20"/>
              </w:rPr>
              <w:t>Inventories, net</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(35,223</w:t>
            </w:r>
          </w:p>
        </w:tc>
        <w:tc>
          <w:tcPr>
            <w:tcW w:w="80"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125,125</w:t>
            </w:r>
          </w:p>
        </w:tc>
        <w:tc>
          <w:tcPr>
            <w:tcW w:w="95" w:type="dxa"/>
            <w:tcBorders/>
            <w:vAlign w:val="center"/>
          </w:tcPr>
          <w:p>
            <w:pPr>
              <w:pStyle w:val="TableContents"/>
              <w:bidi w:val="0"/>
              <w:spacing w:before="0" w:after="283"/>
              <w:jc w:val="left"/>
              <w:rPr/>
            </w:pPr>
            <w:r>
              <w:rPr/>
              <w:t> </w:t>
            </w:r>
          </w:p>
        </w:tc>
      </w:tr>
      <w:tr>
        <w:trPr/>
        <w:tc>
          <w:tcPr>
            <w:tcW w:w="6350" w:type="dxa"/>
            <w:tcBorders/>
            <w:shd w:fill="CCEEFF" w:val="clear"/>
            <w:vAlign w:val="center"/>
          </w:tcPr>
          <w:p>
            <w:pPr>
              <w:pStyle w:val="TableContents"/>
              <w:bidi w:val="0"/>
              <w:spacing w:lineRule="auto" w:line="300" w:before="0" w:after="0"/>
              <w:ind w:left="270" w:right="0" w:hanging="0"/>
              <w:jc w:val="left"/>
              <w:rPr>
                <w:rFonts w:ascii="Times New Roman;Times;serif" w:hAnsi="Times New Roman;Times;serif"/>
                <w:sz w:val="20"/>
              </w:rPr>
            </w:pPr>
            <w:r>
              <w:rPr>
                <w:rFonts w:ascii="Times New Roman;Times;serif" w:hAnsi="Times New Roman;Times;serif"/>
                <w:sz w:val="20"/>
              </w:rPr>
              <w:t>Prepaid expenses and other assets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(125,103</w:t>
            </w:r>
          </w:p>
        </w:tc>
        <w:tc>
          <w:tcPr>
            <w:tcW w:w="80"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61,006</w:t>
            </w:r>
          </w:p>
        </w:tc>
        <w:tc>
          <w:tcPr>
            <w:tcW w:w="95" w:type="dxa"/>
            <w:tcBorders/>
            <w:shd w:fill="CCEEFF" w:val="clear"/>
            <w:vAlign w:val="center"/>
          </w:tcPr>
          <w:p>
            <w:pPr>
              <w:pStyle w:val="TableContents"/>
              <w:bidi w:val="0"/>
              <w:spacing w:before="0" w:after="283"/>
              <w:jc w:val="left"/>
              <w:rPr/>
            </w:pPr>
            <w:r>
              <w:rPr/>
              <w:t> </w:t>
            </w:r>
          </w:p>
        </w:tc>
      </w:tr>
      <w:tr>
        <w:trPr/>
        <w:tc>
          <w:tcPr>
            <w:tcW w:w="6350" w:type="dxa"/>
            <w:tcBorders/>
            <w:vAlign w:val="center"/>
          </w:tcPr>
          <w:p>
            <w:pPr>
              <w:pStyle w:val="TableContents"/>
              <w:bidi w:val="0"/>
              <w:spacing w:lineRule="auto" w:line="300" w:before="0" w:after="0"/>
              <w:ind w:left="270" w:right="0" w:hanging="0"/>
              <w:jc w:val="left"/>
              <w:rPr>
                <w:rFonts w:ascii="Times New Roman;Times;serif" w:hAnsi="Times New Roman;Times;serif"/>
                <w:sz w:val="20"/>
              </w:rPr>
            </w:pPr>
            <w:r>
              <w:rPr>
                <w:rFonts w:ascii="Times New Roman;Times;serif" w:hAnsi="Times New Roman;Times;serif"/>
                <w:sz w:val="20"/>
              </w:rPr>
              <w:t>Operating lease right-of-use assets, net</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6,600</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5,153</w:t>
            </w:r>
          </w:p>
        </w:tc>
        <w:tc>
          <w:tcPr>
            <w:tcW w:w="95" w:type="dxa"/>
            <w:tcBorders/>
            <w:vAlign w:val="center"/>
          </w:tcPr>
          <w:p>
            <w:pPr>
              <w:pStyle w:val="TableContents"/>
              <w:bidi w:val="0"/>
              <w:spacing w:before="0" w:after="283"/>
              <w:jc w:val="left"/>
              <w:rPr/>
            </w:pPr>
            <w:r>
              <w:rPr/>
              <w:t> </w:t>
            </w:r>
          </w:p>
        </w:tc>
      </w:tr>
      <w:tr>
        <w:trPr/>
        <w:tc>
          <w:tcPr>
            <w:tcW w:w="6350" w:type="dxa"/>
            <w:tcBorders/>
            <w:shd w:fill="CCEEFF" w:val="clear"/>
            <w:vAlign w:val="center"/>
          </w:tcPr>
          <w:p>
            <w:pPr>
              <w:pStyle w:val="TableContents"/>
              <w:bidi w:val="0"/>
              <w:spacing w:lineRule="auto" w:line="300" w:before="0" w:after="0"/>
              <w:ind w:left="270" w:right="0" w:hanging="0"/>
              <w:jc w:val="left"/>
              <w:rPr>
                <w:rFonts w:ascii="Times New Roman;Times;serif" w:hAnsi="Times New Roman;Times;serif"/>
                <w:sz w:val="20"/>
              </w:rPr>
            </w:pPr>
            <w:r>
              <w:rPr>
                <w:rFonts w:ascii="Times New Roman;Times;serif" w:hAnsi="Times New Roman;Times;serif"/>
                <w:sz w:val="20"/>
              </w:rPr>
              <w:t>Trade payables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188,259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71,217</w:t>
            </w:r>
          </w:p>
        </w:tc>
        <w:tc>
          <w:tcPr>
            <w:tcW w:w="95" w:type="dxa"/>
            <w:tcBorders/>
            <w:shd w:fill="CCEEFF" w:val="clear"/>
            <w:vAlign w:val="center"/>
          </w:tcPr>
          <w:p>
            <w:pPr>
              <w:pStyle w:val="TableContents"/>
              <w:bidi w:val="0"/>
              <w:spacing w:before="0" w:after="283"/>
              <w:jc w:val="left"/>
              <w:rPr/>
            </w:pPr>
            <w:r>
              <w:rPr/>
              <w:t> </w:t>
            </w:r>
          </w:p>
        </w:tc>
      </w:tr>
      <w:tr>
        <w:trPr/>
        <w:tc>
          <w:tcPr>
            <w:tcW w:w="6350" w:type="dxa"/>
            <w:tcBorders/>
            <w:vAlign w:val="center"/>
          </w:tcPr>
          <w:p>
            <w:pPr>
              <w:pStyle w:val="TableContents"/>
              <w:bidi w:val="0"/>
              <w:spacing w:lineRule="auto" w:line="300" w:before="0" w:after="0"/>
              <w:ind w:left="270" w:right="0" w:hanging="0"/>
              <w:jc w:val="left"/>
              <w:rPr>
                <w:rFonts w:ascii="Times New Roman;Times;serif" w:hAnsi="Times New Roman;Times;serif"/>
                <w:sz w:val="20"/>
              </w:rPr>
            </w:pPr>
            <w:r>
              <w:rPr>
                <w:rFonts w:ascii="Times New Roman;Times;serif" w:hAnsi="Times New Roman;Times;serif"/>
                <w:sz w:val="20"/>
              </w:rPr>
              <w:t>Employees and payroll accruals</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(7,173</w:t>
            </w:r>
          </w:p>
        </w:tc>
        <w:tc>
          <w:tcPr>
            <w:tcW w:w="80"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(2,038</w:t>
            </w:r>
          </w:p>
        </w:tc>
        <w:tc>
          <w:tcPr>
            <w:tcW w:w="95"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r>
      <w:tr>
        <w:trPr/>
        <w:tc>
          <w:tcPr>
            <w:tcW w:w="6350" w:type="dxa"/>
            <w:tcBorders/>
            <w:shd w:fill="CCEEFF" w:val="clear"/>
            <w:vAlign w:val="center"/>
          </w:tcPr>
          <w:p>
            <w:pPr>
              <w:pStyle w:val="TableContents"/>
              <w:bidi w:val="0"/>
              <w:spacing w:lineRule="auto" w:line="300" w:before="0" w:after="0"/>
              <w:ind w:left="270" w:right="0" w:hanging="0"/>
              <w:jc w:val="left"/>
              <w:rPr>
                <w:rFonts w:ascii="Times New Roman;Times;serif" w:hAnsi="Times New Roman;Times;serif"/>
                <w:sz w:val="20"/>
              </w:rPr>
            </w:pPr>
            <w:r>
              <w:rPr>
                <w:rFonts w:ascii="Times New Roman;Times;serif" w:hAnsi="Times New Roman;Times;serif"/>
                <w:sz w:val="20"/>
              </w:rPr>
              <w:t>Warranty obligations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(48,975</w:t>
            </w:r>
          </w:p>
        </w:tc>
        <w:tc>
          <w:tcPr>
            <w:tcW w:w="80"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(34,609</w:t>
            </w:r>
          </w:p>
        </w:tc>
        <w:tc>
          <w:tcPr>
            <w:tcW w:w="95"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r>
      <w:tr>
        <w:trPr/>
        <w:tc>
          <w:tcPr>
            <w:tcW w:w="6350" w:type="dxa"/>
            <w:tcBorders/>
            <w:vAlign w:val="center"/>
          </w:tcPr>
          <w:p>
            <w:pPr>
              <w:pStyle w:val="TableContents"/>
              <w:bidi w:val="0"/>
              <w:spacing w:lineRule="auto" w:line="300" w:before="0" w:after="0"/>
              <w:ind w:left="270" w:right="0" w:hanging="0"/>
              <w:jc w:val="left"/>
              <w:rPr>
                <w:rFonts w:ascii="Times New Roman;Times;serif" w:hAnsi="Times New Roman;Times;serif"/>
                <w:sz w:val="20"/>
              </w:rPr>
            </w:pPr>
            <w:r>
              <w:rPr>
                <w:rFonts w:ascii="Times New Roman;Times;serif" w:hAnsi="Times New Roman;Times;serif"/>
                <w:sz w:val="20"/>
              </w:rPr>
              <w:t>Deferred revenues and customers advances</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13,362</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(83,779</w:t>
            </w:r>
          </w:p>
        </w:tc>
        <w:tc>
          <w:tcPr>
            <w:tcW w:w="95"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r>
      <w:tr>
        <w:trPr/>
        <w:tc>
          <w:tcPr>
            <w:tcW w:w="6350" w:type="dxa"/>
            <w:tcBorders/>
            <w:shd w:fill="CCEEFF" w:val="clear"/>
            <w:vAlign w:val="center"/>
          </w:tcPr>
          <w:p>
            <w:pPr>
              <w:pStyle w:val="TableContents"/>
              <w:bidi w:val="0"/>
              <w:spacing w:lineRule="auto" w:line="300" w:before="0" w:after="0"/>
              <w:ind w:left="270" w:right="0" w:hanging="0"/>
              <w:jc w:val="left"/>
              <w:rPr>
                <w:rFonts w:ascii="Times New Roman;Times;serif" w:hAnsi="Times New Roman;Times;serif"/>
                <w:sz w:val="20"/>
              </w:rPr>
            </w:pPr>
            <w:r>
              <w:rPr>
                <w:rFonts w:ascii="Times New Roman;Times;serif" w:hAnsi="Times New Roman;Times;serif"/>
                <w:sz w:val="20"/>
              </w:rPr>
              <w:t>Operating lease liabilities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(7,796</w:t>
            </w:r>
          </w:p>
        </w:tc>
        <w:tc>
          <w:tcPr>
            <w:tcW w:w="80"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(6,806</w:t>
            </w:r>
          </w:p>
        </w:tc>
        <w:tc>
          <w:tcPr>
            <w:tcW w:w="95"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r>
      <w:tr>
        <w:trPr/>
        <w:tc>
          <w:tcPr>
            <w:tcW w:w="6350" w:type="dxa"/>
            <w:tcBorders/>
            <w:vAlign w:val="center"/>
          </w:tcPr>
          <w:p>
            <w:pPr>
              <w:pStyle w:val="TableContents"/>
              <w:bidi w:val="0"/>
              <w:spacing w:lineRule="auto" w:line="300" w:before="0" w:after="0"/>
              <w:ind w:left="270" w:right="0" w:hanging="0"/>
              <w:jc w:val="left"/>
              <w:rPr>
                <w:rFonts w:ascii="Times New Roman;Times;serif" w:hAnsi="Times New Roman;Times;serif"/>
                <w:sz w:val="20"/>
              </w:rPr>
            </w:pPr>
            <w:r>
              <w:rPr>
                <w:rFonts w:ascii="Times New Roman;Times;serif" w:hAnsi="Times New Roman;Times;serif"/>
                <w:sz w:val="20"/>
              </w:rPr>
              <w:t>Accrued expenses and other liabilities</w:t>
            </w:r>
          </w:p>
        </w:tc>
        <w:tc>
          <w:tcPr>
            <w:tcW w:w="60" w:type="dxa"/>
            <w:tcBorders/>
            <w:vAlign w:val="center"/>
          </w:tcPr>
          <w:p>
            <w:pPr>
              <w:pStyle w:val="TableContents"/>
              <w:bidi w:val="0"/>
              <w:spacing w:before="0" w:after="283"/>
              <w:jc w:val="left"/>
              <w:rPr/>
            </w:pPr>
            <w:r>
              <w:rPr/>
              <w:t> </w:t>
            </w:r>
          </w:p>
        </w:tc>
        <w:tc>
          <w:tcPr>
            <w:tcW w:w="125" w:type="dxa"/>
            <w:tcBorders>
              <w:bottom w:val="single" w:sz="12" w:space="0" w:color="000000"/>
            </w:tcBorders>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21,032</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bottom w:val="single" w:sz="12" w:space="0" w:color="000000"/>
            </w:tcBorders>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46,285</w:t>
            </w:r>
          </w:p>
        </w:tc>
        <w:tc>
          <w:tcPr>
            <w:tcW w:w="95" w:type="dxa"/>
            <w:tcBorders/>
            <w:vAlign w:val="center"/>
          </w:tcPr>
          <w:p>
            <w:pPr>
              <w:pStyle w:val="TableContents"/>
              <w:bidi w:val="0"/>
              <w:spacing w:before="0" w:after="283"/>
              <w:jc w:val="left"/>
              <w:rPr/>
            </w:pPr>
            <w:r>
              <w:rPr/>
              <w:t> </w:t>
            </w:r>
          </w:p>
        </w:tc>
      </w:tr>
      <w:tr>
        <w:trPr/>
        <w:tc>
          <w:tcPr>
            <w:tcW w:w="6350" w:type="dxa"/>
            <w:tcBorders/>
            <w:shd w:fill="CCEEFF" w:val="clear"/>
            <w:vAlign w:val="center"/>
          </w:tcPr>
          <w:p>
            <w:pPr>
              <w:pStyle w:val="TableContents"/>
              <w:bidi w:val="0"/>
              <w:spacing w:lineRule="auto" w:line="300" w:before="0" w:after="0"/>
              <w:jc w:val="both"/>
              <w:rPr>
                <w:rFonts w:ascii="Times New Roman;Times;serif" w:hAnsi="Times New Roman;Times;serif"/>
                <w:sz w:val="20"/>
              </w:rPr>
            </w:pPr>
            <w:r>
              <w:rPr>
                <w:rFonts w:ascii="Times New Roman;Times;serif" w:hAnsi="Times New Roman;Times;serif"/>
                <w:sz w:val="20"/>
              </w:rPr>
              <w:t>Net cash provided by operating activities</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CCEEFF" w:val="clear"/>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35,844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CCEEFF" w:val="clear"/>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26,024</w:t>
            </w:r>
          </w:p>
        </w:tc>
        <w:tc>
          <w:tcPr>
            <w:tcW w:w="95" w:type="dxa"/>
            <w:tcBorders/>
            <w:shd w:fill="CCEEFF" w:val="clear"/>
            <w:vAlign w:val="center"/>
          </w:tcPr>
          <w:p>
            <w:pPr>
              <w:pStyle w:val="TableContents"/>
              <w:bidi w:val="0"/>
              <w:spacing w:before="0" w:after="283"/>
              <w:jc w:val="left"/>
              <w:rPr/>
            </w:pPr>
            <w:r>
              <w:rPr/>
              <w:t> </w:t>
            </w:r>
          </w:p>
        </w:tc>
      </w:tr>
      <w:tr>
        <w:trPr/>
        <w:tc>
          <w:tcPr>
            <w:tcW w:w="6350" w:type="dxa"/>
            <w:tcBorders/>
            <w:vAlign w:val="center"/>
          </w:tcPr>
          <w:p>
            <w:pPr>
              <w:pStyle w:val="TableContents"/>
              <w:bidi w:val="0"/>
              <w:spacing w:lineRule="auto" w:line="300" w:before="0" w:after="0"/>
              <w:jc w:val="both"/>
              <w:rPr>
                <w:rFonts w:ascii="Times New Roman;Times;serif" w:hAnsi="Times New Roman;Times;serif"/>
                <w:sz w:val="20"/>
                <w:u w:val="single"/>
              </w:rPr>
            </w:pPr>
            <w:r>
              <w:rPr>
                <w:rFonts w:ascii="Times New Roman;Times;serif" w:hAnsi="Times New Roman;Times;serif"/>
                <w:sz w:val="20"/>
                <w:u w:val="single"/>
              </w:rPr>
              <w:t>Cash flows from investing activities:</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r>
      <w:tr>
        <w:trPr/>
        <w:tc>
          <w:tcPr>
            <w:tcW w:w="6350" w:type="dxa"/>
            <w:tcBorders/>
            <w:shd w:fill="CCEEFF" w:val="clear"/>
            <w:vAlign w:val="center"/>
          </w:tcPr>
          <w:p>
            <w:pPr>
              <w:pStyle w:val="TableContents"/>
              <w:bidi w:val="0"/>
              <w:spacing w:lineRule="auto" w:line="300" w:before="0" w:after="0"/>
              <w:ind w:left="270" w:right="0" w:hanging="0"/>
              <w:jc w:val="left"/>
              <w:rPr>
                <w:rFonts w:ascii="Times New Roman;Times;serif" w:hAnsi="Times New Roman;Times;serif"/>
                <w:sz w:val="20"/>
              </w:rPr>
            </w:pPr>
            <w:r>
              <w:rPr>
                <w:rFonts w:ascii="Times New Roman;Times;serif" w:hAnsi="Times New Roman;Times;serif"/>
                <w:sz w:val="20"/>
              </w:rPr>
              <w:t>Investment in available-for-sale marketable securities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(172,773</w:t>
            </w:r>
          </w:p>
        </w:tc>
        <w:tc>
          <w:tcPr>
            <w:tcW w:w="95"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r>
      <w:tr>
        <w:trPr/>
        <w:tc>
          <w:tcPr>
            <w:tcW w:w="6350" w:type="dxa"/>
            <w:tcBorders/>
            <w:vAlign w:val="center"/>
          </w:tcPr>
          <w:p>
            <w:pPr>
              <w:pStyle w:val="TableContents"/>
              <w:bidi w:val="0"/>
              <w:spacing w:lineRule="auto" w:line="300" w:before="0" w:after="0"/>
              <w:ind w:left="270" w:right="0" w:hanging="0"/>
              <w:jc w:val="left"/>
              <w:rPr>
                <w:rFonts w:ascii="Times New Roman;Times;serif" w:hAnsi="Times New Roman;Times;serif"/>
                <w:sz w:val="20"/>
              </w:rPr>
            </w:pPr>
            <w:r>
              <w:rPr>
                <w:rFonts w:ascii="Times New Roman;Times;serif" w:hAnsi="Times New Roman;Times;serif"/>
                <w:sz w:val="20"/>
              </w:rPr>
              <w:t>Proceeds from maturities of available-for-sale marketable securities</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18,388</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292,679</w:t>
            </w:r>
          </w:p>
        </w:tc>
        <w:tc>
          <w:tcPr>
            <w:tcW w:w="95" w:type="dxa"/>
            <w:tcBorders/>
            <w:vAlign w:val="center"/>
          </w:tcPr>
          <w:p>
            <w:pPr>
              <w:pStyle w:val="TableContents"/>
              <w:bidi w:val="0"/>
              <w:spacing w:before="0" w:after="283"/>
              <w:jc w:val="left"/>
              <w:rPr/>
            </w:pPr>
            <w:r>
              <w:rPr/>
              <w:t> </w:t>
            </w:r>
          </w:p>
        </w:tc>
      </w:tr>
      <w:tr>
        <w:trPr/>
        <w:tc>
          <w:tcPr>
            <w:tcW w:w="6350" w:type="dxa"/>
            <w:tcBorders/>
            <w:shd w:fill="CCEEFF" w:val="clear"/>
            <w:vAlign w:val="center"/>
          </w:tcPr>
          <w:p>
            <w:pPr>
              <w:pStyle w:val="TableContents"/>
              <w:bidi w:val="0"/>
              <w:spacing w:lineRule="auto" w:line="300" w:before="0" w:after="0"/>
              <w:ind w:left="270" w:right="0" w:hanging="0"/>
              <w:jc w:val="left"/>
              <w:rPr>
                <w:rFonts w:ascii="Times New Roman;Times;serif" w:hAnsi="Times New Roman;Times;serif"/>
                <w:sz w:val="20"/>
              </w:rPr>
            </w:pPr>
            <w:r>
              <w:rPr>
                <w:rFonts w:ascii="Times New Roman;Times;serif" w:hAnsi="Times New Roman;Times;serif"/>
                <w:sz w:val="20"/>
              </w:rPr>
              <w:t>Purchase of property, plant and equipment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(11,983</w:t>
            </w:r>
          </w:p>
        </w:tc>
        <w:tc>
          <w:tcPr>
            <w:tcW w:w="80"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(11,365</w:t>
            </w:r>
          </w:p>
        </w:tc>
        <w:tc>
          <w:tcPr>
            <w:tcW w:w="95"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r>
      <w:tr>
        <w:trPr/>
        <w:tc>
          <w:tcPr>
            <w:tcW w:w="6350" w:type="dxa"/>
            <w:tcBorders/>
            <w:vAlign w:val="center"/>
          </w:tcPr>
          <w:p>
            <w:pPr>
              <w:pStyle w:val="TableContents"/>
              <w:bidi w:val="0"/>
              <w:spacing w:lineRule="auto" w:line="300" w:before="0" w:after="0"/>
              <w:ind w:left="270" w:right="0" w:hanging="0"/>
              <w:jc w:val="left"/>
              <w:rPr>
                <w:rFonts w:ascii="Times New Roman;Times;serif" w:hAnsi="Times New Roman;Times;serif"/>
                <w:sz w:val="20"/>
              </w:rPr>
            </w:pPr>
            <w:r>
              <w:rPr>
                <w:rFonts w:ascii="Times New Roman;Times;serif" w:hAnsi="Times New Roman;Times;serif"/>
                <w:sz w:val="20"/>
              </w:rPr>
              <w:t>Business dispositions, net of cash sold</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(2,631</w:t>
            </w:r>
          </w:p>
        </w:tc>
        <w:tc>
          <w:tcPr>
            <w:tcW w:w="80"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(7,322</w:t>
            </w:r>
          </w:p>
        </w:tc>
        <w:tc>
          <w:tcPr>
            <w:tcW w:w="95"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r>
      <w:tr>
        <w:trPr/>
        <w:tc>
          <w:tcPr>
            <w:tcW w:w="6350" w:type="dxa"/>
            <w:tcBorders/>
            <w:shd w:fill="CCEEFF" w:val="clear"/>
            <w:vAlign w:val="center"/>
          </w:tcPr>
          <w:p>
            <w:pPr>
              <w:pStyle w:val="TableContents"/>
              <w:bidi w:val="0"/>
              <w:spacing w:lineRule="auto" w:line="300" w:before="0" w:after="0"/>
              <w:ind w:left="270" w:right="0" w:hanging="0"/>
              <w:jc w:val="left"/>
              <w:rPr>
                <w:rFonts w:ascii="Times New Roman;Times;serif" w:hAnsi="Times New Roman;Times;serif"/>
                <w:sz w:val="20"/>
              </w:rPr>
            </w:pPr>
            <w:r>
              <w:rPr>
                <w:rFonts w:ascii="Times New Roman;Times;serif" w:hAnsi="Times New Roman;Times;serif"/>
                <w:sz w:val="20"/>
              </w:rPr>
              <w:t>Proceeds from sale of property, plant and equipment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603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10,314</w:t>
            </w:r>
          </w:p>
        </w:tc>
        <w:tc>
          <w:tcPr>
            <w:tcW w:w="95" w:type="dxa"/>
            <w:tcBorders/>
            <w:shd w:fill="CCEEFF" w:val="clear"/>
            <w:vAlign w:val="center"/>
          </w:tcPr>
          <w:p>
            <w:pPr>
              <w:pStyle w:val="TableContents"/>
              <w:bidi w:val="0"/>
              <w:spacing w:before="0" w:after="283"/>
              <w:jc w:val="left"/>
              <w:rPr/>
            </w:pPr>
            <w:r>
              <w:rPr/>
              <w:t> </w:t>
            </w:r>
          </w:p>
        </w:tc>
      </w:tr>
      <w:tr>
        <w:trPr/>
        <w:tc>
          <w:tcPr>
            <w:tcW w:w="6350" w:type="dxa"/>
            <w:tcBorders/>
            <w:vAlign w:val="center"/>
          </w:tcPr>
          <w:p>
            <w:pPr>
              <w:pStyle w:val="TableContents"/>
              <w:bidi w:val="0"/>
              <w:spacing w:lineRule="auto" w:line="300" w:before="0" w:after="0"/>
              <w:ind w:left="270" w:right="0" w:hanging="0"/>
              <w:jc w:val="left"/>
              <w:rPr>
                <w:rFonts w:ascii="Times New Roman;Times;serif" w:hAnsi="Times New Roman;Times;serif"/>
                <w:sz w:val="20"/>
              </w:rPr>
            </w:pPr>
            <w:r>
              <w:rPr>
                <w:rFonts w:ascii="Times New Roman;Times;serif" w:hAnsi="Times New Roman;Times;serif"/>
                <w:sz w:val="20"/>
              </w:rPr>
              <w:t>Repayment related to governmental grant</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(6,643</w:t>
            </w:r>
          </w:p>
        </w:tc>
        <w:tc>
          <w:tcPr>
            <w:tcW w:w="95"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r>
      <w:tr>
        <w:trPr/>
        <w:tc>
          <w:tcPr>
            <w:tcW w:w="6350" w:type="dxa"/>
            <w:tcBorders/>
            <w:shd w:fill="CCEEFF" w:val="clear"/>
            <w:vAlign w:val="center"/>
          </w:tcPr>
          <w:p>
            <w:pPr>
              <w:pStyle w:val="TableContents"/>
              <w:bidi w:val="0"/>
              <w:spacing w:lineRule="auto" w:line="300" w:before="0" w:after="0"/>
              <w:ind w:left="270" w:right="0" w:hanging="0"/>
              <w:jc w:val="left"/>
              <w:rPr>
                <w:rFonts w:ascii="Times New Roman;Times;serif" w:hAnsi="Times New Roman;Times;serif"/>
                <w:sz w:val="20"/>
              </w:rPr>
            </w:pPr>
            <w:r>
              <w:rPr>
                <w:rFonts w:ascii="Times New Roman;Times;serif" w:hAnsi="Times New Roman;Times;serif"/>
                <w:sz w:val="20"/>
              </w:rPr>
              <w:t>Proceeds from sale of investment in privately-held company</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lineRule="auto" w:line="300" w:before="0" w:after="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lineRule="auto" w:line="300" w:before="0" w:after="0"/>
              <w:jc w:val="right"/>
              <w:rPr/>
            </w:pPr>
            <w:r>
              <w:rPr/>
              <w:t>4,000</w:t>
            </w:r>
          </w:p>
        </w:tc>
        <w:tc>
          <w:tcPr>
            <w:tcW w:w="95" w:type="dxa"/>
            <w:tcBorders/>
            <w:shd w:fill="CCEEFF" w:val="clear"/>
            <w:vAlign w:val="center"/>
          </w:tcPr>
          <w:p>
            <w:pPr>
              <w:pStyle w:val="TableContents"/>
              <w:bidi w:val="0"/>
              <w:spacing w:before="0" w:after="283"/>
              <w:jc w:val="left"/>
              <w:rPr/>
            </w:pPr>
            <w:r>
              <w:rPr/>
              <w:t> </w:t>
            </w:r>
          </w:p>
        </w:tc>
      </w:tr>
      <w:tr>
        <w:trPr/>
        <w:tc>
          <w:tcPr>
            <w:tcW w:w="6350" w:type="dxa"/>
            <w:tcBorders/>
            <w:vAlign w:val="center"/>
          </w:tcPr>
          <w:p>
            <w:pPr>
              <w:pStyle w:val="TableContents"/>
              <w:bidi w:val="0"/>
              <w:spacing w:lineRule="auto" w:line="300" w:before="0" w:after="0"/>
              <w:ind w:left="270" w:right="0" w:hanging="0"/>
              <w:jc w:val="left"/>
              <w:rPr>
                <w:rFonts w:ascii="Times New Roman;Times;serif" w:hAnsi="Times New Roman;Times;serif"/>
                <w:sz w:val="20"/>
              </w:rPr>
            </w:pPr>
            <w:r>
              <w:rPr>
                <w:rFonts w:ascii="Times New Roman;Times;serif" w:hAnsi="Times New Roman;Times;serif"/>
                <w:sz w:val="20"/>
              </w:rPr>
              <w:t>Withdrawal from (investment in) restricted bank deposits</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2,700</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(138</w:t>
            </w:r>
          </w:p>
        </w:tc>
        <w:tc>
          <w:tcPr>
            <w:tcW w:w="95"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r>
      <w:tr>
        <w:trPr/>
        <w:tc>
          <w:tcPr>
            <w:tcW w:w="6350" w:type="dxa"/>
            <w:tcBorders/>
            <w:shd w:fill="CCEEFF" w:val="clear"/>
            <w:vAlign w:val="center"/>
          </w:tcPr>
          <w:p>
            <w:pPr>
              <w:pStyle w:val="TableContents"/>
              <w:bidi w:val="0"/>
              <w:spacing w:lineRule="auto" w:line="300" w:before="0" w:after="0"/>
              <w:ind w:left="270" w:right="0" w:hanging="0"/>
              <w:jc w:val="left"/>
              <w:rPr>
                <w:rFonts w:ascii="Times New Roman;Times;serif" w:hAnsi="Times New Roman;Times;serif"/>
                <w:sz w:val="20"/>
              </w:rPr>
            </w:pPr>
            <w:r>
              <w:rPr>
                <w:rFonts w:ascii="Times New Roman;Times;serif" w:hAnsi="Times New Roman;Times;serif"/>
                <w:sz w:val="20"/>
              </w:rPr>
              <w:t>Payments made before lease commencement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(26,162</w:t>
            </w:r>
          </w:p>
        </w:tc>
        <w:tc>
          <w:tcPr>
            <w:tcW w:w="80"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w:t>
            </w:r>
          </w:p>
        </w:tc>
        <w:tc>
          <w:tcPr>
            <w:tcW w:w="95" w:type="dxa"/>
            <w:tcBorders/>
            <w:shd w:fill="CCEEFF" w:val="clear"/>
            <w:vAlign w:val="center"/>
          </w:tcPr>
          <w:p>
            <w:pPr>
              <w:pStyle w:val="TableContents"/>
              <w:bidi w:val="0"/>
              <w:spacing w:before="0" w:after="283"/>
              <w:jc w:val="left"/>
              <w:rPr/>
            </w:pPr>
            <w:r>
              <w:rPr/>
              <w:t> </w:t>
            </w:r>
          </w:p>
        </w:tc>
      </w:tr>
      <w:tr>
        <w:trPr/>
        <w:tc>
          <w:tcPr>
            <w:tcW w:w="6350" w:type="dxa"/>
            <w:tcBorders/>
            <w:vAlign w:val="center"/>
          </w:tcPr>
          <w:p>
            <w:pPr>
              <w:pStyle w:val="TableContents"/>
              <w:bidi w:val="0"/>
              <w:spacing w:lineRule="auto" w:line="300" w:before="0" w:after="0"/>
              <w:ind w:left="270" w:right="0" w:hanging="0"/>
              <w:jc w:val="left"/>
              <w:rPr>
                <w:rFonts w:ascii="Times New Roman;Times;serif" w:hAnsi="Times New Roman;Times;serif"/>
                <w:sz w:val="20"/>
              </w:rPr>
            </w:pPr>
            <w:r>
              <w:rPr>
                <w:rFonts w:ascii="Times New Roman;Times;serif" w:hAnsi="Times New Roman;Times;serif"/>
                <w:sz w:val="20"/>
              </w:rPr>
              <w:t>Proceeds from loan receivables</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56</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27,475</w:t>
            </w:r>
          </w:p>
        </w:tc>
        <w:tc>
          <w:tcPr>
            <w:tcW w:w="95" w:type="dxa"/>
            <w:tcBorders/>
            <w:vAlign w:val="center"/>
          </w:tcPr>
          <w:p>
            <w:pPr>
              <w:pStyle w:val="TableContents"/>
              <w:bidi w:val="0"/>
              <w:spacing w:before="0" w:after="283"/>
              <w:jc w:val="left"/>
              <w:rPr/>
            </w:pPr>
            <w:r>
              <w:rPr/>
              <w:t> </w:t>
            </w:r>
          </w:p>
        </w:tc>
      </w:tr>
      <w:tr>
        <w:trPr/>
        <w:tc>
          <w:tcPr>
            <w:tcW w:w="6350" w:type="dxa"/>
            <w:tcBorders/>
            <w:shd w:fill="CCEEFF" w:val="clear"/>
            <w:vAlign w:val="center"/>
          </w:tcPr>
          <w:p>
            <w:pPr>
              <w:pStyle w:val="TableContents"/>
              <w:bidi w:val="0"/>
              <w:spacing w:lineRule="auto" w:line="300" w:before="0" w:after="0"/>
              <w:ind w:left="270" w:right="0" w:hanging="0"/>
              <w:jc w:val="left"/>
              <w:rPr>
                <w:rFonts w:ascii="Times New Roman;Times;serif" w:hAnsi="Times New Roman;Times;serif"/>
                <w:sz w:val="20"/>
              </w:rPr>
            </w:pPr>
            <w:r>
              <w:rPr>
                <w:rFonts w:ascii="Times New Roman;Times;serif" w:hAnsi="Times New Roman;Times;serif"/>
                <w:sz w:val="20"/>
              </w:rPr>
              <w:t>Other investing activities</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CCEEFF" w:val="clear"/>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498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CCEEFF" w:val="clear"/>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(40</w:t>
            </w:r>
          </w:p>
        </w:tc>
        <w:tc>
          <w:tcPr>
            <w:tcW w:w="95"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r>
      <w:tr>
        <w:trPr/>
        <w:tc>
          <w:tcPr>
            <w:tcW w:w="6350" w:type="dxa"/>
            <w:tcBorders/>
            <w:vAlign w:val="center"/>
          </w:tcPr>
          <w:p>
            <w:pPr>
              <w:pStyle w:val="TableContents"/>
              <w:bidi w:val="0"/>
              <w:spacing w:lineRule="auto" w:line="300" w:before="0" w:after="0"/>
              <w:jc w:val="both"/>
              <w:rPr>
                <w:rFonts w:ascii="Times New Roman;Times;serif" w:hAnsi="Times New Roman;Times;serif"/>
                <w:sz w:val="20"/>
              </w:rPr>
            </w:pPr>
            <w:r>
              <w:rPr>
                <w:rFonts w:ascii="Times New Roman;Times;serif" w:hAnsi="Times New Roman;Times;serif"/>
                <w:sz w:val="20"/>
              </w:rPr>
              <w:t>Net cash provided by (used in) investing activities</w:t>
            </w:r>
          </w:p>
        </w:tc>
        <w:tc>
          <w:tcPr>
            <w:tcW w:w="60" w:type="dxa"/>
            <w:tcBorders/>
            <w:vAlign w:val="center"/>
          </w:tcPr>
          <w:p>
            <w:pPr>
              <w:pStyle w:val="TableContents"/>
              <w:bidi w:val="0"/>
              <w:spacing w:before="0" w:after="283"/>
              <w:jc w:val="left"/>
              <w:rPr/>
            </w:pPr>
            <w:r>
              <w:rPr/>
              <w:t> </w:t>
            </w:r>
          </w:p>
        </w:tc>
        <w:tc>
          <w:tcPr>
            <w:tcW w:w="125" w:type="dxa"/>
            <w:tcBorders>
              <w:bottom w:val="single" w:sz="12" w:space="0" w:color="000000"/>
            </w:tcBorders>
            <w:tcMar>
              <w:bottom w:w="28" w:type="dxa"/>
            </w:tcM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755" w:type="dxa"/>
            <w:tcBorders>
              <w:bottom w:val="single" w:sz="12" w:space="0" w:color="000000"/>
            </w:tcBorders>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(18,531</w:t>
            </w:r>
          </w:p>
        </w:tc>
        <w:tc>
          <w:tcPr>
            <w:tcW w:w="80"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vAlign w:val="center"/>
          </w:tcPr>
          <w:p>
            <w:pPr>
              <w:pStyle w:val="TableContents"/>
              <w:bidi w:val="0"/>
              <w:spacing w:before="0" w:after="283"/>
              <w:jc w:val="left"/>
              <w:rPr/>
            </w:pPr>
            <w:r>
              <w:rPr/>
              <w:t> </w:t>
            </w:r>
          </w:p>
        </w:tc>
        <w:tc>
          <w:tcPr>
            <w:tcW w:w="125" w:type="dxa"/>
            <w:tcBorders>
              <w:bottom w:val="single" w:sz="12" w:space="0" w:color="000000"/>
            </w:tcBorders>
            <w:tcMar>
              <w:bottom w:w="28" w:type="dxa"/>
            </w:tcM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755" w:type="dxa"/>
            <w:tcBorders>
              <w:bottom w:val="single" w:sz="12" w:space="0" w:color="000000"/>
            </w:tcBorders>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136,187</w:t>
            </w:r>
          </w:p>
        </w:tc>
        <w:tc>
          <w:tcPr>
            <w:tcW w:w="95"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200" w:after="20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SOLAREDGE TECHNOLOGIES INC. | 2026 Form 10-Q | F - 7</w:t>
      </w:r>
    </w:p>
    <w:p>
      <w:pPr>
        <w:pStyle w:val="HorizontalLine"/>
        <w:bidi w:val="0"/>
        <w:spacing w:before="200" w:after="200"/>
        <w:jc w:val="left"/>
        <w:rPr/>
      </w:pPr>
      <w:r>
        <w:rPr/>
      </w:r>
    </w:p>
    <w:p>
      <w:pPr>
        <w:pStyle w:val="TextBody"/>
        <w:bidi w:val="0"/>
        <w:spacing w:before="0" w:after="0"/>
        <w:jc w:val="left"/>
        <w:rPr/>
      </w:pPr>
      <w:r>
        <w:rPr/>
        <w:t> </w:t>
      </w:r>
    </w:p>
    <w:p>
      <w:pPr>
        <w:pStyle w:val="TextBody"/>
        <w:bidi w:val="0"/>
        <w:spacing w:lineRule="auto" w:line="300" w:before="0" w:after="0"/>
        <w:ind w:left="0" w:right="0" w:firstLine="360"/>
        <w:jc w:val="center"/>
        <w:rPr>
          <w:rFonts w:ascii="Times New Roman;Times;serif" w:hAnsi="Times New Roman;Times;serif"/>
          <w:b/>
          <w:sz w:val="20"/>
        </w:rPr>
      </w:pPr>
      <w:r>
        <w:rPr>
          <w:rFonts w:ascii="Times New Roman;Times;serif" w:hAnsi="Times New Roman;Times;serif"/>
          <w:b/>
          <w:sz w:val="20"/>
        </w:rPr>
        <w:t>SOLAREDGE TECHNOLOGIES, INC.</w:t>
      </w:r>
    </w:p>
    <w:p>
      <w:pPr>
        <w:pStyle w:val="TextBody"/>
        <w:bidi w:val="0"/>
        <w:spacing w:lineRule="auto" w:line="300" w:before="0" w:after="0"/>
        <w:jc w:val="left"/>
        <w:rPr/>
      </w:pPr>
      <w:r>
        <w:rPr/>
        <w:t> </w:t>
      </w:r>
    </w:p>
    <w:p>
      <w:pPr>
        <w:pStyle w:val="TextBody"/>
        <w:bidi w:val="0"/>
        <w:spacing w:lineRule="auto" w:line="300" w:before="0" w:after="0"/>
        <w:ind w:left="0" w:right="0" w:firstLine="360"/>
        <w:jc w:val="center"/>
        <w:rPr>
          <w:rFonts w:ascii="Times New Roman;Times;serif" w:hAnsi="Times New Roman;Times;serif"/>
          <w:b/>
          <w:sz w:val="20"/>
        </w:rPr>
      </w:pPr>
      <w:r>
        <w:rPr>
          <w:rFonts w:ascii="Times New Roman;Times;serif" w:hAnsi="Times New Roman;Times;serif"/>
          <w:b/>
          <w:sz w:val="20"/>
        </w:rPr>
        <w:t>CONDENSED CONSOLIDATED STATEMENTS OF CASH FLOWS (Unaudited) (Cont.)</w:t>
      </w:r>
    </w:p>
    <w:p>
      <w:pPr>
        <w:pStyle w:val="TextBody"/>
        <w:bidi w:val="0"/>
        <w:spacing w:lineRule="auto" w:line="300" w:before="0" w:after="0"/>
        <w:jc w:val="left"/>
        <w:rPr/>
      </w:pPr>
      <w:r>
        <w:rPr/>
        <w:t> </w:t>
      </w:r>
    </w:p>
    <w:p>
      <w:pPr>
        <w:pStyle w:val="TextBody"/>
        <w:bidi w:val="0"/>
        <w:spacing w:lineRule="auto" w:line="300" w:before="0" w:after="0"/>
        <w:ind w:left="0" w:right="0" w:firstLine="360"/>
        <w:jc w:val="center"/>
        <w:rPr>
          <w:rFonts w:ascii="Times New Roman;Times;serif" w:hAnsi="Times New Roman;Times;serif"/>
          <w:b/>
          <w:sz w:val="20"/>
        </w:rPr>
      </w:pPr>
      <w:r>
        <w:rPr>
          <w:rFonts w:ascii="Times New Roman;Times;serif" w:hAnsi="Times New Roman;Times;serif"/>
          <w:b/>
          <w:sz w:val="20"/>
        </w:rPr>
        <w:t>(in thousands, except per share data)</w:t>
      </w:r>
    </w:p>
    <w:p>
      <w:pPr>
        <w:pStyle w:val="TextBody"/>
        <w:bidi w:val="0"/>
        <w:spacing w:lineRule="auto" w:line="300"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8270"/>
        <w:gridCol w:w="60"/>
        <w:gridCol w:w="125"/>
        <w:gridCol w:w="695"/>
        <w:gridCol w:w="80"/>
        <w:gridCol w:w="60"/>
        <w:gridCol w:w="125"/>
        <w:gridCol w:w="695"/>
        <w:gridCol w:w="95"/>
      </w:tblGrid>
      <w:tr>
        <w:trPr/>
        <w:tc>
          <w:tcPr>
            <w:tcW w:w="82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80" w:type="dxa"/>
            <w:gridSpan w:val="6"/>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Six Months Ended</w:t>
              <w:br/>
              <w:t>June 30,</w:t>
            </w:r>
          </w:p>
        </w:tc>
        <w:tc>
          <w:tcPr>
            <w:tcW w:w="95" w:type="dxa"/>
            <w:tcBorders/>
            <w:vAlign w:val="center"/>
          </w:tcPr>
          <w:p>
            <w:pPr>
              <w:pStyle w:val="TableContents"/>
              <w:bidi w:val="0"/>
              <w:spacing w:before="0" w:after="283"/>
              <w:jc w:val="left"/>
              <w:rPr/>
            </w:pPr>
            <w:r>
              <w:rPr/>
              <w:t> </w:t>
            </w:r>
          </w:p>
        </w:tc>
      </w:tr>
      <w:tr>
        <w:trPr/>
        <w:tc>
          <w:tcPr>
            <w:tcW w:w="82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0"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2026</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0"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2025</w:t>
            </w:r>
          </w:p>
        </w:tc>
        <w:tc>
          <w:tcPr>
            <w:tcW w:w="95" w:type="dxa"/>
            <w:tcBorders/>
            <w:vAlign w:val="center"/>
          </w:tcPr>
          <w:p>
            <w:pPr>
              <w:pStyle w:val="TableContents"/>
              <w:bidi w:val="0"/>
              <w:spacing w:before="0" w:after="283"/>
              <w:jc w:val="left"/>
              <w:rPr/>
            </w:pPr>
            <w:r>
              <w:rPr/>
              <w:t> </w:t>
            </w:r>
          </w:p>
        </w:tc>
      </w:tr>
      <w:tr>
        <w:trPr/>
        <w:tc>
          <w:tcPr>
            <w:tcW w:w="8270" w:type="dxa"/>
            <w:tcBorders/>
            <w:shd w:fill="CCEEFF" w:val="clear"/>
            <w:vAlign w:val="center"/>
          </w:tcPr>
          <w:p>
            <w:pPr>
              <w:pStyle w:val="TableContents"/>
              <w:bidi w:val="0"/>
              <w:spacing w:lineRule="auto" w:line="300" w:before="0" w:after="0"/>
              <w:jc w:val="left"/>
              <w:rPr>
                <w:rFonts w:ascii="Times New Roman;Times;serif" w:hAnsi="Times New Roman;Times;serif"/>
                <w:sz w:val="20"/>
                <w:u w:val="single"/>
              </w:rPr>
            </w:pPr>
            <w:r>
              <w:rPr>
                <w:rFonts w:ascii="Times New Roman;Times;serif" w:hAnsi="Times New Roman;Times;serif"/>
                <w:sz w:val="20"/>
                <w:u w:val="single"/>
              </w:rPr>
              <w:t>Cash flows from financing activities:</w:t>
            </w:r>
          </w:p>
        </w:tc>
        <w:tc>
          <w:tcPr>
            <w:tcW w:w="60" w:type="dxa"/>
            <w:tcBorders/>
            <w:shd w:fill="CCEEFF" w:val="clear"/>
            <w:vAlign w:val="center"/>
          </w:tcPr>
          <w:p>
            <w:pPr>
              <w:pStyle w:val="TableContents"/>
              <w:bidi w:val="0"/>
              <w:spacing w:before="0" w:after="283"/>
              <w:jc w:val="left"/>
              <w:rPr/>
            </w:pPr>
            <w:r>
              <w:rPr/>
              <w:t> </w:t>
            </w:r>
          </w:p>
        </w:tc>
        <w:tc>
          <w:tcPr>
            <w:tcW w:w="820" w:type="dxa"/>
            <w:gridSpan w:val="2"/>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20" w:type="dxa"/>
            <w:gridSpan w:val="2"/>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8270" w:type="dxa"/>
            <w:tcBorders/>
            <w:vAlign w:val="center"/>
          </w:tcPr>
          <w:p>
            <w:pPr>
              <w:pStyle w:val="TableContents"/>
              <w:bidi w:val="0"/>
              <w:spacing w:lineRule="auto" w:line="300" w:before="0" w:after="0"/>
              <w:ind w:left="270" w:right="0" w:hanging="0"/>
              <w:jc w:val="left"/>
              <w:rPr>
                <w:rFonts w:ascii="Times New Roman;Times;serif" w:hAnsi="Times New Roman;Times;serif"/>
                <w:sz w:val="20"/>
              </w:rPr>
            </w:pPr>
            <w:r>
              <w:rPr>
                <w:rFonts w:ascii="Times New Roman;Times;serif" w:hAnsi="Times New Roman;Times;serif"/>
                <w:sz w:val="20"/>
              </w:rPr>
              <w:t>Repurchase of convertible debt</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95"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95"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(5,093</w:t>
            </w:r>
          </w:p>
        </w:tc>
        <w:tc>
          <w:tcPr>
            <w:tcW w:w="95"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r>
      <w:tr>
        <w:trPr/>
        <w:tc>
          <w:tcPr>
            <w:tcW w:w="8270" w:type="dxa"/>
            <w:tcBorders/>
            <w:shd w:fill="CCEEFF" w:val="clear"/>
            <w:vAlign w:val="center"/>
          </w:tcPr>
          <w:p>
            <w:pPr>
              <w:pStyle w:val="TableContents"/>
              <w:bidi w:val="0"/>
              <w:spacing w:lineRule="auto" w:line="300" w:before="0" w:after="0"/>
              <w:ind w:left="270" w:right="0" w:hanging="0"/>
              <w:jc w:val="left"/>
              <w:rPr>
                <w:rFonts w:ascii="Times New Roman;Times;serif" w:hAnsi="Times New Roman;Times;serif"/>
                <w:sz w:val="20"/>
              </w:rPr>
            </w:pPr>
            <w:r>
              <w:rPr>
                <w:rFonts w:ascii="Times New Roman;Times;serif" w:hAnsi="Times New Roman;Times;serif"/>
                <w:sz w:val="20"/>
              </w:rPr>
              <w:t>Issuance of common stock upon exercise of stock-based awards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3,850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10</w:t>
            </w:r>
          </w:p>
        </w:tc>
        <w:tc>
          <w:tcPr>
            <w:tcW w:w="95" w:type="dxa"/>
            <w:tcBorders/>
            <w:shd w:fill="CCEEFF" w:val="clear"/>
            <w:vAlign w:val="center"/>
          </w:tcPr>
          <w:p>
            <w:pPr>
              <w:pStyle w:val="TableContents"/>
              <w:bidi w:val="0"/>
              <w:spacing w:before="0" w:after="283"/>
              <w:jc w:val="left"/>
              <w:rPr/>
            </w:pPr>
            <w:r>
              <w:rPr/>
              <w:t> </w:t>
            </w:r>
          </w:p>
        </w:tc>
      </w:tr>
      <w:tr>
        <w:trPr/>
        <w:tc>
          <w:tcPr>
            <w:tcW w:w="8270" w:type="dxa"/>
            <w:tcBorders/>
            <w:vAlign w:val="center"/>
          </w:tcPr>
          <w:p>
            <w:pPr>
              <w:pStyle w:val="TableContents"/>
              <w:bidi w:val="0"/>
              <w:spacing w:lineRule="auto" w:line="300" w:before="0" w:after="0"/>
              <w:ind w:left="270" w:right="0" w:hanging="0"/>
              <w:jc w:val="left"/>
              <w:rPr>
                <w:rFonts w:ascii="Times New Roman;Times;serif" w:hAnsi="Times New Roman;Times;serif"/>
                <w:sz w:val="20"/>
              </w:rPr>
            </w:pPr>
            <w:r>
              <w:rPr>
                <w:rFonts w:ascii="Times New Roman;Times;serif" w:hAnsi="Times New Roman;Times;serif"/>
                <w:sz w:val="20"/>
              </w:rPr>
              <w:t>Tax withholding in connection with stock-based awards, net</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7,668</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323</w:t>
            </w:r>
          </w:p>
        </w:tc>
        <w:tc>
          <w:tcPr>
            <w:tcW w:w="95" w:type="dxa"/>
            <w:tcBorders/>
            <w:vAlign w:val="center"/>
          </w:tcPr>
          <w:p>
            <w:pPr>
              <w:pStyle w:val="TableContents"/>
              <w:bidi w:val="0"/>
              <w:spacing w:before="0" w:after="283"/>
              <w:jc w:val="left"/>
              <w:rPr/>
            </w:pPr>
            <w:r>
              <w:rPr/>
              <w:t> </w:t>
            </w:r>
          </w:p>
        </w:tc>
      </w:tr>
      <w:tr>
        <w:trPr/>
        <w:tc>
          <w:tcPr>
            <w:tcW w:w="8270" w:type="dxa"/>
            <w:tcBorders/>
            <w:shd w:fill="CCEEFF" w:val="clear"/>
            <w:vAlign w:val="center"/>
          </w:tcPr>
          <w:p>
            <w:pPr>
              <w:pStyle w:val="TableContents"/>
              <w:bidi w:val="0"/>
              <w:spacing w:lineRule="auto" w:line="300" w:before="0" w:after="0"/>
              <w:ind w:left="270" w:right="0" w:hanging="0"/>
              <w:jc w:val="left"/>
              <w:rPr>
                <w:rFonts w:ascii="Times New Roman;Times;serif" w:hAnsi="Times New Roman;Times;serif"/>
                <w:sz w:val="20"/>
              </w:rPr>
            </w:pPr>
            <w:r>
              <w:rPr>
                <w:rFonts w:ascii="Times New Roman;Times;serif" w:hAnsi="Times New Roman;Times;serif"/>
                <w:sz w:val="20"/>
              </w:rPr>
              <w:t>Other financing activities</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95" w:type="dxa"/>
            <w:tcBorders>
              <w:bottom w:val="single" w:sz="12" w:space="0" w:color="000000"/>
            </w:tcBorders>
            <w:shd w:fill="CCEEFF" w:val="clear"/>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(737</w:t>
            </w:r>
          </w:p>
        </w:tc>
        <w:tc>
          <w:tcPr>
            <w:tcW w:w="80"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95" w:type="dxa"/>
            <w:tcBorders>
              <w:bottom w:val="single" w:sz="12" w:space="0" w:color="000000"/>
            </w:tcBorders>
            <w:shd w:fill="CCEEFF" w:val="clear"/>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(1,850</w:t>
            </w:r>
          </w:p>
        </w:tc>
        <w:tc>
          <w:tcPr>
            <w:tcW w:w="95"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r>
      <w:tr>
        <w:trPr/>
        <w:tc>
          <w:tcPr>
            <w:tcW w:w="8270"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Net cash provided by (used in) financing activities</w:t>
            </w:r>
          </w:p>
        </w:tc>
        <w:tc>
          <w:tcPr>
            <w:tcW w:w="60" w:type="dxa"/>
            <w:tcBorders/>
            <w:vAlign w:val="center"/>
          </w:tcPr>
          <w:p>
            <w:pPr>
              <w:pStyle w:val="TableContents"/>
              <w:bidi w:val="0"/>
              <w:spacing w:before="0" w:after="283"/>
              <w:jc w:val="left"/>
              <w:rPr/>
            </w:pPr>
            <w:r>
              <w:rPr/>
              <w:t> </w:t>
            </w:r>
          </w:p>
        </w:tc>
        <w:tc>
          <w:tcPr>
            <w:tcW w:w="125" w:type="dxa"/>
            <w:tcBorders>
              <w:bottom w:val="double" w:sz="8" w:space="0" w:color="000000"/>
            </w:tcBorders>
            <w:tcMar>
              <w:bottom w:w="28" w:type="dxa"/>
            </w:tcMar>
            <w:vAlign w:val="center"/>
          </w:tcPr>
          <w:p>
            <w:pPr>
              <w:pStyle w:val="TableContents"/>
              <w:bidi w:val="0"/>
              <w:spacing w:before="0" w:after="283"/>
              <w:jc w:val="left"/>
              <w:rPr/>
            </w:pPr>
            <w:r>
              <w:rPr/>
              <w:t> </w:t>
            </w:r>
          </w:p>
        </w:tc>
        <w:tc>
          <w:tcPr>
            <w:tcW w:w="695" w:type="dxa"/>
            <w:tcBorders>
              <w:bottom w:val="double" w:sz="8" w:space="0" w:color="000000"/>
            </w:tcBorders>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10,781</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bottom w:val="double" w:sz="8" w:space="0" w:color="000000"/>
            </w:tcBorders>
            <w:tcMar>
              <w:bottom w:w="28" w:type="dxa"/>
            </w:tcMar>
            <w:vAlign w:val="center"/>
          </w:tcPr>
          <w:p>
            <w:pPr>
              <w:pStyle w:val="TableContents"/>
              <w:bidi w:val="0"/>
              <w:spacing w:before="0" w:after="283"/>
              <w:jc w:val="left"/>
              <w:rPr/>
            </w:pPr>
            <w:r>
              <w:rPr/>
              <w:t> </w:t>
            </w:r>
          </w:p>
        </w:tc>
        <w:tc>
          <w:tcPr>
            <w:tcW w:w="695" w:type="dxa"/>
            <w:tcBorders>
              <w:bottom w:val="double" w:sz="8" w:space="0" w:color="000000"/>
            </w:tcBorders>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(6,610</w:t>
            </w:r>
          </w:p>
        </w:tc>
        <w:tc>
          <w:tcPr>
            <w:tcW w:w="95"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r>
      <w:tr>
        <w:trPr/>
        <w:tc>
          <w:tcPr>
            <w:tcW w:w="827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8270"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Effect of exchange rate changes on cash, cash equivalents and restricted cash</w:t>
            </w:r>
          </w:p>
        </w:tc>
        <w:tc>
          <w:tcPr>
            <w:tcW w:w="60" w:type="dxa"/>
            <w:tcBorders/>
            <w:vAlign w:val="center"/>
          </w:tcPr>
          <w:p>
            <w:pPr>
              <w:pStyle w:val="TableContents"/>
              <w:bidi w:val="0"/>
              <w:spacing w:before="0" w:after="283"/>
              <w:jc w:val="left"/>
              <w:rPr/>
            </w:pPr>
            <w:r>
              <w:rPr/>
              <w:t> </w:t>
            </w:r>
          </w:p>
        </w:tc>
        <w:tc>
          <w:tcPr>
            <w:tcW w:w="125" w:type="dxa"/>
            <w:tcBorders>
              <w:bottom w:val="single" w:sz="12" w:space="0" w:color="000000"/>
            </w:tcBorders>
            <w:tcMar>
              <w:bottom w:w="28" w:type="dxa"/>
            </w:tcMar>
            <w:vAlign w:val="center"/>
          </w:tcPr>
          <w:p>
            <w:pPr>
              <w:pStyle w:val="TableContents"/>
              <w:bidi w:val="0"/>
              <w:spacing w:before="0" w:after="283"/>
              <w:jc w:val="left"/>
              <w:rPr/>
            </w:pPr>
            <w:r>
              <w:rPr/>
              <w:t> </w:t>
            </w:r>
          </w:p>
        </w:tc>
        <w:tc>
          <w:tcPr>
            <w:tcW w:w="695" w:type="dxa"/>
            <w:tcBorders>
              <w:bottom w:val="single" w:sz="12" w:space="0" w:color="000000"/>
            </w:tcBorders>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5,287</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bottom w:val="single" w:sz="12" w:space="0" w:color="000000"/>
            </w:tcBorders>
            <w:tcMar>
              <w:bottom w:w="28" w:type="dxa"/>
            </w:tcMar>
            <w:vAlign w:val="center"/>
          </w:tcPr>
          <w:p>
            <w:pPr>
              <w:pStyle w:val="TableContents"/>
              <w:bidi w:val="0"/>
              <w:spacing w:before="0" w:after="283"/>
              <w:jc w:val="left"/>
              <w:rPr/>
            </w:pPr>
            <w:r>
              <w:rPr/>
              <w:t> </w:t>
            </w:r>
          </w:p>
        </w:tc>
        <w:tc>
          <w:tcPr>
            <w:tcW w:w="695" w:type="dxa"/>
            <w:tcBorders>
              <w:bottom w:val="single" w:sz="12" w:space="0" w:color="000000"/>
            </w:tcBorders>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6,966</w:t>
            </w:r>
          </w:p>
        </w:tc>
        <w:tc>
          <w:tcPr>
            <w:tcW w:w="95" w:type="dxa"/>
            <w:tcBorders/>
            <w:vAlign w:val="center"/>
          </w:tcPr>
          <w:p>
            <w:pPr>
              <w:pStyle w:val="TableContents"/>
              <w:bidi w:val="0"/>
              <w:spacing w:before="0" w:after="283"/>
              <w:jc w:val="left"/>
              <w:rPr/>
            </w:pPr>
            <w:r>
              <w:rPr/>
              <w:t> </w:t>
            </w:r>
          </w:p>
        </w:tc>
      </w:tr>
      <w:tr>
        <w:trPr/>
        <w:tc>
          <w:tcPr>
            <w:tcW w:w="827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8270"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Increase in cash, cash equivalents and restricted cash including cash classified within current held-for-sale assets</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33,381</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162,567</w:t>
            </w:r>
          </w:p>
        </w:tc>
        <w:tc>
          <w:tcPr>
            <w:tcW w:w="95" w:type="dxa"/>
            <w:tcBorders/>
            <w:vAlign w:val="center"/>
          </w:tcPr>
          <w:p>
            <w:pPr>
              <w:pStyle w:val="TableContents"/>
              <w:bidi w:val="0"/>
              <w:spacing w:before="0" w:after="283"/>
              <w:jc w:val="left"/>
              <w:rPr/>
            </w:pPr>
            <w:r>
              <w:rPr/>
              <w:t> </w:t>
            </w:r>
          </w:p>
        </w:tc>
      </w:tr>
      <w:tr>
        <w:trPr/>
        <w:tc>
          <w:tcPr>
            <w:tcW w:w="8270"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Change in cash classified within current held-for-sale assets</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95" w:type="dxa"/>
            <w:tcBorders>
              <w:bottom w:val="single" w:sz="12" w:space="0" w:color="000000"/>
            </w:tcBorders>
            <w:shd w:fill="CCEEFF" w:val="clear"/>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8,690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95" w:type="dxa"/>
            <w:tcBorders>
              <w:bottom w:val="single" w:sz="12" w:space="0" w:color="000000"/>
            </w:tcBorders>
            <w:shd w:fill="CCEEFF" w:val="clear"/>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w:t>
            </w:r>
          </w:p>
        </w:tc>
        <w:tc>
          <w:tcPr>
            <w:tcW w:w="95" w:type="dxa"/>
            <w:tcBorders/>
            <w:shd w:fill="CCEEFF" w:val="clear"/>
            <w:vAlign w:val="center"/>
          </w:tcPr>
          <w:p>
            <w:pPr>
              <w:pStyle w:val="TableContents"/>
              <w:bidi w:val="0"/>
              <w:spacing w:before="0" w:after="283"/>
              <w:jc w:val="left"/>
              <w:rPr/>
            </w:pPr>
            <w:r>
              <w:rPr/>
              <w:t> </w:t>
            </w:r>
          </w:p>
        </w:tc>
      </w:tr>
      <w:tr>
        <w:trPr/>
        <w:tc>
          <w:tcPr>
            <w:tcW w:w="8270"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Increase in cash, cash equivalents and restricted cash</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42,071</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162,567</w:t>
            </w:r>
          </w:p>
        </w:tc>
        <w:tc>
          <w:tcPr>
            <w:tcW w:w="95" w:type="dxa"/>
            <w:tcBorders/>
            <w:vAlign w:val="center"/>
          </w:tcPr>
          <w:p>
            <w:pPr>
              <w:pStyle w:val="TableContents"/>
              <w:bidi w:val="0"/>
              <w:spacing w:before="0" w:after="283"/>
              <w:jc w:val="left"/>
              <w:rPr/>
            </w:pPr>
            <w:r>
              <w:rPr/>
              <w:t> </w:t>
            </w:r>
          </w:p>
        </w:tc>
      </w:tr>
      <w:tr>
        <w:trPr/>
        <w:tc>
          <w:tcPr>
            <w:tcW w:w="827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8270"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Cash, cash equivalents and restricted cash, beginning of period</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539,846</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409,939</w:t>
            </w:r>
          </w:p>
        </w:tc>
        <w:tc>
          <w:tcPr>
            <w:tcW w:w="95" w:type="dxa"/>
            <w:tcBorders/>
            <w:vAlign w:val="center"/>
          </w:tcPr>
          <w:p>
            <w:pPr>
              <w:pStyle w:val="TableContents"/>
              <w:bidi w:val="0"/>
              <w:spacing w:before="0" w:after="283"/>
              <w:jc w:val="left"/>
              <w:rPr/>
            </w:pPr>
            <w:r>
              <w:rPr/>
              <w:t> </w:t>
            </w:r>
          </w:p>
        </w:tc>
      </w:tr>
      <w:tr>
        <w:trPr/>
        <w:tc>
          <w:tcPr>
            <w:tcW w:w="8270"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Cash, cash equivalents and restricted cash, end of period</w:t>
            </w:r>
          </w:p>
        </w:tc>
        <w:tc>
          <w:tcPr>
            <w:tcW w:w="60" w:type="dxa"/>
            <w:tcBorders/>
            <w:shd w:fill="CCEEFF" w:val="clear"/>
            <w:vAlign w:val="center"/>
          </w:tcPr>
          <w:p>
            <w:pPr>
              <w:pStyle w:val="TableContents"/>
              <w:bidi w:val="0"/>
              <w:spacing w:before="0" w:after="283"/>
              <w:jc w:val="left"/>
              <w:rPr/>
            </w:pPr>
            <w:r>
              <w:rPr/>
              <w:t> </w:t>
            </w:r>
          </w:p>
        </w:tc>
        <w:tc>
          <w:tcPr>
            <w:tcW w:w="125" w:type="dxa"/>
            <w:tcBorders>
              <w:bottom w:val="double" w:sz="8" w:space="0" w:color="000000"/>
            </w:tcBorders>
            <w:shd w:fill="CCEEFF" w:val="clear"/>
            <w:tcMar>
              <w:bottom w:w="28" w:type="dxa"/>
            </w:tcM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8" w:space="0" w:color="000000"/>
            </w:tcBorders>
            <w:shd w:fill="CCEEFF" w:val="clear"/>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581,917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double" w:sz="8" w:space="0" w:color="000000"/>
            </w:tcBorders>
            <w:shd w:fill="CCEEFF" w:val="clear"/>
            <w:tcMar>
              <w:bottom w:w="28" w:type="dxa"/>
            </w:tcM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8" w:space="0" w:color="000000"/>
            </w:tcBorders>
            <w:shd w:fill="CCEEFF" w:val="clear"/>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572,506</w:t>
            </w:r>
          </w:p>
        </w:tc>
        <w:tc>
          <w:tcPr>
            <w:tcW w:w="95" w:type="dxa"/>
            <w:tcBorders/>
            <w:shd w:fill="CCEEFF" w:val="clear"/>
            <w:vAlign w:val="center"/>
          </w:tcPr>
          <w:p>
            <w:pPr>
              <w:pStyle w:val="TableContents"/>
              <w:bidi w:val="0"/>
              <w:spacing w:before="0" w:after="283"/>
              <w:jc w:val="left"/>
              <w:rPr/>
            </w:pPr>
            <w:r>
              <w:rPr/>
              <w:t> </w:t>
            </w:r>
          </w:p>
        </w:tc>
      </w:tr>
      <w:tr>
        <w:trPr/>
        <w:tc>
          <w:tcPr>
            <w:tcW w:w="82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before="0" w:after="283"/>
              <w:jc w:val="righ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r>
      <w:tr>
        <w:trPr/>
        <w:tc>
          <w:tcPr>
            <w:tcW w:w="8270" w:type="dxa"/>
            <w:tcBorders/>
            <w:shd w:fill="CCEEFF" w:val="clear"/>
            <w:vAlign w:val="center"/>
          </w:tcPr>
          <w:p>
            <w:pPr>
              <w:pStyle w:val="TableContents"/>
              <w:bidi w:val="0"/>
              <w:spacing w:lineRule="auto" w:line="300" w:before="0" w:after="0"/>
              <w:jc w:val="left"/>
              <w:rPr>
                <w:rFonts w:ascii="Times New Roman;Times;serif" w:hAnsi="Times New Roman;Times;serif"/>
                <w:sz w:val="20"/>
                <w:u w:val="single"/>
              </w:rPr>
            </w:pPr>
            <w:r>
              <w:rPr>
                <w:rFonts w:ascii="Times New Roman;Times;serif" w:hAnsi="Times New Roman;Times;serif"/>
                <w:sz w:val="20"/>
                <w:u w:val="single"/>
              </w:rPr>
              <w:t>Supplemental disclosure of non-cash activities: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8270"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Right-of-use asset recognized with a corresponding lease liability</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95"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8,373</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95"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11,360</w:t>
            </w:r>
          </w:p>
        </w:tc>
        <w:tc>
          <w:tcPr>
            <w:tcW w:w="95" w:type="dxa"/>
            <w:tcBorders/>
            <w:vAlign w:val="center"/>
          </w:tcPr>
          <w:p>
            <w:pPr>
              <w:pStyle w:val="TableContents"/>
              <w:bidi w:val="0"/>
              <w:spacing w:before="0" w:after="283"/>
              <w:jc w:val="left"/>
              <w:rPr/>
            </w:pPr>
            <w:r>
              <w:rPr/>
              <w:t> </w:t>
            </w:r>
          </w:p>
        </w:tc>
      </w:tr>
      <w:tr>
        <w:trPr/>
        <w:tc>
          <w:tcPr>
            <w:tcW w:w="8270"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Purchase of property, plant and equipment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double" w:sz="8" w:space="0" w:color="000000"/>
            </w:tcBorders>
            <w:shd w:fill="CCEEFF" w:val="clear"/>
            <w:tcMar>
              <w:bottom w:w="28" w:type="dxa"/>
            </w:tcM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8" w:space="0" w:color="000000"/>
            </w:tcBorders>
            <w:shd w:fill="CCEEFF" w:val="clear"/>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4,934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double" w:sz="8" w:space="0" w:color="000000"/>
            </w:tcBorders>
            <w:shd w:fill="CCEEFF" w:val="clear"/>
            <w:tcMar>
              <w:bottom w:w="28" w:type="dxa"/>
            </w:tcM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8" w:space="0" w:color="000000"/>
            </w:tcBorders>
            <w:shd w:fill="CCEEFF" w:val="clear"/>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5,156</w:t>
            </w:r>
          </w:p>
        </w:tc>
        <w:tc>
          <w:tcPr>
            <w:tcW w:w="95" w:type="dxa"/>
            <w:tcBorders/>
            <w:shd w:fill="CCEEFF" w:val="clear"/>
            <w:vAlign w:val="center"/>
          </w:tcPr>
          <w:p>
            <w:pPr>
              <w:pStyle w:val="TableContents"/>
              <w:bidi w:val="0"/>
              <w:spacing w:before="0" w:after="283"/>
              <w:jc w:val="left"/>
              <w:rPr/>
            </w:pPr>
            <w:r>
              <w:rPr/>
              <w:t> </w:t>
            </w:r>
          </w:p>
        </w:tc>
      </w:tr>
    </w:tbl>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sz w:val="20"/>
        </w:rPr>
      </w:pPr>
      <w:r>
        <w:rPr>
          <w:rFonts w:ascii="Times New Roman;Times;serif" w:hAnsi="Times New Roman;Times;serif"/>
          <w:sz w:val="20"/>
        </w:rPr>
        <w:t>The accompanying notes are an integral part of the condensed consolidated financial statements.</w:t>
      </w:r>
    </w:p>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sz w:val="20"/>
        </w:rPr>
      </w:pPr>
      <w:r>
        <w:rPr>
          <w:rFonts w:ascii="Times New Roman;Times;serif" w:hAnsi="Times New Roman;Times;serif"/>
          <w:sz w:val="20"/>
        </w:rPr>
        <w:t>The following table reconciles cash, cash equivalents and restricted cash per the statement of cash flows to the balance sheet:</w:t>
      </w:r>
    </w:p>
    <w:p>
      <w:pPr>
        <w:pStyle w:val="TextBody"/>
        <w:bidi w:val="0"/>
        <w:spacing w:lineRule="auto" w:line="300" w:before="0" w:after="0"/>
        <w:jc w:val="left"/>
        <w:rPr/>
      </w:pPr>
      <w:r>
        <w:rPr/>
        <w:t> </w:t>
      </w:r>
    </w:p>
    <w:tbl>
      <w:tblPr>
        <w:tblW w:w="6490" w:type="dxa"/>
        <w:jc w:val="left"/>
        <w:tblInd w:w="0" w:type="dxa"/>
        <w:tblLayout w:type="fixed"/>
        <w:tblCellMar>
          <w:top w:w="0" w:type="dxa"/>
          <w:left w:w="0" w:type="dxa"/>
          <w:bottom w:w="0" w:type="dxa"/>
          <w:right w:w="0" w:type="dxa"/>
        </w:tblCellMar>
      </w:tblPr>
      <w:tblGrid>
        <w:gridCol w:w="4595"/>
        <w:gridCol w:w="60"/>
        <w:gridCol w:w="125"/>
        <w:gridCol w:w="695"/>
        <w:gridCol w:w="60"/>
        <w:gridCol w:w="60"/>
        <w:gridCol w:w="125"/>
        <w:gridCol w:w="695"/>
        <w:gridCol w:w="75"/>
      </w:tblGrid>
      <w:tr>
        <w:trPr/>
        <w:tc>
          <w:tcPr>
            <w:tcW w:w="45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60" w:type="dxa"/>
            <w:gridSpan w:val="6"/>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Six Months Ended</w:t>
            </w:r>
          </w:p>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June 30,</w:t>
            </w:r>
          </w:p>
        </w:tc>
        <w:tc>
          <w:tcPr>
            <w:tcW w:w="75" w:type="dxa"/>
            <w:tcBorders/>
            <w:vAlign w:val="center"/>
          </w:tcPr>
          <w:p>
            <w:pPr>
              <w:pStyle w:val="TableContents"/>
              <w:bidi w:val="0"/>
              <w:spacing w:before="0" w:after="283"/>
              <w:jc w:val="left"/>
              <w:rPr/>
            </w:pPr>
            <w:r>
              <w:rPr/>
              <w:t> </w:t>
            </w:r>
          </w:p>
        </w:tc>
      </w:tr>
      <w:tr>
        <w:trPr/>
        <w:tc>
          <w:tcPr>
            <w:tcW w:w="45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0"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0"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2025</w:t>
            </w:r>
          </w:p>
        </w:tc>
        <w:tc>
          <w:tcPr>
            <w:tcW w:w="75" w:type="dxa"/>
            <w:tcBorders/>
            <w:vAlign w:val="center"/>
          </w:tcPr>
          <w:p>
            <w:pPr>
              <w:pStyle w:val="TableContents"/>
              <w:bidi w:val="0"/>
              <w:spacing w:before="0" w:after="283"/>
              <w:jc w:val="left"/>
              <w:rPr/>
            </w:pPr>
            <w:r>
              <w:rPr/>
              <w:t> </w:t>
            </w:r>
          </w:p>
        </w:tc>
      </w:tr>
      <w:tr>
        <w:trPr/>
        <w:tc>
          <w:tcPr>
            <w:tcW w:w="4595"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Cash and cash equivalents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527,257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545,240</w:t>
            </w:r>
          </w:p>
        </w:tc>
        <w:tc>
          <w:tcPr>
            <w:tcW w:w="75" w:type="dxa"/>
            <w:tcBorders/>
            <w:shd w:fill="CCEEFF" w:val="clear"/>
            <w:vAlign w:val="center"/>
          </w:tcPr>
          <w:p>
            <w:pPr>
              <w:pStyle w:val="TableContents"/>
              <w:bidi w:val="0"/>
              <w:spacing w:before="0" w:after="283"/>
              <w:jc w:val="left"/>
              <w:rPr/>
            </w:pPr>
            <w:r>
              <w:rPr/>
              <w:t> </w:t>
            </w:r>
          </w:p>
        </w:tc>
      </w:tr>
      <w:tr>
        <w:trPr/>
        <w:tc>
          <w:tcPr>
            <w:tcW w:w="4595"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Restricted cash</w:t>
            </w:r>
          </w:p>
        </w:tc>
        <w:tc>
          <w:tcPr>
            <w:tcW w:w="60" w:type="dxa"/>
            <w:tcBorders/>
            <w:vAlign w:val="center"/>
          </w:tcPr>
          <w:p>
            <w:pPr>
              <w:pStyle w:val="TableContents"/>
              <w:bidi w:val="0"/>
              <w:spacing w:before="0" w:after="283"/>
              <w:jc w:val="left"/>
              <w:rPr/>
            </w:pPr>
            <w:r>
              <w:rPr/>
              <w:t> </w:t>
            </w:r>
          </w:p>
        </w:tc>
        <w:tc>
          <w:tcPr>
            <w:tcW w:w="125" w:type="dxa"/>
            <w:tcBorders>
              <w:bottom w:val="single" w:sz="12" w:space="0" w:color="000000"/>
            </w:tcBorders>
            <w:tcMar>
              <w:bottom w:w="28" w:type="dxa"/>
            </w:tcMar>
            <w:vAlign w:val="center"/>
          </w:tcPr>
          <w:p>
            <w:pPr>
              <w:pStyle w:val="TableContents"/>
              <w:bidi w:val="0"/>
              <w:spacing w:before="0" w:after="283"/>
              <w:jc w:val="left"/>
              <w:rPr/>
            </w:pPr>
            <w:r>
              <w:rPr/>
              <w:t> </w:t>
            </w:r>
          </w:p>
        </w:tc>
        <w:tc>
          <w:tcPr>
            <w:tcW w:w="695" w:type="dxa"/>
            <w:tcBorders>
              <w:bottom w:val="single" w:sz="12" w:space="0" w:color="000000"/>
            </w:tcBorders>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54,660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bottom w:val="single" w:sz="12" w:space="0" w:color="000000"/>
            </w:tcBorders>
            <w:tcMar>
              <w:bottom w:w="28" w:type="dxa"/>
            </w:tcMar>
            <w:vAlign w:val="center"/>
          </w:tcPr>
          <w:p>
            <w:pPr>
              <w:pStyle w:val="TableContents"/>
              <w:bidi w:val="0"/>
              <w:spacing w:before="0" w:after="283"/>
              <w:jc w:val="left"/>
              <w:rPr/>
            </w:pPr>
            <w:r>
              <w:rPr/>
              <w:t> </w:t>
            </w:r>
          </w:p>
        </w:tc>
        <w:tc>
          <w:tcPr>
            <w:tcW w:w="695" w:type="dxa"/>
            <w:tcBorders>
              <w:bottom w:val="single" w:sz="12" w:space="0" w:color="000000"/>
            </w:tcBorders>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27,266</w:t>
            </w:r>
          </w:p>
        </w:tc>
        <w:tc>
          <w:tcPr>
            <w:tcW w:w="75" w:type="dxa"/>
            <w:tcBorders/>
            <w:vAlign w:val="center"/>
          </w:tcPr>
          <w:p>
            <w:pPr>
              <w:pStyle w:val="TableContents"/>
              <w:bidi w:val="0"/>
              <w:spacing w:before="0" w:after="283"/>
              <w:jc w:val="left"/>
              <w:rPr/>
            </w:pPr>
            <w:r>
              <w:rPr/>
              <w:t> </w:t>
            </w:r>
          </w:p>
        </w:tc>
      </w:tr>
      <w:tr>
        <w:trPr/>
        <w:tc>
          <w:tcPr>
            <w:tcW w:w="4595"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Cash, cash equivalents and restricted cash, end of period</w:t>
            </w:r>
          </w:p>
        </w:tc>
        <w:tc>
          <w:tcPr>
            <w:tcW w:w="60" w:type="dxa"/>
            <w:tcBorders/>
            <w:shd w:fill="CCEEFF" w:val="clear"/>
            <w:vAlign w:val="center"/>
          </w:tcPr>
          <w:p>
            <w:pPr>
              <w:pStyle w:val="TableContents"/>
              <w:bidi w:val="0"/>
              <w:spacing w:before="0" w:after="283"/>
              <w:jc w:val="left"/>
              <w:rPr/>
            </w:pPr>
            <w:r>
              <w:rPr/>
              <w:t> </w:t>
            </w:r>
          </w:p>
        </w:tc>
        <w:tc>
          <w:tcPr>
            <w:tcW w:w="125" w:type="dxa"/>
            <w:tcBorders>
              <w:bottom w:val="double" w:sz="8" w:space="0" w:color="000000"/>
            </w:tcBorders>
            <w:shd w:fill="CCEEFF" w:val="clear"/>
            <w:tcMar>
              <w:bottom w:w="28" w:type="dxa"/>
            </w:tcM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8" w:space="0" w:color="000000"/>
            </w:tcBorders>
            <w:shd w:fill="CCEEFF" w:val="clear"/>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581,917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double" w:sz="8" w:space="0" w:color="000000"/>
            </w:tcBorders>
            <w:shd w:fill="CCEEFF" w:val="clear"/>
            <w:tcMar>
              <w:bottom w:w="28" w:type="dxa"/>
            </w:tcM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8" w:space="0" w:color="000000"/>
            </w:tcBorders>
            <w:shd w:fill="CCEEFF" w:val="clear"/>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572,506</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lineRule="auto" w:line="300" w:before="0" w:after="0"/>
        <w:jc w:val="left"/>
        <w:rPr/>
      </w:pPr>
      <w:r>
        <w:rPr/>
        <w:t> </w:t>
      </w:r>
    </w:p>
    <w:p>
      <w:pPr>
        <w:pStyle w:val="TextBody"/>
        <w:bidi w:val="0"/>
        <w:spacing w:before="200" w:after="20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SOLAREDGE TECHNOLOGIES INC. | 2026 Form 10-Q | F - 8</w:t>
      </w:r>
    </w:p>
    <w:p>
      <w:pPr>
        <w:pStyle w:val="HorizontalLine"/>
        <w:bidi w:val="0"/>
        <w:spacing w:before="200" w:after="200"/>
        <w:jc w:val="left"/>
        <w:rPr/>
      </w:pPr>
      <w:r>
        <w:rPr/>
      </w:r>
    </w:p>
    <w:p>
      <w:pPr>
        <w:pStyle w:val="TextBody"/>
        <w:bidi w:val="0"/>
        <w:spacing w:lineRule="auto" w:line="300" w:before="0" w:after="0"/>
        <w:jc w:val="left"/>
        <w:rPr/>
      </w:pPr>
      <w:r>
        <w:rPr/>
        <w:t> </w:t>
      </w:r>
    </w:p>
    <w:p>
      <w:pPr>
        <w:pStyle w:val="TextBody"/>
        <w:bidi w:val="0"/>
        <w:spacing w:lineRule="auto" w:line="300" w:before="0" w:after="0"/>
        <w:ind w:left="360" w:right="360" w:hanging="0"/>
        <w:jc w:val="center"/>
        <w:rPr>
          <w:rFonts w:ascii="Times New Roman;Times;serif" w:hAnsi="Times New Roman;Times;serif"/>
          <w:b/>
          <w:sz w:val="20"/>
        </w:rPr>
      </w:pPr>
      <w:r>
        <w:rPr>
          <w:rFonts w:ascii="Times New Roman;Times;serif" w:hAnsi="Times New Roman;Times;serif"/>
          <w:b/>
          <w:sz w:val="20"/>
        </w:rPr>
        <w:t>SOLAREDGE TECHNOLOGIES, INC.</w:t>
      </w:r>
    </w:p>
    <w:p>
      <w:pPr>
        <w:pStyle w:val="TextBody"/>
        <w:bidi w:val="0"/>
        <w:spacing w:lineRule="auto" w:line="300" w:before="0" w:after="0"/>
        <w:jc w:val="left"/>
        <w:rPr/>
      </w:pPr>
      <w:r>
        <w:rPr/>
        <w:t> </w:t>
      </w:r>
    </w:p>
    <w:p>
      <w:pPr>
        <w:pStyle w:val="TextBody"/>
        <w:bidi w:val="0"/>
        <w:spacing w:lineRule="auto" w:line="300" w:before="0" w:after="0"/>
        <w:ind w:left="360" w:right="360" w:hanging="0"/>
        <w:jc w:val="center"/>
        <w:rPr>
          <w:rFonts w:ascii="Times New Roman;Times;serif" w:hAnsi="Times New Roman;Times;serif"/>
          <w:b/>
          <w:sz w:val="20"/>
        </w:rPr>
      </w:pPr>
      <w:bookmarkStart w:id="10" w:name="NOTE"/>
      <w:bookmarkEnd w:id="10"/>
      <w:r>
        <w:rPr>
          <w:rFonts w:ascii="Times New Roman;Times;serif" w:hAnsi="Times New Roman;Times;serif"/>
          <w:b/>
          <w:sz w:val="20"/>
        </w:rPr>
        <w:t>NOTES TO CONDENSED CONSOLIDATED FINANCIAL STATEMENTS (Unaudited)</w:t>
      </w:r>
    </w:p>
    <w:p>
      <w:pPr>
        <w:pStyle w:val="TextBody"/>
        <w:bidi w:val="0"/>
        <w:spacing w:lineRule="auto" w:line="300" w:before="0" w:after="0"/>
        <w:jc w:val="left"/>
        <w:rPr/>
      </w:pPr>
      <w:r>
        <w:rPr/>
        <w:t> </w:t>
      </w:r>
    </w:p>
    <w:p>
      <w:pPr>
        <w:pStyle w:val="TextBody"/>
        <w:bidi w:val="0"/>
        <w:spacing w:lineRule="auto" w:line="300" w:before="0" w:after="0"/>
        <w:ind w:left="360" w:right="360" w:hanging="0"/>
        <w:jc w:val="center"/>
        <w:rPr>
          <w:rFonts w:ascii="Times New Roman;Times;serif" w:hAnsi="Times New Roman;Times;serif"/>
          <w:sz w:val="20"/>
        </w:rPr>
      </w:pPr>
      <w:r>
        <w:rPr>
          <w:rFonts w:ascii="Times New Roman;Times;serif" w:hAnsi="Times New Roman;Times;serif"/>
          <w:b/>
          <w:sz w:val="20"/>
        </w:rPr>
        <w:t>(in thousands, except per share data</w:t>
      </w:r>
      <w:r>
        <w:rPr>
          <w:rFonts w:ascii="Times New Roman;Times;serif" w:hAnsi="Times New Roman;Times;serif"/>
          <w:sz w:val="20"/>
        </w:rPr>
        <w:t>)</w:t>
      </w:r>
    </w:p>
    <w:p>
      <w:pPr>
        <w:pStyle w:val="TextBody"/>
        <w:bidi w:val="0"/>
        <w:spacing w:lineRule="auto" w:line="300" w:before="0" w:after="0"/>
        <w:jc w:val="left"/>
        <w:rPr/>
      </w:pPr>
      <w:r>
        <w:rPr/>
        <w:t> </w:t>
      </w:r>
    </w:p>
    <w:p>
      <w:pPr>
        <w:pStyle w:val="TextBody"/>
        <w:bidi w:val="0"/>
        <w:spacing w:lineRule="auto" w:line="300" w:before="0" w:after="0"/>
        <w:jc w:val="left"/>
        <w:rPr>
          <w:rFonts w:ascii="Times New Roman;Times;serif" w:hAnsi="Times New Roman;Times;serif"/>
          <w:b/>
          <w:sz w:val="20"/>
        </w:rPr>
      </w:pPr>
      <w:r>
        <w:rPr>
          <w:rFonts w:ascii="Times New Roman;Times;serif" w:hAnsi="Times New Roman;Times;serif"/>
          <w:b/>
          <w:sz w:val="20"/>
        </w:rPr>
        <w:t>NOTE 1:       GENERAL</w:t>
      </w:r>
    </w:p>
    <w:p>
      <w:pPr>
        <w:pStyle w:val="TextBody"/>
        <w:bidi w:val="0"/>
        <w:spacing w:lineRule="auto" w:line="300"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55"/>
        <w:gridCol w:w="9975"/>
      </w:tblGrid>
      <w:tr>
        <w:trPr/>
        <w:tc>
          <w:tcPr>
            <w:tcW w:w="75"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997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SolarEdge Technologies, Inc. (together with its subsidiaries, the “Company” or “SolarEdge”) is a global smart energy technology company. The Company develops, manufactures, and sells products that address a broad range of energy market segments through its diversified product offering, including residential, commercial and large scale photovoltaic (“PV”), energy storage and backup solutions, electric vehicle (“EV”) charging capabilities, home energy management, grid services and virtual power plants. By leveraging engineering capabilities and focusing on innovation, safety and reliability, SolarEdge creates smart energy solutions that power our lives and drive future progress.</w:t>
            </w:r>
          </w:p>
        </w:tc>
      </w:tr>
    </w:tbl>
    <w:p>
      <w:pPr>
        <w:pStyle w:val="TextBody"/>
        <w:bidi w:val="0"/>
        <w:spacing w:lineRule="auto" w:line="300" w:before="0" w:after="0"/>
        <w:jc w:val="left"/>
        <w:rPr/>
      </w:pPr>
      <w:r>
        <w:rPr/>
        <w:t> </w:t>
      </w:r>
    </w:p>
    <w:p>
      <w:pPr>
        <w:pStyle w:val="TextBody"/>
        <w:bidi w:val="0"/>
        <w:spacing w:lineRule="auto" w:line="300" w:before="0" w:after="0"/>
        <w:ind w:left="720" w:right="0" w:hanging="0"/>
        <w:jc w:val="both"/>
        <w:rPr>
          <w:rFonts w:ascii="Times New Roman;Times;serif" w:hAnsi="Times New Roman;Times;serif"/>
          <w:sz w:val="20"/>
        </w:rPr>
      </w:pPr>
      <w:r>
        <w:rPr>
          <w:rFonts w:ascii="Times New Roman;Times;serif" w:hAnsi="Times New Roman;Times;serif"/>
          <w:sz w:val="20"/>
        </w:rPr>
        <w:t>The Company sells products worldwide through large distributors and electrical equipment wholesalers directly to large solar installers and engineering, procurement, and construction firms. The Company's products are carried and actively sold by most of the top distributors as well as some of the largest electrical distribution companies. The Company has expanded its activity to other areas of smart energy technology both organically and through acquisitions.</w:t>
      </w:r>
    </w:p>
    <w:p>
      <w:pPr>
        <w:pStyle w:val="TextBody"/>
        <w:bidi w:val="0"/>
        <w:spacing w:lineRule="auto" w:line="300" w:before="0" w:after="0"/>
        <w:jc w:val="left"/>
        <w:rPr/>
      </w:pPr>
      <w:r>
        <w:rPr/>
        <w:t> </w:t>
      </w:r>
    </w:p>
    <w:tbl>
      <w:tblPr>
        <w:tblW w:w="2035" w:type="dxa"/>
        <w:jc w:val="left"/>
        <w:tblInd w:w="0" w:type="dxa"/>
        <w:tblLayout w:type="fixed"/>
        <w:tblCellMar>
          <w:top w:w="0" w:type="dxa"/>
          <w:left w:w="0" w:type="dxa"/>
          <w:bottom w:w="0" w:type="dxa"/>
          <w:right w:w="0" w:type="dxa"/>
        </w:tblCellMar>
      </w:tblPr>
      <w:tblGrid>
        <w:gridCol w:w="75"/>
        <w:gridCol w:w="170"/>
        <w:gridCol w:w="179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179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Basis of Presentation:</w:t>
            </w:r>
          </w:p>
        </w:tc>
      </w:tr>
    </w:tbl>
    <w:p>
      <w:pPr>
        <w:pStyle w:val="TextBody"/>
        <w:bidi w:val="0"/>
        <w:spacing w:lineRule="auto" w:line="300" w:before="0" w:after="0"/>
        <w:jc w:val="left"/>
        <w:rPr/>
      </w:pPr>
      <w:r>
        <w:rPr/>
        <w:t> </w:t>
      </w:r>
    </w:p>
    <w:p>
      <w:pPr>
        <w:pStyle w:val="TextBody"/>
        <w:bidi w:val="0"/>
        <w:spacing w:lineRule="auto" w:line="300" w:before="0" w:after="0"/>
        <w:ind w:left="720" w:right="0" w:hanging="0"/>
        <w:jc w:val="both"/>
        <w:rPr>
          <w:rFonts w:ascii="Times New Roman;Times;serif" w:hAnsi="Times New Roman;Times;serif"/>
          <w:sz w:val="20"/>
        </w:rPr>
      </w:pPr>
      <w:r>
        <w:rPr>
          <w:rFonts w:ascii="Times New Roman;Times;serif" w:hAnsi="Times New Roman;Times;serif"/>
          <w:sz w:val="20"/>
        </w:rPr>
        <w:t>The unaudited condensed consolidated financial statements and accompanying notes have been prepared in accordance with U.S. generally accepted accounting principles (“U.S. GAAP”). In management’s opinion, the unaudited condensed consolidated financial statements reflect all adjustments of a normal recurring nature that are necessary for a fair presentation of the results for the interim periods presented. The Company’s interim period results do not necessarily indicate the results that may be expected for any other interim period or for the full fiscal year.</w:t>
      </w:r>
    </w:p>
    <w:p>
      <w:pPr>
        <w:pStyle w:val="TextBody"/>
        <w:bidi w:val="0"/>
        <w:spacing w:lineRule="auto" w:line="300" w:before="0" w:after="0"/>
        <w:jc w:val="left"/>
        <w:rPr/>
      </w:pPr>
      <w:r>
        <w:rPr/>
        <w:t> </w:t>
      </w:r>
    </w:p>
    <w:p>
      <w:pPr>
        <w:pStyle w:val="TextBody"/>
        <w:bidi w:val="0"/>
        <w:spacing w:lineRule="auto" w:line="300" w:before="0" w:after="0"/>
        <w:ind w:left="720" w:right="0" w:hanging="0"/>
        <w:jc w:val="both"/>
        <w:rPr>
          <w:rFonts w:ascii="Times New Roman;Times;serif" w:hAnsi="Times New Roman;Times;serif"/>
          <w:sz w:val="20"/>
        </w:rPr>
      </w:pPr>
      <w:r>
        <w:rPr>
          <w:rFonts w:ascii="Times New Roman;Times;serif" w:hAnsi="Times New Roman;Times;serif"/>
          <w:sz w:val="20"/>
        </w:rPr>
        <w:t>The significant accounting policies applied in the annual consolidated financial statements of the Company as of December 31, 2025, contained in the Company’s Annual Report on Form 10-K/A filed with the Securities and Exchange Commission (the “SEC”) on March 23, 2026 have been applied consistently in these unaudited condensed consolidated financial statements. Certain prior year amounts have been reclassified to conform to current year presentation.</w:t>
      </w:r>
    </w:p>
    <w:p>
      <w:pPr>
        <w:pStyle w:val="TextBody"/>
        <w:bidi w:val="0"/>
        <w:spacing w:lineRule="auto" w:line="300" w:before="0" w:after="0"/>
        <w:jc w:val="left"/>
        <w:rPr/>
      </w:pPr>
      <w:r>
        <w:rPr/>
        <w:t> </w:t>
      </w:r>
    </w:p>
    <w:tbl>
      <w:tblPr>
        <w:tblW w:w="1750" w:type="dxa"/>
        <w:jc w:val="left"/>
        <w:tblInd w:w="0" w:type="dxa"/>
        <w:tblLayout w:type="fixed"/>
        <w:tblCellMar>
          <w:top w:w="0" w:type="dxa"/>
          <w:left w:w="0" w:type="dxa"/>
          <w:bottom w:w="0" w:type="dxa"/>
          <w:right w:w="0" w:type="dxa"/>
        </w:tblCellMar>
      </w:tblPr>
      <w:tblGrid>
        <w:gridCol w:w="75"/>
        <w:gridCol w:w="155"/>
        <w:gridCol w:w="1520"/>
      </w:tblGrid>
      <w:tr>
        <w:trPr/>
        <w:tc>
          <w:tcPr>
            <w:tcW w:w="75"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w:t>
            </w:r>
          </w:p>
        </w:tc>
        <w:tc>
          <w:tcPr>
            <w:tcW w:w="152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Trade receivables:</w:t>
            </w:r>
          </w:p>
        </w:tc>
      </w:tr>
    </w:tbl>
    <w:p>
      <w:pPr>
        <w:pStyle w:val="TextBody"/>
        <w:bidi w:val="0"/>
        <w:spacing w:lineRule="auto" w:line="300" w:before="0" w:after="0"/>
        <w:jc w:val="left"/>
        <w:rPr/>
      </w:pPr>
      <w:r>
        <w:rPr/>
        <w:t> </w:t>
      </w:r>
    </w:p>
    <w:p>
      <w:pPr>
        <w:pStyle w:val="TextBody"/>
        <w:bidi w:val="0"/>
        <w:spacing w:lineRule="auto" w:line="300" w:before="0" w:after="0"/>
        <w:ind w:left="720" w:right="0" w:hanging="0"/>
        <w:jc w:val="both"/>
        <w:rPr>
          <w:rFonts w:ascii="Times New Roman;Times;serif" w:hAnsi="Times New Roman;Times;serif"/>
          <w:sz w:val="20"/>
        </w:rPr>
      </w:pPr>
      <w:r>
        <w:rPr>
          <w:rFonts w:ascii="Times New Roman;Times;serif" w:hAnsi="Times New Roman;Times;serif"/>
          <w:sz w:val="20"/>
        </w:rPr>
        <w:t>Trade receivables are stated net of credit losses allowance. The Company is exposed to credit losses primarily through the sale of products. The allowance against gross trade receivables reflects the current expected credit loss inherent in the receivables portfolio determined based on the Company’s methodology. The Company’s methodology is based on historical collection experience, customer creditworthiness and current economic condition. Additionally, specific allowance amounts are established to record the appropriate provision for customers that have a higher probability of default. Trade receivables are written off after all reasonable means to collect the full amount have been exhausted.</w:t>
      </w:r>
    </w:p>
    <w:p>
      <w:pPr>
        <w:pStyle w:val="TextBody"/>
        <w:bidi w:val="0"/>
        <w:spacing w:lineRule="auto" w:line="300" w:before="0" w:after="0"/>
        <w:jc w:val="left"/>
        <w:rPr/>
      </w:pPr>
      <w:r>
        <w:rPr/>
        <w:t> </w:t>
      </w:r>
    </w:p>
    <w:p>
      <w:pPr>
        <w:pStyle w:val="TextBody"/>
        <w:bidi w:val="0"/>
        <w:spacing w:lineRule="auto" w:line="300" w:before="0" w:after="0"/>
        <w:ind w:left="720" w:right="0" w:hanging="0"/>
        <w:jc w:val="both"/>
        <w:rPr>
          <w:rFonts w:ascii="Times New Roman;Times;serif" w:hAnsi="Times New Roman;Times;serif"/>
          <w:sz w:val="20"/>
        </w:rPr>
      </w:pPr>
      <w:r>
        <w:rPr>
          <w:rFonts w:ascii="Times New Roman;Times;serif" w:hAnsi="Times New Roman;Times;serif"/>
          <w:sz w:val="20"/>
        </w:rPr>
        <w:t>The following table provides a roll-forward of the allowance for credit losses that is deducted from the amortized cost basis of trade receivables to present the net amount expected to be collected:</w:t>
      </w:r>
    </w:p>
    <w:p>
      <w:pPr>
        <w:pStyle w:val="TextBody"/>
        <w:bidi w:val="0"/>
        <w:spacing w:lineRule="auto" w:line="300" w:before="0" w:after="0"/>
        <w:ind w:left="720" w:right="0" w:hanging="0"/>
        <w:jc w:val="both"/>
        <w:rPr/>
      </w:pPr>
      <w:r>
        <w:rPr/>
        <w:t> </w:t>
      </w:r>
    </w:p>
    <w:tbl>
      <w:tblPr>
        <w:tblW w:w="7632" w:type="dxa"/>
        <w:jc w:val="left"/>
        <w:tblInd w:w="720" w:type="dxa"/>
        <w:tblLayout w:type="fixed"/>
        <w:tblCellMar>
          <w:top w:w="0" w:type="dxa"/>
          <w:left w:w="0" w:type="dxa"/>
          <w:bottom w:w="0" w:type="dxa"/>
          <w:right w:w="0" w:type="dxa"/>
        </w:tblCellMar>
      </w:tblPr>
      <w:tblGrid>
        <w:gridCol w:w="5195"/>
        <w:gridCol w:w="60"/>
        <w:gridCol w:w="176"/>
        <w:gridCol w:w="832"/>
        <w:gridCol w:w="112"/>
        <w:gridCol w:w="84"/>
        <w:gridCol w:w="176"/>
        <w:gridCol w:w="917"/>
        <w:gridCol w:w="80"/>
      </w:tblGrid>
      <w:tr>
        <w:trPr/>
        <w:tc>
          <w:tcPr>
            <w:tcW w:w="51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97" w:type="dxa"/>
            <w:gridSpan w:val="6"/>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Six Months Ended June 30,</w:t>
            </w:r>
          </w:p>
        </w:tc>
        <w:tc>
          <w:tcPr>
            <w:tcW w:w="80" w:type="dxa"/>
            <w:tcBorders/>
            <w:vAlign w:val="center"/>
          </w:tcPr>
          <w:p>
            <w:pPr>
              <w:pStyle w:val="TableContents"/>
              <w:bidi w:val="0"/>
              <w:spacing w:before="0" w:after="283"/>
              <w:jc w:val="left"/>
              <w:rPr/>
            </w:pPr>
            <w:r>
              <w:rPr/>
              <w:t> </w:t>
            </w:r>
          </w:p>
        </w:tc>
      </w:tr>
      <w:tr>
        <w:trPr/>
        <w:tc>
          <w:tcPr>
            <w:tcW w:w="51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08"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2026</w:t>
            </w:r>
          </w:p>
        </w:tc>
        <w:tc>
          <w:tcPr>
            <w:tcW w:w="112" w:type="dxa"/>
            <w:tcBorders/>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283"/>
              <w:jc w:val="left"/>
              <w:rPr/>
            </w:pPr>
            <w:r>
              <w:rPr/>
              <w:t> </w:t>
            </w:r>
          </w:p>
        </w:tc>
        <w:tc>
          <w:tcPr>
            <w:tcW w:w="1093"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2025</w:t>
            </w:r>
          </w:p>
        </w:tc>
        <w:tc>
          <w:tcPr>
            <w:tcW w:w="80" w:type="dxa"/>
            <w:tcBorders/>
            <w:vAlign w:val="center"/>
          </w:tcPr>
          <w:p>
            <w:pPr>
              <w:pStyle w:val="TableContents"/>
              <w:bidi w:val="0"/>
              <w:spacing w:before="0" w:after="283"/>
              <w:jc w:val="left"/>
              <w:rPr/>
            </w:pPr>
            <w:r>
              <w:rPr/>
              <w:t> </w:t>
            </w:r>
          </w:p>
        </w:tc>
      </w:tr>
      <w:tr>
        <w:trPr/>
        <w:tc>
          <w:tcPr>
            <w:tcW w:w="5195"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Balance, at the beginning of the period</w:t>
            </w:r>
          </w:p>
        </w:tc>
        <w:tc>
          <w:tcPr>
            <w:tcW w:w="6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832"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17,224</w:t>
            </w:r>
          </w:p>
        </w:tc>
        <w:tc>
          <w:tcPr>
            <w:tcW w:w="112"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917"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43,038</w:t>
            </w:r>
          </w:p>
        </w:tc>
        <w:tc>
          <w:tcPr>
            <w:tcW w:w="80" w:type="dxa"/>
            <w:tcBorders/>
            <w:shd w:fill="CCEEFF" w:val="clear"/>
            <w:vAlign w:val="center"/>
          </w:tcPr>
          <w:p>
            <w:pPr>
              <w:pStyle w:val="TableContents"/>
              <w:bidi w:val="0"/>
              <w:spacing w:before="0" w:after="283"/>
              <w:jc w:val="left"/>
              <w:rPr/>
            </w:pPr>
            <w:r>
              <w:rPr/>
              <w:t> </w:t>
            </w:r>
          </w:p>
        </w:tc>
      </w:tr>
      <w:tr>
        <w:trPr/>
        <w:tc>
          <w:tcPr>
            <w:tcW w:w="5195"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Additions to allowance for credit losses not previously recorded</w:t>
            </w:r>
          </w:p>
        </w:tc>
        <w:tc>
          <w:tcPr>
            <w:tcW w:w="60" w:type="dxa"/>
            <w:tcBorders/>
            <w:vAlign w:val="center"/>
          </w:tcPr>
          <w:p>
            <w:pPr>
              <w:pStyle w:val="TableContents"/>
              <w:bidi w:val="0"/>
              <w:spacing w:before="0" w:after="283"/>
              <w:jc w:val="left"/>
              <w:rPr/>
            </w:pPr>
            <w:r>
              <w:rPr/>
              <w:t> </w:t>
            </w:r>
          </w:p>
        </w:tc>
        <w:tc>
          <w:tcPr>
            <w:tcW w:w="176" w:type="dxa"/>
            <w:tcBorders/>
            <w:vAlign w:val="center"/>
          </w:tcPr>
          <w:p>
            <w:pPr>
              <w:pStyle w:val="TableContents"/>
              <w:bidi w:val="0"/>
              <w:spacing w:before="0" w:after="283"/>
              <w:jc w:val="left"/>
              <w:rPr/>
            </w:pPr>
            <w:r>
              <w:rPr/>
              <w:t> </w:t>
            </w:r>
          </w:p>
        </w:tc>
        <w:tc>
          <w:tcPr>
            <w:tcW w:w="832"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18,440</w:t>
            </w:r>
          </w:p>
        </w:tc>
        <w:tc>
          <w:tcPr>
            <w:tcW w:w="112" w:type="dxa"/>
            <w:tcBorders/>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283"/>
              <w:jc w:val="left"/>
              <w:rPr/>
            </w:pPr>
            <w:r>
              <w:rPr/>
              <w:t> </w:t>
            </w:r>
          </w:p>
        </w:tc>
        <w:tc>
          <w:tcPr>
            <w:tcW w:w="176" w:type="dxa"/>
            <w:tcBorders/>
            <w:vAlign w:val="center"/>
          </w:tcPr>
          <w:p>
            <w:pPr>
              <w:pStyle w:val="TableContents"/>
              <w:bidi w:val="0"/>
              <w:spacing w:before="0" w:after="283"/>
              <w:jc w:val="left"/>
              <w:rPr/>
            </w:pPr>
            <w:r>
              <w:rPr/>
              <w:t> </w:t>
            </w:r>
          </w:p>
        </w:tc>
        <w:tc>
          <w:tcPr>
            <w:tcW w:w="917"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5,432</w:t>
            </w:r>
          </w:p>
        </w:tc>
        <w:tc>
          <w:tcPr>
            <w:tcW w:w="80" w:type="dxa"/>
            <w:tcBorders/>
            <w:vAlign w:val="center"/>
          </w:tcPr>
          <w:p>
            <w:pPr>
              <w:pStyle w:val="TableContents"/>
              <w:bidi w:val="0"/>
              <w:spacing w:before="0" w:after="283"/>
              <w:jc w:val="left"/>
              <w:rPr/>
            </w:pPr>
            <w:r>
              <w:rPr/>
              <w:t> </w:t>
            </w:r>
          </w:p>
        </w:tc>
      </w:tr>
      <w:tr>
        <w:trPr/>
        <w:tc>
          <w:tcPr>
            <w:tcW w:w="5195"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Recoveries collected</w:t>
            </w:r>
          </w:p>
        </w:tc>
        <w:tc>
          <w:tcPr>
            <w:tcW w:w="6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 </w:t>
            </w:r>
          </w:p>
        </w:tc>
        <w:tc>
          <w:tcPr>
            <w:tcW w:w="832"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(6,727</w:t>
            </w:r>
          </w:p>
        </w:tc>
        <w:tc>
          <w:tcPr>
            <w:tcW w:w="112"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84"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 </w:t>
            </w:r>
          </w:p>
        </w:tc>
        <w:tc>
          <w:tcPr>
            <w:tcW w:w="917"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(21,171</w:t>
            </w:r>
          </w:p>
        </w:tc>
        <w:tc>
          <w:tcPr>
            <w:tcW w:w="80"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r>
      <w:tr>
        <w:trPr/>
        <w:tc>
          <w:tcPr>
            <w:tcW w:w="5195"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Amounts written off charged against the allowance</w:t>
            </w:r>
          </w:p>
        </w:tc>
        <w:tc>
          <w:tcPr>
            <w:tcW w:w="60" w:type="dxa"/>
            <w:tcBorders/>
            <w:vAlign w:val="center"/>
          </w:tcPr>
          <w:p>
            <w:pPr>
              <w:pStyle w:val="TableContents"/>
              <w:bidi w:val="0"/>
              <w:spacing w:before="0" w:after="283"/>
              <w:jc w:val="left"/>
              <w:rPr/>
            </w:pPr>
            <w:r>
              <w:rPr/>
              <w:t> </w:t>
            </w:r>
          </w:p>
        </w:tc>
        <w:tc>
          <w:tcPr>
            <w:tcW w:w="176" w:type="dxa"/>
            <w:tcBorders/>
            <w:vAlign w:val="center"/>
          </w:tcPr>
          <w:p>
            <w:pPr>
              <w:pStyle w:val="TableContents"/>
              <w:bidi w:val="0"/>
              <w:spacing w:before="0" w:after="283"/>
              <w:jc w:val="left"/>
              <w:rPr/>
            </w:pPr>
            <w:r>
              <w:rPr/>
              <w:t> </w:t>
            </w:r>
          </w:p>
        </w:tc>
        <w:tc>
          <w:tcPr>
            <w:tcW w:w="832"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w:t>
            </w:r>
          </w:p>
        </w:tc>
        <w:tc>
          <w:tcPr>
            <w:tcW w:w="112" w:type="dxa"/>
            <w:tcBorders/>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283"/>
              <w:jc w:val="left"/>
              <w:rPr/>
            </w:pPr>
            <w:r>
              <w:rPr/>
              <w:t> </w:t>
            </w:r>
          </w:p>
        </w:tc>
        <w:tc>
          <w:tcPr>
            <w:tcW w:w="176" w:type="dxa"/>
            <w:tcBorders/>
            <w:vAlign w:val="center"/>
          </w:tcPr>
          <w:p>
            <w:pPr>
              <w:pStyle w:val="TableContents"/>
              <w:bidi w:val="0"/>
              <w:spacing w:before="0" w:after="283"/>
              <w:jc w:val="left"/>
              <w:rPr/>
            </w:pPr>
            <w:r>
              <w:rPr/>
              <w:t> </w:t>
            </w:r>
          </w:p>
        </w:tc>
        <w:tc>
          <w:tcPr>
            <w:tcW w:w="917"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(9,363</w:t>
            </w:r>
          </w:p>
        </w:tc>
        <w:tc>
          <w:tcPr>
            <w:tcW w:w="80"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r>
      <w:tr>
        <w:trPr/>
        <w:tc>
          <w:tcPr>
            <w:tcW w:w="5195"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Foreign currency translation</w:t>
            </w:r>
          </w:p>
        </w:tc>
        <w:tc>
          <w:tcPr>
            <w:tcW w:w="60" w:type="dxa"/>
            <w:tcBorders/>
            <w:shd w:fill="CCEEFF" w:val="clear"/>
            <w:vAlign w:val="center"/>
          </w:tcPr>
          <w:p>
            <w:pPr>
              <w:pStyle w:val="TableContents"/>
              <w:bidi w:val="0"/>
              <w:spacing w:before="0" w:after="283"/>
              <w:jc w:val="left"/>
              <w:rPr/>
            </w:pPr>
            <w:r>
              <w:rPr/>
              <w:t> </w:t>
            </w:r>
          </w:p>
        </w:tc>
        <w:tc>
          <w:tcPr>
            <w:tcW w:w="17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32" w:type="dxa"/>
            <w:tcBorders>
              <w:bottom w:val="single" w:sz="12" w:space="0" w:color="000000"/>
            </w:tcBorders>
            <w:shd w:fill="CCEEFF" w:val="clear"/>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(28</w:t>
            </w:r>
          </w:p>
        </w:tc>
        <w:tc>
          <w:tcPr>
            <w:tcW w:w="112"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84" w:type="dxa"/>
            <w:tcBorders/>
            <w:shd w:fill="CCEEFF" w:val="clear"/>
            <w:vAlign w:val="center"/>
          </w:tcPr>
          <w:p>
            <w:pPr>
              <w:pStyle w:val="TableContents"/>
              <w:bidi w:val="0"/>
              <w:spacing w:before="0" w:after="283"/>
              <w:jc w:val="left"/>
              <w:rPr/>
            </w:pPr>
            <w:r>
              <w:rPr/>
              <w:t> </w:t>
            </w:r>
          </w:p>
        </w:tc>
        <w:tc>
          <w:tcPr>
            <w:tcW w:w="17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17" w:type="dxa"/>
            <w:tcBorders>
              <w:bottom w:val="single" w:sz="12" w:space="0" w:color="000000"/>
            </w:tcBorders>
            <w:shd w:fill="CCEEFF" w:val="clear"/>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1,571</w:t>
            </w:r>
          </w:p>
        </w:tc>
        <w:tc>
          <w:tcPr>
            <w:tcW w:w="80" w:type="dxa"/>
            <w:tcBorders/>
            <w:shd w:fill="CCEEFF" w:val="clear"/>
            <w:vAlign w:val="center"/>
          </w:tcPr>
          <w:p>
            <w:pPr>
              <w:pStyle w:val="TableContents"/>
              <w:bidi w:val="0"/>
              <w:spacing w:before="0" w:after="283"/>
              <w:jc w:val="left"/>
              <w:rPr/>
            </w:pPr>
            <w:r>
              <w:rPr/>
              <w:t> </w:t>
            </w:r>
          </w:p>
        </w:tc>
      </w:tr>
      <w:tr>
        <w:trPr/>
        <w:tc>
          <w:tcPr>
            <w:tcW w:w="5195"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Balance, at the end of the period</w:t>
            </w:r>
          </w:p>
        </w:tc>
        <w:tc>
          <w:tcPr>
            <w:tcW w:w="60" w:type="dxa"/>
            <w:tcBorders/>
            <w:vAlign w:val="center"/>
          </w:tcPr>
          <w:p>
            <w:pPr>
              <w:pStyle w:val="TableContents"/>
              <w:bidi w:val="0"/>
              <w:spacing w:before="0" w:after="283"/>
              <w:jc w:val="left"/>
              <w:rPr/>
            </w:pPr>
            <w:r>
              <w:rPr/>
              <w:t> </w:t>
            </w:r>
          </w:p>
        </w:tc>
        <w:tc>
          <w:tcPr>
            <w:tcW w:w="176" w:type="dxa"/>
            <w:tcBorders>
              <w:bottom w:val="double" w:sz="8" w:space="0" w:color="000000"/>
            </w:tcBorders>
            <w:tcMar>
              <w:bottom w:w="28" w:type="dxa"/>
            </w:tcM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832" w:type="dxa"/>
            <w:tcBorders>
              <w:bottom w:val="double" w:sz="8" w:space="0" w:color="000000"/>
            </w:tcBorders>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28,909</w:t>
            </w:r>
          </w:p>
        </w:tc>
        <w:tc>
          <w:tcPr>
            <w:tcW w:w="112" w:type="dxa"/>
            <w:tcBorders/>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283"/>
              <w:jc w:val="left"/>
              <w:rPr/>
            </w:pPr>
            <w:r>
              <w:rPr/>
              <w:t> </w:t>
            </w:r>
          </w:p>
        </w:tc>
        <w:tc>
          <w:tcPr>
            <w:tcW w:w="176" w:type="dxa"/>
            <w:tcBorders>
              <w:bottom w:val="double" w:sz="8" w:space="0" w:color="000000"/>
            </w:tcBorders>
            <w:tcMar>
              <w:bottom w:w="28" w:type="dxa"/>
            </w:tcM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917" w:type="dxa"/>
            <w:tcBorders>
              <w:bottom w:val="double" w:sz="8" w:space="0" w:color="000000"/>
            </w:tcBorders>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19,507</w:t>
            </w:r>
          </w:p>
        </w:tc>
        <w:tc>
          <w:tcPr>
            <w:tcW w:w="80" w:type="dxa"/>
            <w:tcBorders/>
            <w:vAlign w:val="center"/>
          </w:tcPr>
          <w:p>
            <w:pPr>
              <w:pStyle w:val="TableContents"/>
              <w:bidi w:val="0"/>
              <w:spacing w:before="0" w:after="283"/>
              <w:jc w:val="left"/>
              <w:rPr/>
            </w:pPr>
            <w:r>
              <w:rPr/>
              <w:t> </w:t>
            </w:r>
          </w:p>
        </w:tc>
      </w:tr>
    </w:tbl>
    <w:p>
      <w:pPr>
        <w:pStyle w:val="TextBody"/>
        <w:bidi w:val="0"/>
        <w:spacing w:lineRule="auto" w:line="300" w:before="0" w:after="0"/>
        <w:ind w:left="720" w:right="0" w:hanging="0"/>
        <w:jc w:val="left"/>
        <w:rPr/>
      </w:pPr>
      <w:r>
        <w:rPr/>
        <w:t> </w:t>
      </w:r>
    </w:p>
    <w:p>
      <w:pPr>
        <w:pStyle w:val="TextBody"/>
        <w:bidi w:val="0"/>
        <w:spacing w:before="200" w:after="283"/>
        <w:jc w:val="center"/>
        <w:rPr/>
      </w:pPr>
      <w:r>
        <w:rPr>
          <w:b w:val="false"/>
          <w:i w:val="false"/>
          <w:caps w:val="false"/>
          <w:smallCaps w:val="false"/>
        </w:rPr>
        <w:t xml:space="preserve">SOLAREDGE TECHNOLOGIES INC. | 2026 Form 10-Q | F - </w:t>
      </w:r>
      <w:r>
        <w:rPr>
          <w:rFonts w:ascii="Times New Roman;Times;serif" w:hAnsi="Times New Roman;Times;serif"/>
          <w:sz w:val="20"/>
        </w:rPr>
        <w:t>9</w:t>
      </w:r>
    </w:p>
    <w:p>
      <w:pPr>
        <w:pStyle w:val="HorizontalLine"/>
        <w:bidi w:val="0"/>
        <w:spacing w:before="0" w:after="0"/>
        <w:jc w:val="left"/>
        <w:rPr/>
      </w:pPr>
      <w:r>
        <w:rPr/>
      </w:r>
    </w:p>
    <w:p>
      <w:pPr>
        <w:pStyle w:val="TextBody"/>
        <w:bidi w:val="0"/>
        <w:spacing w:before="0" w:after="0"/>
        <w:jc w:val="left"/>
        <w:rPr/>
      </w:pPr>
      <w:r>
        <w:rPr/>
        <w:t> </w:t>
      </w:r>
    </w:p>
    <w:p>
      <w:pPr>
        <w:pStyle w:val="TextBody"/>
        <w:bidi w:val="0"/>
        <w:spacing w:lineRule="auto" w:line="300" w:before="0" w:after="0"/>
        <w:ind w:left="360" w:right="360" w:hanging="0"/>
        <w:jc w:val="center"/>
        <w:rPr>
          <w:b/>
        </w:rPr>
      </w:pPr>
      <w:r>
        <w:rPr>
          <w:b/>
        </w:rPr>
        <w:t>SOLAREDGE TECHNOLOGIES, INC.</w:t>
      </w:r>
    </w:p>
    <w:p>
      <w:pPr>
        <w:pStyle w:val="TextBody"/>
        <w:bidi w:val="0"/>
        <w:spacing w:lineRule="auto" w:line="300" w:before="0" w:after="0"/>
        <w:jc w:val="left"/>
        <w:rPr/>
      </w:pPr>
      <w:r>
        <w:rPr/>
        <w:t> </w:t>
      </w:r>
    </w:p>
    <w:p>
      <w:pPr>
        <w:pStyle w:val="TextBody"/>
        <w:bidi w:val="0"/>
        <w:spacing w:lineRule="auto" w:line="300" w:before="0" w:after="0"/>
        <w:ind w:left="360" w:right="360" w:hanging="0"/>
        <w:jc w:val="center"/>
        <w:rPr>
          <w:b/>
        </w:rPr>
      </w:pPr>
      <w:r>
        <w:rPr>
          <w:b/>
        </w:rPr>
        <w:t>NOTES TO CONDENSED CONSOLIDATED FINANCIAL STATEMENTS (Unaudited)</w:t>
      </w:r>
    </w:p>
    <w:p>
      <w:pPr>
        <w:pStyle w:val="TextBody"/>
        <w:bidi w:val="0"/>
        <w:spacing w:lineRule="auto" w:line="300" w:before="0" w:after="0"/>
        <w:jc w:val="left"/>
        <w:rPr/>
      </w:pPr>
      <w:r>
        <w:rPr/>
        <w:t> </w:t>
      </w:r>
    </w:p>
    <w:p>
      <w:pPr>
        <w:pStyle w:val="TextBody"/>
        <w:bidi w:val="0"/>
        <w:spacing w:lineRule="auto" w:line="300" w:before="0" w:after="0"/>
        <w:ind w:left="360" w:right="360" w:hanging="0"/>
        <w:jc w:val="center"/>
        <w:rPr/>
      </w:pPr>
      <w:r>
        <w:rPr>
          <w:b/>
        </w:rPr>
        <w:t>(in thousands, except per share data</w:t>
      </w:r>
      <w:r>
        <w:rPr/>
        <w:t>)</w:t>
      </w:r>
    </w:p>
    <w:p>
      <w:pPr>
        <w:pStyle w:val="TextBody"/>
        <w:bidi w:val="0"/>
        <w:spacing w:before="0" w:after="0"/>
        <w:jc w:val="left"/>
        <w:rPr/>
      </w:pPr>
      <w:r>
        <w:rPr/>
        <w:t> </w:t>
      </w:r>
    </w:p>
    <w:tbl>
      <w:tblPr>
        <w:tblW w:w="1645" w:type="dxa"/>
        <w:jc w:val="left"/>
        <w:tblInd w:w="0" w:type="dxa"/>
        <w:tblLayout w:type="fixed"/>
        <w:tblCellMar>
          <w:top w:w="0" w:type="dxa"/>
          <w:left w:w="0" w:type="dxa"/>
          <w:bottom w:w="0" w:type="dxa"/>
          <w:right w:w="0" w:type="dxa"/>
        </w:tblCellMar>
      </w:tblPr>
      <w:tblGrid>
        <w:gridCol w:w="75"/>
        <w:gridCol w:w="170"/>
        <w:gridCol w:w="140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w:t>
            </w:r>
          </w:p>
        </w:tc>
        <w:tc>
          <w:tcPr>
            <w:tcW w:w="140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Use of estimates:</w:t>
            </w:r>
          </w:p>
        </w:tc>
      </w:tr>
    </w:tbl>
    <w:p>
      <w:pPr>
        <w:pStyle w:val="TextBody"/>
        <w:bidi w:val="0"/>
        <w:spacing w:lineRule="auto" w:line="300" w:before="0" w:after="0"/>
        <w:jc w:val="left"/>
        <w:rPr/>
      </w:pPr>
      <w:r>
        <w:rPr/>
        <w:t> </w:t>
      </w:r>
    </w:p>
    <w:p>
      <w:pPr>
        <w:pStyle w:val="TextBody"/>
        <w:bidi w:val="0"/>
        <w:spacing w:lineRule="auto" w:line="300" w:before="0" w:after="0"/>
        <w:ind w:left="720" w:right="0" w:hanging="0"/>
        <w:jc w:val="both"/>
        <w:rPr>
          <w:rFonts w:ascii="Times New Roman;Times;serif" w:hAnsi="Times New Roman;Times;serif"/>
          <w:sz w:val="20"/>
        </w:rPr>
      </w:pPr>
      <w:r>
        <w:rPr>
          <w:rFonts w:ascii="Times New Roman;Times;serif" w:hAnsi="Times New Roman;Times;serif"/>
          <w:sz w:val="20"/>
        </w:rPr>
        <w:t>The preparation of financial statements, in conformity with U.S. GAAP, requires management to make estimates and assumptions that affect the reported amounts of assets, liabilities, revenues, costs and expenses, government grants, income taxes and related disclosures in the accompanying notes. Actual results could differ from those estimates.</w:t>
      </w:r>
    </w:p>
    <w:p>
      <w:pPr>
        <w:pStyle w:val="TextBody"/>
        <w:bidi w:val="0"/>
        <w:spacing w:lineRule="auto" w:line="300" w:before="0" w:after="0"/>
        <w:jc w:val="left"/>
        <w:rPr/>
      </w:pPr>
      <w:r>
        <w:rPr/>
        <w:t> </w:t>
      </w:r>
    </w:p>
    <w:p>
      <w:pPr>
        <w:pStyle w:val="TextBody"/>
        <w:bidi w:val="0"/>
        <w:spacing w:lineRule="auto" w:line="300" w:before="0" w:after="0"/>
        <w:ind w:left="720" w:right="0" w:hanging="0"/>
        <w:jc w:val="both"/>
        <w:rPr>
          <w:rFonts w:ascii="Times New Roman;Times;serif" w:hAnsi="Times New Roman;Times;serif"/>
          <w:sz w:val="20"/>
        </w:rPr>
      </w:pPr>
      <w:r>
        <w:rPr>
          <w:rFonts w:ascii="Times New Roman;Times;serif" w:hAnsi="Times New Roman;Times;serif"/>
          <w:sz w:val="20"/>
        </w:rPr>
        <w:t>In preparing the Company’s condensed consolidated financial statements, management considered the economic implications of inflation, geopolitical developments, including the conflict in Israel, currency fluctuation, and the Company's ability to benefit from certain tax credits in evaluating assumptions used in key accounting estimates. These factors were considered in assessing assets recoverability, inventory valuation and warranty obligations.</w:t>
      </w:r>
    </w:p>
    <w:p>
      <w:pPr>
        <w:pStyle w:val="TextBody"/>
        <w:bidi w:val="0"/>
        <w:spacing w:lineRule="auto" w:line="300" w:before="0" w:after="0"/>
        <w:jc w:val="left"/>
        <w:rPr/>
      </w:pPr>
      <w:r>
        <w:rPr/>
        <w:t> </w:t>
      </w:r>
    </w:p>
    <w:tbl>
      <w:tblPr>
        <w:tblW w:w="2800" w:type="dxa"/>
        <w:jc w:val="left"/>
        <w:tblInd w:w="0" w:type="dxa"/>
        <w:tblLayout w:type="fixed"/>
        <w:tblCellMar>
          <w:top w:w="0" w:type="dxa"/>
          <w:left w:w="0" w:type="dxa"/>
          <w:bottom w:w="0" w:type="dxa"/>
          <w:right w:w="0" w:type="dxa"/>
        </w:tblCellMar>
      </w:tblPr>
      <w:tblGrid>
        <w:gridCol w:w="75"/>
        <w:gridCol w:w="155"/>
        <w:gridCol w:w="2570"/>
      </w:tblGrid>
      <w:tr>
        <w:trPr/>
        <w:tc>
          <w:tcPr>
            <w:tcW w:w="75"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w:t>
            </w:r>
          </w:p>
        </w:tc>
        <w:tc>
          <w:tcPr>
            <w:tcW w:w="257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Concentrations of supply risks:</w:t>
            </w:r>
          </w:p>
        </w:tc>
      </w:tr>
    </w:tbl>
    <w:p>
      <w:pPr>
        <w:pStyle w:val="TextBody"/>
        <w:bidi w:val="0"/>
        <w:spacing w:lineRule="auto" w:line="300" w:before="0" w:after="0"/>
        <w:jc w:val="left"/>
        <w:rPr/>
      </w:pPr>
      <w:r>
        <w:rPr/>
        <w:t> </w:t>
      </w:r>
    </w:p>
    <w:p>
      <w:pPr>
        <w:pStyle w:val="TextBody"/>
        <w:bidi w:val="0"/>
        <w:spacing w:lineRule="auto" w:line="300" w:before="0" w:after="0"/>
        <w:ind w:left="720" w:right="0" w:hanging="0"/>
        <w:jc w:val="both"/>
        <w:rPr>
          <w:rFonts w:ascii="Times New Roman;Times;serif" w:hAnsi="Times New Roman;Times;serif"/>
          <w:sz w:val="20"/>
        </w:rPr>
      </w:pPr>
      <w:r>
        <w:rPr>
          <w:rFonts w:ascii="Times New Roman;Times;serif" w:hAnsi="Times New Roman;Times;serif"/>
          <w:sz w:val="20"/>
        </w:rPr>
        <w:t>The Company depends on certain contract manufacturers and several limited or single source component suppliers. Reliance on these vendors makes the Company vulnerable to possible capacity constraints and reduced control over component availability, delivery schedules, manufacturing yields, and costs.</w:t>
      </w:r>
    </w:p>
    <w:p>
      <w:pPr>
        <w:pStyle w:val="TextBody"/>
        <w:bidi w:val="0"/>
        <w:spacing w:lineRule="auto" w:line="300" w:before="0" w:after="0"/>
        <w:jc w:val="left"/>
        <w:rPr/>
      </w:pPr>
      <w:r>
        <w:rPr/>
        <w:t> </w:t>
      </w:r>
    </w:p>
    <w:p>
      <w:pPr>
        <w:pStyle w:val="TextBody"/>
        <w:bidi w:val="0"/>
        <w:spacing w:lineRule="auto" w:line="300" w:before="0" w:after="0"/>
        <w:ind w:left="720" w:right="0" w:hanging="0"/>
        <w:jc w:val="both"/>
        <w:rPr>
          <w:rFonts w:ascii="Times New Roman;Times;serif" w:hAnsi="Times New Roman;Times;serif"/>
          <w:sz w:val="20"/>
        </w:rPr>
      </w:pPr>
      <w:r>
        <w:rPr>
          <w:rFonts w:ascii="Times New Roman;Times;serif" w:hAnsi="Times New Roman;Times;serif"/>
          <w:sz w:val="20"/>
        </w:rPr>
        <w:t>As of June 30, 2026, one contract manufacturer accounted for 51.3% of the Company’s total trade payables.</w:t>
      </w:r>
    </w:p>
    <w:p>
      <w:pPr>
        <w:pStyle w:val="TextBody"/>
        <w:bidi w:val="0"/>
        <w:spacing w:lineRule="auto" w:line="300" w:before="0" w:after="0"/>
        <w:jc w:val="left"/>
        <w:rPr/>
      </w:pPr>
      <w:r>
        <w:rPr/>
        <w:t> </w:t>
      </w:r>
    </w:p>
    <w:p>
      <w:pPr>
        <w:pStyle w:val="TextBody"/>
        <w:bidi w:val="0"/>
        <w:spacing w:lineRule="auto" w:line="300" w:before="0" w:after="0"/>
        <w:ind w:left="720" w:right="0" w:hanging="0"/>
        <w:jc w:val="both"/>
        <w:rPr>
          <w:rFonts w:ascii="Times New Roman;Times;serif" w:hAnsi="Times New Roman;Times;serif"/>
          <w:sz w:val="20"/>
        </w:rPr>
      </w:pPr>
      <w:r>
        <w:rPr>
          <w:rFonts w:ascii="Times New Roman;Times;serif" w:hAnsi="Times New Roman;Times;serif"/>
          <w:sz w:val="20"/>
        </w:rPr>
        <w:t>As of December 31, 2025, two contract manufacturers jointly accounted for 50.7% of the Company’s total trade payables.</w:t>
      </w:r>
    </w:p>
    <w:p>
      <w:pPr>
        <w:pStyle w:val="TextBody"/>
        <w:bidi w:val="0"/>
        <w:spacing w:lineRule="auto" w:line="300" w:before="0" w:after="0"/>
        <w:jc w:val="left"/>
        <w:rPr/>
      </w:pPr>
      <w:r>
        <w:rPr/>
        <w:t> </w:t>
      </w:r>
    </w:p>
    <w:p>
      <w:pPr>
        <w:pStyle w:val="TextBody"/>
        <w:bidi w:val="0"/>
        <w:spacing w:lineRule="auto" w:line="300" w:before="0" w:after="0"/>
        <w:ind w:left="720" w:right="0" w:hanging="0"/>
        <w:jc w:val="both"/>
        <w:rPr>
          <w:rFonts w:ascii="Times New Roman;Times;serif" w:hAnsi="Times New Roman;Times;serif"/>
          <w:sz w:val="20"/>
        </w:rPr>
      </w:pPr>
      <w:r>
        <w:rPr>
          <w:rFonts w:ascii="Times New Roman;Times;serif" w:hAnsi="Times New Roman;Times;serif"/>
          <w:sz w:val="20"/>
        </w:rPr>
        <w:t>The Company's wholly owned manufacturing facility, Sella 1, is located in the North of Israel.</w:t>
      </w:r>
    </w:p>
    <w:p>
      <w:pPr>
        <w:pStyle w:val="TextBody"/>
        <w:bidi w:val="0"/>
        <w:spacing w:lineRule="auto" w:line="300" w:before="0" w:after="0"/>
        <w:jc w:val="left"/>
        <w:rPr/>
      </w:pPr>
      <w:r>
        <w:rPr/>
        <w:t> </w:t>
      </w:r>
    </w:p>
    <w:p>
      <w:pPr>
        <w:pStyle w:val="TextBody"/>
        <w:bidi w:val="0"/>
        <w:spacing w:lineRule="auto" w:line="300" w:before="0" w:after="0"/>
        <w:ind w:left="720" w:right="0" w:hanging="360"/>
        <w:jc w:val="both"/>
        <w:rPr>
          <w:rFonts w:ascii="Times New Roman;Times;serif" w:hAnsi="Times New Roman;Times;serif"/>
          <w:sz w:val="20"/>
        </w:rPr>
      </w:pPr>
      <w:r>
        <w:rPr>
          <w:rFonts w:ascii="Times New Roman;Times;serif" w:hAnsi="Times New Roman;Times;serif"/>
          <w:sz w:val="20"/>
        </w:rPr>
        <w:t>f.     Government assistance:</w:t>
      </w:r>
    </w:p>
    <w:p>
      <w:pPr>
        <w:pStyle w:val="TextBody"/>
        <w:bidi w:val="0"/>
        <w:spacing w:lineRule="auto" w:line="300" w:before="0" w:after="0"/>
        <w:jc w:val="left"/>
        <w:rPr/>
      </w:pPr>
      <w:r>
        <w:rPr/>
        <w:t> </w:t>
      </w:r>
    </w:p>
    <w:p>
      <w:pPr>
        <w:pStyle w:val="TextBody"/>
        <w:bidi w:val="0"/>
        <w:spacing w:lineRule="auto" w:line="300" w:before="0" w:after="0"/>
        <w:ind w:left="720" w:right="0" w:hanging="0"/>
        <w:jc w:val="both"/>
        <w:rPr>
          <w:rFonts w:ascii="Times New Roman;Times;serif" w:hAnsi="Times New Roman;Times;serif"/>
          <w:sz w:val="20"/>
        </w:rPr>
      </w:pPr>
      <w:r>
        <w:rPr>
          <w:rFonts w:ascii="Times New Roman;Times;serif" w:hAnsi="Times New Roman;Times;serif"/>
          <w:sz w:val="20"/>
        </w:rPr>
        <w:t>On March 31, 2026, the Israeli Knesset enacted Chapter J, the Law for the Encouragement and Incentivization of Research and Development (the “R&amp;D Law”). The R&amp;D Law introduces a refundable tax credit regime for qualifying research and development (“R&amp;D”) expenditures incurred in Israel, which applies to qualifying R&amp;D expenditures incurred beginning the tax year starting January 1, 2026 and allows eligible companies, subject to certain conditions, to (i) offset Israeli income taxes or Israeli qualified domestic minimum top</w:t>
        <w:noBreakHyphen/>
        <w:t>up taxes (“QDMTT”), or (ii) receive a government grant if the credit is not utilized. As of June 30, 2026, the Company recognized an asset of $2,522 in prepaid and other long-term asset in connection with refundable tax credits expected to be realized as government grants under the R&amp;D Law. The Company recognized the related benefit as a reduction in research and development expenses of $1,609 and $2,522 for the three and six months ended June 30, 2026, respectively.</w:t>
      </w:r>
    </w:p>
    <w:p>
      <w:pPr>
        <w:pStyle w:val="TextBody"/>
        <w:bidi w:val="0"/>
        <w:spacing w:lineRule="auto" w:line="300" w:before="0" w:after="0"/>
        <w:jc w:val="left"/>
        <w:rPr/>
      </w:pPr>
      <w:r>
        <w:rPr/>
        <w:t> </w:t>
      </w:r>
    </w:p>
    <w:tbl>
      <w:tblPr>
        <w:tblW w:w="3145" w:type="dxa"/>
        <w:jc w:val="left"/>
        <w:tblInd w:w="0" w:type="dxa"/>
        <w:tblLayout w:type="fixed"/>
        <w:tblCellMar>
          <w:top w:w="0" w:type="dxa"/>
          <w:left w:w="0" w:type="dxa"/>
          <w:bottom w:w="0" w:type="dxa"/>
          <w:right w:w="0" w:type="dxa"/>
        </w:tblCellMar>
      </w:tblPr>
      <w:tblGrid>
        <w:gridCol w:w="75"/>
        <w:gridCol w:w="170"/>
        <w:gridCol w:w="290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w:t>
            </w:r>
          </w:p>
        </w:tc>
        <w:tc>
          <w:tcPr>
            <w:tcW w:w="290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New accounting standards updates:</w:t>
            </w:r>
          </w:p>
        </w:tc>
      </w:tr>
    </w:tbl>
    <w:p>
      <w:pPr>
        <w:pStyle w:val="TextBody"/>
        <w:bidi w:val="0"/>
        <w:spacing w:lineRule="auto" w:line="300" w:before="0" w:after="0"/>
        <w:jc w:val="left"/>
        <w:rPr/>
      </w:pPr>
      <w:r>
        <w:rPr/>
        <w:t> </w:t>
      </w:r>
    </w:p>
    <w:p>
      <w:pPr>
        <w:pStyle w:val="TextBody"/>
        <w:bidi w:val="0"/>
        <w:spacing w:lineRule="auto" w:line="300" w:before="0" w:after="0"/>
        <w:ind w:left="720" w:right="0" w:hanging="0"/>
        <w:jc w:val="both"/>
        <w:rPr>
          <w:rFonts w:ascii="Times New Roman;Times;serif" w:hAnsi="Times New Roman;Times;serif"/>
          <w:i/>
          <w:sz w:val="20"/>
        </w:rPr>
      </w:pPr>
      <w:r>
        <w:rPr>
          <w:rFonts w:ascii="Times New Roman;Times;serif" w:hAnsi="Times New Roman;Times;serif"/>
          <w:i/>
          <w:sz w:val="20"/>
        </w:rPr>
        <w:t>Recently issued and adopted pronouncements</w:t>
      </w:r>
    </w:p>
    <w:p>
      <w:pPr>
        <w:pStyle w:val="TextBody"/>
        <w:bidi w:val="0"/>
        <w:spacing w:lineRule="auto" w:line="300" w:before="0" w:after="0"/>
        <w:jc w:val="left"/>
        <w:rPr/>
      </w:pPr>
      <w:r>
        <w:rPr/>
        <w:t> </w:t>
      </w:r>
    </w:p>
    <w:p>
      <w:pPr>
        <w:pStyle w:val="TextBody"/>
        <w:bidi w:val="0"/>
        <w:spacing w:lineRule="auto" w:line="300" w:before="0" w:after="0"/>
        <w:ind w:left="720" w:right="0" w:hanging="0"/>
        <w:jc w:val="both"/>
        <w:rPr>
          <w:rFonts w:ascii="Times New Roman;Times;serif" w:hAnsi="Times New Roman;Times;serif"/>
          <w:sz w:val="20"/>
        </w:rPr>
      </w:pPr>
      <w:r>
        <w:rPr>
          <w:rFonts w:ascii="Times New Roman;Times;serif" w:hAnsi="Times New Roman;Times;serif"/>
          <w:sz w:val="20"/>
        </w:rPr>
        <w:t>In July 2025, the Financial Accounting Standards Board (“FASB”) issued Accounting Standards Update (“ASU”) 2025-05, “Financial Instruments - Credit Losses (Topic 326): Measurement of Credit Losses for Accounts Receivable and Contract Assets” (“ASU 2025-05”). This amendment introduces a practical expedient for the application of the current expected credit loss (“CECL”) model to current accounts receivable and contract assets. The practical expedient allows entities to assume that conditions as of the balance sheet date remain unchanged over the remaining life of these assets, thereby eliminating the need to incorporate macroeconomic forecasts. ASU 2025-05 is effective beginning after December 15, 2025, and interim reporting periods within those annual reporting periods. The Company adopted this ASU as of January 1, 2026. The adoption of this new ASU did not have a material impact on the Company's condensed consolidated financial statements.</w:t>
      </w:r>
    </w:p>
    <w:p>
      <w:pPr>
        <w:pStyle w:val="TextBody"/>
        <w:bidi w:val="0"/>
        <w:spacing w:lineRule="auto" w:line="300" w:before="0" w:after="0"/>
        <w:jc w:val="left"/>
        <w:rPr/>
      </w:pPr>
      <w:r>
        <w:rPr/>
        <w:t> </w:t>
      </w:r>
    </w:p>
    <w:p>
      <w:pPr>
        <w:pStyle w:val="TextBody"/>
        <w:bidi w:val="0"/>
        <w:spacing w:lineRule="auto" w:line="300" w:before="0" w:after="0"/>
        <w:ind w:left="720" w:right="0" w:hanging="0"/>
        <w:jc w:val="both"/>
        <w:rPr>
          <w:rFonts w:ascii="Times New Roman;Times;serif" w:hAnsi="Times New Roman;Times;serif"/>
          <w:sz w:val="20"/>
        </w:rPr>
      </w:pPr>
      <w:r>
        <w:rPr>
          <w:rFonts w:ascii="Times New Roman;Times;serif" w:hAnsi="Times New Roman;Times;serif"/>
          <w:sz w:val="20"/>
        </w:rPr>
        <w:t>In September 2025, the FASB issued ASU 2025-07, “Derivatives and Hedging (Topic 815) and Revenue from Contracts with Customers (Topic 606): Derivatives Scope Refinements and Scope Clarification for Share-Based Noncash Consideration from a Customer in a Revenue Contract” (“ASU 2025-07”), which (i) expands the scope exception of Topic 815 to exclude certain contracts with a variable that is based on operations or activities specific to one of the parties to the contract and (ii) clarifies the scope of share-based payments from a customer in a revenue contract. ASU 2025-07 is effective for annual reporting periods beginning after December 15, 2026 and interim periods within that year. Early adoption is permitted and must be applied as of the beginning of the fiscal year that includes the interim period. The Company adopted this ASU as of January 1, 2026. The adoption of this new ASU did not have a material impact on the Company’s condensed consolidated financial statements.</w:t>
      </w:r>
    </w:p>
    <w:p>
      <w:pPr>
        <w:pStyle w:val="TextBody"/>
        <w:bidi w:val="0"/>
        <w:spacing w:lineRule="auto" w:line="300" w:before="0" w:after="0"/>
        <w:ind w:left="720" w:right="0" w:hanging="0"/>
        <w:jc w:val="both"/>
        <w:rPr/>
      </w:pPr>
      <w:r>
        <w:rPr/>
        <w:t> </w:t>
      </w:r>
    </w:p>
    <w:p>
      <w:pPr>
        <w:pStyle w:val="TextBody"/>
        <w:bidi w:val="0"/>
        <w:spacing w:lineRule="auto" w:line="300" w:before="200" w:after="283"/>
        <w:jc w:val="center"/>
        <w:rPr>
          <w:rFonts w:ascii="Times New Roman" w:hAnsi="Times New Roman"/>
        </w:rPr>
      </w:pPr>
      <w:r>
        <w:rPr>
          <w:rFonts w:ascii="Times New Roman" w:hAnsi="Times New Roman"/>
          <w:b w:val="false"/>
          <w:i w:val="false"/>
          <w:caps w:val="false"/>
          <w:smallCaps w:val="false"/>
        </w:rPr>
        <w:t xml:space="preserve">SOLAREDGE TECHNOLOGIES INC. | 2026 Form 10-Q | F - </w:t>
      </w:r>
      <w:r>
        <w:rPr>
          <w:rFonts w:ascii="Times New Roman;Times;serif" w:hAnsi="Times New Roman;Times;serif"/>
          <w:sz w:val="20"/>
        </w:rPr>
        <w:t>10</w:t>
      </w:r>
    </w:p>
    <w:p>
      <w:pPr>
        <w:pStyle w:val="HorizontalLine"/>
        <w:bidi w:val="0"/>
        <w:spacing w:lineRule="auto" w:line="300" w:before="0" w:after="0"/>
        <w:jc w:val="left"/>
        <w:rPr/>
      </w:pPr>
      <w:r>
        <w:rPr/>
      </w:r>
    </w:p>
    <w:p>
      <w:pPr>
        <w:pStyle w:val="TextBody"/>
        <w:bidi w:val="0"/>
        <w:spacing w:lineRule="auto" w:line="300" w:before="0" w:after="0"/>
        <w:jc w:val="left"/>
        <w:rPr/>
      </w:pPr>
      <w:r>
        <w:rPr/>
        <w:t> </w:t>
      </w:r>
    </w:p>
    <w:p>
      <w:pPr>
        <w:pStyle w:val="TextBody"/>
        <w:bidi w:val="0"/>
        <w:spacing w:lineRule="auto" w:line="300" w:before="0" w:after="0"/>
        <w:ind w:left="360" w:right="360" w:hanging="0"/>
        <w:jc w:val="center"/>
        <w:rPr>
          <w:rFonts w:ascii="Times New Roman" w:hAnsi="Times New Roman"/>
          <w:b/>
        </w:rPr>
      </w:pPr>
      <w:r>
        <w:rPr>
          <w:rFonts w:ascii="Times New Roman" w:hAnsi="Times New Roman"/>
          <w:b/>
        </w:rPr>
        <w:t>SOLAREDGE TECHNOLOGIES, INC.</w:t>
      </w:r>
    </w:p>
    <w:p>
      <w:pPr>
        <w:pStyle w:val="TextBody"/>
        <w:bidi w:val="0"/>
        <w:spacing w:lineRule="auto" w:line="300" w:before="0" w:after="0"/>
        <w:jc w:val="left"/>
        <w:rPr/>
      </w:pPr>
      <w:r>
        <w:rPr/>
        <w:t> </w:t>
      </w:r>
    </w:p>
    <w:p>
      <w:pPr>
        <w:pStyle w:val="TextBody"/>
        <w:bidi w:val="0"/>
        <w:spacing w:lineRule="auto" w:line="300" w:before="0" w:after="0"/>
        <w:ind w:left="360" w:right="360" w:hanging="0"/>
        <w:jc w:val="center"/>
        <w:rPr>
          <w:rFonts w:ascii="Times New Roman" w:hAnsi="Times New Roman"/>
          <w:b/>
        </w:rPr>
      </w:pPr>
      <w:r>
        <w:rPr>
          <w:rFonts w:ascii="Times New Roman" w:hAnsi="Times New Roman"/>
          <w:b/>
        </w:rPr>
        <w:t>NOTES TO CONDENSED CONSOLIDATED FINANCIAL STATEMENTS (Unaudited)</w:t>
      </w:r>
    </w:p>
    <w:p>
      <w:pPr>
        <w:pStyle w:val="TextBody"/>
        <w:bidi w:val="0"/>
        <w:spacing w:lineRule="auto" w:line="300" w:before="0" w:after="0"/>
        <w:jc w:val="left"/>
        <w:rPr/>
      </w:pPr>
      <w:r>
        <w:rPr/>
        <w:t> </w:t>
      </w:r>
    </w:p>
    <w:p>
      <w:pPr>
        <w:pStyle w:val="TextBody"/>
        <w:bidi w:val="0"/>
        <w:spacing w:lineRule="auto" w:line="300" w:before="0" w:after="0"/>
        <w:ind w:left="360" w:right="360" w:hanging="0"/>
        <w:jc w:val="center"/>
        <w:rPr>
          <w:rFonts w:ascii="Times New Roman" w:hAnsi="Times New Roman"/>
        </w:rPr>
      </w:pPr>
      <w:r>
        <w:rPr>
          <w:rFonts w:ascii="Times New Roman" w:hAnsi="Times New Roman"/>
          <w:b/>
        </w:rPr>
        <w:t>(in thousands, except per share data</w:t>
      </w:r>
      <w:r>
        <w:rPr>
          <w:rFonts w:ascii="Times New Roman" w:hAnsi="Times New Roman"/>
        </w:rPr>
        <w:t>)</w:t>
      </w:r>
    </w:p>
    <w:p>
      <w:pPr>
        <w:pStyle w:val="TextBody"/>
        <w:bidi w:val="0"/>
        <w:spacing w:lineRule="auto" w:line="300" w:before="0" w:after="0"/>
        <w:jc w:val="left"/>
        <w:rPr/>
      </w:pPr>
      <w:r>
        <w:rPr/>
        <w:t> </w:t>
      </w:r>
    </w:p>
    <w:p>
      <w:pPr>
        <w:pStyle w:val="TextBody"/>
        <w:bidi w:val="0"/>
        <w:spacing w:lineRule="auto" w:line="300" w:before="0" w:after="0"/>
        <w:ind w:left="720" w:right="0" w:hanging="0"/>
        <w:jc w:val="both"/>
        <w:rPr>
          <w:rFonts w:ascii="Times New Roman;Times;serif" w:hAnsi="Times New Roman;Times;serif"/>
          <w:i/>
          <w:sz w:val="20"/>
        </w:rPr>
      </w:pPr>
      <w:r>
        <w:rPr>
          <w:rFonts w:ascii="Times New Roman;Times;serif" w:hAnsi="Times New Roman;Times;serif"/>
          <w:i/>
          <w:sz w:val="20"/>
        </w:rPr>
        <w:t>New accounting pronouncements not yet effective</w:t>
      </w:r>
    </w:p>
    <w:p>
      <w:pPr>
        <w:pStyle w:val="TextBody"/>
        <w:bidi w:val="0"/>
        <w:spacing w:lineRule="auto" w:line="300" w:before="0" w:after="0"/>
        <w:jc w:val="left"/>
        <w:rPr/>
      </w:pPr>
      <w:r>
        <w:rPr/>
        <w:t> </w:t>
      </w:r>
    </w:p>
    <w:p>
      <w:pPr>
        <w:pStyle w:val="TextBody"/>
        <w:bidi w:val="0"/>
        <w:spacing w:lineRule="auto" w:line="300" w:before="0" w:after="0"/>
        <w:ind w:left="720" w:right="0" w:hanging="0"/>
        <w:jc w:val="both"/>
        <w:rPr>
          <w:rFonts w:ascii="Times New Roman;Times;serif" w:hAnsi="Times New Roman;Times;serif"/>
          <w:sz w:val="20"/>
        </w:rPr>
      </w:pPr>
      <w:r>
        <w:rPr>
          <w:rFonts w:ascii="Times New Roman;Times;serif" w:hAnsi="Times New Roman;Times;serif"/>
          <w:sz w:val="20"/>
        </w:rPr>
        <w:t>In November 2024, the FASB issued ASU 2024-03, “Income Statement — Reporting Comprehensive Income — Expense Disaggregation Disclosures (Subtopic 220-40): “Disaggregation of Income (loss) Statement Expenses” (“ASU 2024-03”). ASU 2024-03 requires disaggregation of certain costs and expenses included in each relevant expense caption on the Company's consolidated income (loss) statements in a separate note to the financial statements at each interim and annual reporting period, including amounts of purchases of inventory, employee compensation, depreciation, and intangible asset amortization. ASU 2024-03 is effective for fiscal years beginning after December 15, 2026, and interim reporting periods within annual reporting periods beginning after December 15, 2027, with early adoption permitted. The Company is currently evaluating the impact of adopting ASU 2024-03 on its consolidated financial statements disclosures.</w:t>
      </w:r>
    </w:p>
    <w:p>
      <w:pPr>
        <w:pStyle w:val="TextBody"/>
        <w:bidi w:val="0"/>
        <w:spacing w:lineRule="auto" w:line="300" w:before="0" w:after="0"/>
        <w:jc w:val="left"/>
        <w:rPr/>
      </w:pPr>
      <w:r>
        <w:rPr/>
        <w:t> </w:t>
      </w:r>
    </w:p>
    <w:p>
      <w:pPr>
        <w:pStyle w:val="TextBody"/>
        <w:bidi w:val="0"/>
        <w:spacing w:lineRule="auto" w:line="300" w:before="0" w:after="0"/>
        <w:ind w:left="720" w:right="0" w:hanging="0"/>
        <w:jc w:val="both"/>
        <w:rPr>
          <w:rFonts w:ascii="Times New Roman;Times;serif" w:hAnsi="Times New Roman;Times;serif"/>
          <w:sz w:val="20"/>
        </w:rPr>
      </w:pPr>
      <w:r>
        <w:rPr>
          <w:rFonts w:ascii="Times New Roman;Times;serif" w:hAnsi="Times New Roman;Times;serif"/>
          <w:sz w:val="20"/>
        </w:rPr>
        <w:t>In September 2025, the FASB issued ASU 2025-06, “Goodwill and Other-Internal-Use Software (Subtopic 350-40): Targeted Improvements to the Accounting for Internal-Use Software” (“ASU 2025-06”), which simplifies the capitalization guidance by removing all references to software development project stages so that the guidance is neutral to different software development methods. ASU 2025-06 is effective for annual reporting periods beginning after December 15, 2027, and interim reporting periods within those annual reporting periods. Early adoption is permitted. ASU 2025-06 permits an entity to apply the new guidance using a prospective, retrospective or modified transition approach. The Company is currently evaluating the impact of adopting ASU 2025-06 on its consolidated financial statements.</w:t>
      </w:r>
    </w:p>
    <w:p>
      <w:pPr>
        <w:pStyle w:val="TextBody"/>
        <w:bidi w:val="0"/>
        <w:spacing w:lineRule="auto" w:line="300" w:before="0" w:after="0"/>
        <w:jc w:val="left"/>
        <w:rPr/>
      </w:pPr>
      <w:r>
        <w:rPr/>
        <w:t> </w:t>
      </w:r>
    </w:p>
    <w:p>
      <w:pPr>
        <w:pStyle w:val="TextBody"/>
        <w:bidi w:val="0"/>
        <w:spacing w:lineRule="auto" w:line="300" w:before="0" w:after="0"/>
        <w:ind w:left="720" w:right="0" w:hanging="0"/>
        <w:jc w:val="both"/>
        <w:rPr>
          <w:rFonts w:ascii="Times New Roman;Times;serif" w:hAnsi="Times New Roman;Times;serif"/>
          <w:sz w:val="20"/>
        </w:rPr>
      </w:pPr>
      <w:r>
        <w:rPr>
          <w:rFonts w:ascii="Times New Roman;Times;serif" w:hAnsi="Times New Roman;Times;serif"/>
          <w:sz w:val="20"/>
        </w:rPr>
        <w:t>In November 2025, the FASB issued ASU 2025-09 to amend the guidance in Derivatives and Hedging (Topic 815). The update provides targeted improvements intended to enhance the application of hedge accounting, including expanded eligibility of forecasted transactions, additional flexibility in measuring hedge effectiveness, and clarifications related to hedging non-financial items. The guidance is effective for fiscal years beginning after December 15, 2026, including interim periods within those fiscal years. The Company is currently evaluating the impact of adopting ASU 2025-09 on its financial statement disclosures.</w:t>
      </w:r>
    </w:p>
    <w:p>
      <w:pPr>
        <w:pStyle w:val="TextBody"/>
        <w:bidi w:val="0"/>
        <w:spacing w:lineRule="auto" w:line="300" w:before="0" w:after="0"/>
        <w:jc w:val="left"/>
        <w:rPr/>
      </w:pPr>
      <w:r>
        <w:rPr/>
        <w:t> </w:t>
      </w:r>
    </w:p>
    <w:p>
      <w:pPr>
        <w:pStyle w:val="TextBody"/>
        <w:bidi w:val="0"/>
        <w:spacing w:lineRule="auto" w:line="300" w:before="0" w:after="0"/>
        <w:ind w:left="720" w:right="0" w:hanging="0"/>
        <w:jc w:val="both"/>
        <w:rPr>
          <w:rFonts w:ascii="Times New Roman;Times;serif" w:hAnsi="Times New Roman;Times;serif"/>
          <w:sz w:val="20"/>
        </w:rPr>
      </w:pPr>
      <w:r>
        <w:rPr>
          <w:rFonts w:ascii="Times New Roman;Times;serif" w:hAnsi="Times New Roman;Times;serif"/>
          <w:sz w:val="20"/>
        </w:rPr>
        <w:t>In December 2025, the FASB issued ASU 2025-10, “Accounting for Government Grants Received by Business Entities” (“ASU 2025-10”), which establishes the accounting and presentation for government grants received by a business entity. ASU 2025-10 is effective for annual reporting periods beginning after December 15, 2028, and interim reporting periods within those annual reporting periods. Early adoption is permitted. ASU 2025-10 permits an entity to apply the new guidance using a modified prospective basis, a modified retrospective basis, or a full retrospective basis. The Company is currently evaluating the impact of adopting ASU 2025-10 on its consolidated financial statements.</w:t>
      </w:r>
    </w:p>
    <w:p>
      <w:pPr>
        <w:pStyle w:val="TextBody"/>
        <w:bidi w:val="0"/>
        <w:spacing w:lineRule="auto" w:line="300" w:before="0" w:after="0"/>
        <w:jc w:val="left"/>
        <w:rPr/>
      </w:pPr>
      <w:r>
        <w:rPr/>
        <w:t> </w:t>
      </w:r>
    </w:p>
    <w:p>
      <w:pPr>
        <w:pStyle w:val="TextBody"/>
        <w:bidi w:val="0"/>
        <w:spacing w:lineRule="auto" w:line="300"/>
        <w:ind w:left="720" w:right="0" w:hanging="0"/>
        <w:jc w:val="both"/>
        <w:rPr>
          <w:rFonts w:ascii="Times New Roman;Times;serif" w:hAnsi="Times New Roman;Times;serif"/>
          <w:sz w:val="20"/>
        </w:rPr>
      </w:pPr>
      <w:r>
        <w:rPr>
          <w:rFonts w:ascii="Times New Roman;Times;serif" w:hAnsi="Times New Roman;Times;serif"/>
          <w:sz w:val="20"/>
        </w:rPr>
        <w:t>In December 2025, the FASB issued ASU 2025-11, “Interim Reporting (Topic 270): Narrow-Scope Improvements” (“ASU 2025-11”), which clarifies the guidance in Topic 270 to improve the consistency of interim financial reporting. ASU 2025-11 provides a comprehensive list of required interim disclosures and introduces a disclosure principle requiring entities to disclose events since the end of the last annual reporting period that have a material impact on the entity. ASU 2025-11 is effective for interim reporting periods beginning after December 15, 2027, with early adoption permitted. The Company is currently evaluating the impact of adopting ASU 2025-11 on its consolidated financial statements.</w:t>
        <w:br/>
        <w:br/>
        <w:t>In May 2026, the FASB issued ASU 2026-02, “Environmental Credits and Environmental Credit Obligations (Topic 818)” (“ASU 2026-02”). The ASU establishes authoritative guidance for the accounting of environmental credits and environmental credit obligations, including recognition, measurement, presentation, and disclosure requirements, in an effort to reduce diversity in practice and increase consistency of application across reporting entities. The ASU is effective for annual reporting periods beginning after December 15, 2027, and interim reporting periods within those annual reporting periods. Adoption of this ASU should be applied on a retrospective basis through a cumulative-effect adjustment to the opening balance of retained earnings (or other appropriate components of equity or net assets on the balance sheet) as of the beginning of the annual reporting period of adoption, without recasting for any financial statement information before the period of adoption. Early adoption is permitted as of the beginning of an annual reporting period. The Company is currently evaluating the impact of adopting ASU 2026-02 on its consolidated financial statements.</w:t>
      </w:r>
    </w:p>
    <w:p>
      <w:pPr>
        <w:pStyle w:val="TextBody"/>
        <w:bidi w:val="0"/>
        <w:spacing w:before="0" w:after="0"/>
        <w:jc w:val="left"/>
        <w:rPr/>
      </w:pPr>
      <w:r>
        <w:rPr/>
        <w:t> </w:t>
      </w:r>
    </w:p>
    <w:p>
      <w:pPr>
        <w:pStyle w:val="TextBody"/>
        <w:bidi w:val="0"/>
        <w:spacing w:before="200" w:after="283"/>
        <w:jc w:val="center"/>
        <w:rPr/>
      </w:pPr>
      <w:r>
        <w:rPr>
          <w:b w:val="false"/>
          <w:i w:val="false"/>
          <w:caps w:val="false"/>
          <w:smallCaps w:val="false"/>
        </w:rPr>
        <w:t xml:space="preserve">SOLAREDGE TECHNOLOGIES INC. | 2026 Form 10-Q | F - </w:t>
      </w:r>
      <w:r>
        <w:rPr>
          <w:rFonts w:ascii="Times New Roman;Times;serif" w:hAnsi="Times New Roman;Times;serif"/>
          <w:sz w:val="20"/>
        </w:rPr>
        <w:t>11</w:t>
      </w:r>
    </w:p>
    <w:p>
      <w:pPr>
        <w:pStyle w:val="HorizontalLine"/>
        <w:bidi w:val="0"/>
        <w:spacing w:before="0" w:after="0"/>
        <w:jc w:val="left"/>
        <w:rPr/>
      </w:pPr>
      <w:r>
        <w:rPr/>
      </w:r>
    </w:p>
    <w:p>
      <w:pPr>
        <w:pStyle w:val="TextBody"/>
        <w:bidi w:val="0"/>
        <w:spacing w:before="0" w:after="0"/>
        <w:jc w:val="left"/>
        <w:rPr/>
      </w:pPr>
      <w:r>
        <w:rPr/>
        <w:t> </w:t>
      </w:r>
    </w:p>
    <w:p>
      <w:pPr>
        <w:pStyle w:val="TextBody"/>
        <w:bidi w:val="0"/>
        <w:spacing w:lineRule="auto" w:line="300" w:before="0" w:after="0"/>
        <w:ind w:left="360" w:right="360" w:hanging="0"/>
        <w:jc w:val="center"/>
        <w:rPr>
          <w:b/>
        </w:rPr>
      </w:pPr>
      <w:r>
        <w:rPr>
          <w:b/>
        </w:rPr>
        <w:t>SOLAREDGE TECHNOLOGIES, INC.</w:t>
      </w:r>
    </w:p>
    <w:p>
      <w:pPr>
        <w:pStyle w:val="TextBody"/>
        <w:bidi w:val="0"/>
        <w:spacing w:lineRule="auto" w:line="300" w:before="0" w:after="0"/>
        <w:jc w:val="left"/>
        <w:rPr/>
      </w:pPr>
      <w:r>
        <w:rPr/>
        <w:t> </w:t>
      </w:r>
    </w:p>
    <w:p>
      <w:pPr>
        <w:pStyle w:val="TextBody"/>
        <w:bidi w:val="0"/>
        <w:spacing w:lineRule="auto" w:line="300" w:before="0" w:after="0"/>
        <w:ind w:left="360" w:right="360" w:hanging="0"/>
        <w:jc w:val="center"/>
        <w:rPr>
          <w:b/>
        </w:rPr>
      </w:pPr>
      <w:r>
        <w:rPr>
          <w:b/>
        </w:rPr>
        <w:t>NOTES TO CONDENSED CONSOLIDATED FINANCIAL STATEMENTS (Unaudited)</w:t>
      </w:r>
    </w:p>
    <w:p>
      <w:pPr>
        <w:pStyle w:val="TextBody"/>
        <w:bidi w:val="0"/>
        <w:spacing w:lineRule="auto" w:line="300" w:before="0" w:after="0"/>
        <w:jc w:val="left"/>
        <w:rPr/>
      </w:pPr>
      <w:r>
        <w:rPr/>
        <w:t> </w:t>
      </w:r>
    </w:p>
    <w:p>
      <w:pPr>
        <w:pStyle w:val="TextBody"/>
        <w:bidi w:val="0"/>
        <w:spacing w:lineRule="auto" w:line="300"/>
        <w:ind w:left="360" w:right="360" w:hanging="0"/>
        <w:jc w:val="center"/>
        <w:rPr/>
      </w:pPr>
      <w:r>
        <w:rPr>
          <w:b/>
        </w:rPr>
        <w:t>(in thousands, except per share data</w:t>
      </w:r>
      <w:r>
        <w:rPr/>
        <w:t>)</w:t>
      </w:r>
    </w:p>
    <w:p>
      <w:pPr>
        <w:pStyle w:val="TextBody"/>
        <w:bidi w:val="0"/>
        <w:spacing w:before="0" w:after="0"/>
        <w:jc w:val="left"/>
        <w:rPr/>
      </w:pPr>
      <w:r>
        <w:rPr/>
        <w:t> </w:t>
      </w:r>
    </w:p>
    <w:p>
      <w:pPr>
        <w:pStyle w:val="TextBody"/>
        <w:bidi w:val="0"/>
        <w:spacing w:lineRule="auto" w:line="300" w:before="0" w:after="0"/>
        <w:jc w:val="left"/>
        <w:rPr>
          <w:rFonts w:ascii="Times New Roman;Times;serif" w:hAnsi="Times New Roman;Times;serif"/>
          <w:b/>
          <w:sz w:val="20"/>
        </w:rPr>
      </w:pPr>
      <w:r>
        <w:rPr>
          <w:rFonts w:ascii="Times New Roman;Times;serif" w:hAnsi="Times New Roman;Times;serif"/>
          <w:b/>
          <w:sz w:val="20"/>
        </w:rPr>
        <w:t>NOTE 2:      MARKETABLE SECURITIES</w:t>
      </w:r>
    </w:p>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sz w:val="20"/>
        </w:rPr>
      </w:pPr>
      <w:r>
        <w:rPr>
          <w:rFonts w:ascii="Times New Roman;Times;serif" w:hAnsi="Times New Roman;Times;serif"/>
          <w:sz w:val="20"/>
        </w:rPr>
        <w:t>The following is a summary of available-for-sale marketable securities as of June 30, 2026:</w:t>
      </w:r>
    </w:p>
    <w:p>
      <w:pPr>
        <w:pStyle w:val="TextBody"/>
        <w:bidi w:val="0"/>
        <w:spacing w:lineRule="auto" w:line="300" w:before="0" w:after="0"/>
        <w:jc w:val="left"/>
        <w:rPr/>
      </w:pPr>
      <w:r>
        <w:rPr/>
        <w:t> </w:t>
      </w:r>
    </w:p>
    <w:tbl>
      <w:tblPr>
        <w:tblW w:w="6587" w:type="dxa"/>
        <w:jc w:val="left"/>
        <w:tblInd w:w="0" w:type="dxa"/>
        <w:tblLayout w:type="fixed"/>
        <w:tblCellMar>
          <w:top w:w="0" w:type="dxa"/>
          <w:left w:w="0" w:type="dxa"/>
          <w:bottom w:w="0" w:type="dxa"/>
          <w:right w:w="0" w:type="dxa"/>
        </w:tblCellMar>
      </w:tblPr>
      <w:tblGrid>
        <w:gridCol w:w="2060"/>
        <w:gridCol w:w="60"/>
        <w:gridCol w:w="225"/>
        <w:gridCol w:w="1069"/>
        <w:gridCol w:w="60"/>
        <w:gridCol w:w="60"/>
        <w:gridCol w:w="686"/>
        <w:gridCol w:w="1268"/>
        <w:gridCol w:w="60"/>
        <w:gridCol w:w="60"/>
        <w:gridCol w:w="158"/>
        <w:gridCol w:w="746"/>
        <w:gridCol w:w="75"/>
      </w:tblGrid>
      <w:tr>
        <w:trPr/>
        <w:tc>
          <w:tcPr>
            <w:tcW w:w="20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94"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Amortized cost</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954"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Gross unrealized gains</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904"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Fair value</w:t>
            </w:r>
          </w:p>
        </w:tc>
        <w:tc>
          <w:tcPr>
            <w:tcW w:w="75" w:type="dxa"/>
            <w:tcBorders/>
            <w:vAlign w:val="center"/>
          </w:tcPr>
          <w:p>
            <w:pPr>
              <w:pStyle w:val="TableContents"/>
              <w:bidi w:val="0"/>
              <w:spacing w:before="0" w:after="283"/>
              <w:jc w:val="left"/>
              <w:rPr/>
            </w:pPr>
            <w:r>
              <w:rPr/>
              <w:t> </w:t>
            </w:r>
          </w:p>
        </w:tc>
      </w:tr>
      <w:tr>
        <w:trPr/>
        <w:tc>
          <w:tcPr>
            <w:tcW w:w="2060" w:type="dxa"/>
            <w:tcBorders/>
            <w:shd w:fill="CCEEFF" w:val="clear"/>
            <w:vAlign w:val="center"/>
          </w:tcPr>
          <w:p>
            <w:pPr>
              <w:pStyle w:val="TableContents"/>
              <w:bidi w:val="0"/>
              <w:spacing w:lineRule="auto" w:line="300" w:before="0" w:after="0"/>
              <w:jc w:val="both"/>
              <w:rPr>
                <w:rFonts w:ascii="Times New Roman;Times;serif" w:hAnsi="Times New Roman;Times;serif"/>
                <w:sz w:val="20"/>
              </w:rPr>
            </w:pPr>
            <w:r>
              <w:rPr>
                <w:rFonts w:ascii="Times New Roman;Times;serif" w:hAnsi="Times New Roman;Times;serif"/>
                <w:sz w:val="20"/>
              </w:rPr>
              <w:t>Matures within one year:</w:t>
            </w:r>
          </w:p>
        </w:tc>
        <w:tc>
          <w:tcPr>
            <w:tcW w:w="60" w:type="dxa"/>
            <w:tcBorders/>
            <w:shd w:fill="CCEEFF" w:val="clear"/>
            <w:vAlign w:val="center"/>
          </w:tcPr>
          <w:p>
            <w:pPr>
              <w:pStyle w:val="TableContents"/>
              <w:bidi w:val="0"/>
              <w:spacing w:before="0" w:after="283"/>
              <w:jc w:val="left"/>
              <w:rPr/>
            </w:pPr>
            <w:r>
              <w:rPr/>
              <w:t> </w:t>
            </w:r>
          </w:p>
        </w:tc>
        <w:tc>
          <w:tcPr>
            <w:tcW w:w="1294" w:type="dxa"/>
            <w:gridSpan w:val="2"/>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54" w:type="dxa"/>
            <w:gridSpan w:val="2"/>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04" w:type="dxa"/>
            <w:gridSpan w:val="2"/>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2060" w:type="dxa"/>
            <w:tcBorders/>
            <w:vAlign w:val="center"/>
          </w:tcPr>
          <w:p>
            <w:pPr>
              <w:pStyle w:val="TableContents"/>
              <w:bidi w:val="0"/>
              <w:spacing w:lineRule="auto" w:line="300" w:before="0" w:after="0"/>
              <w:jc w:val="both"/>
              <w:rPr>
                <w:rFonts w:ascii="Times New Roman;Times;serif" w:hAnsi="Times New Roman;Times;serif"/>
                <w:sz w:val="20"/>
              </w:rPr>
            </w:pPr>
            <w:r>
              <w:rPr>
                <w:rFonts w:ascii="Times New Roman;Times;serif" w:hAnsi="Times New Roman;Times;serif"/>
                <w:sz w:val="20"/>
              </w:rPr>
              <w:t>Corporate bonds</w:t>
            </w:r>
          </w:p>
        </w:tc>
        <w:tc>
          <w:tcPr>
            <w:tcW w:w="60" w:type="dxa"/>
            <w:tcBorders/>
            <w:vAlign w:val="center"/>
          </w:tcPr>
          <w:p>
            <w:pPr>
              <w:pStyle w:val="TableContents"/>
              <w:bidi w:val="0"/>
              <w:spacing w:before="0" w:after="283"/>
              <w:jc w:val="left"/>
              <w:rPr/>
            </w:pPr>
            <w:r>
              <w:rPr/>
              <w:t> </w:t>
            </w:r>
          </w:p>
        </w:tc>
        <w:tc>
          <w:tcPr>
            <w:tcW w:w="225"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1069"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19,666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6"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1268"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19</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8"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746"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19,685</w:t>
            </w:r>
          </w:p>
        </w:tc>
        <w:tc>
          <w:tcPr>
            <w:tcW w:w="75" w:type="dxa"/>
            <w:tcBorders/>
            <w:vAlign w:val="center"/>
          </w:tcPr>
          <w:p>
            <w:pPr>
              <w:pStyle w:val="TableContents"/>
              <w:bidi w:val="0"/>
              <w:spacing w:before="0" w:after="283"/>
              <w:jc w:val="left"/>
              <w:rPr/>
            </w:pPr>
            <w:r>
              <w:rPr/>
              <w:t> </w:t>
            </w:r>
          </w:p>
        </w:tc>
      </w:tr>
    </w:tbl>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sz w:val="20"/>
        </w:rPr>
      </w:pPr>
      <w:r>
        <w:rPr>
          <w:rFonts w:ascii="Times New Roman;Times;serif" w:hAnsi="Times New Roman;Times;serif"/>
          <w:sz w:val="20"/>
        </w:rPr>
        <w:t>The following is a summary of available-for-sale marketable securities as of December 31, 2025:</w:t>
      </w:r>
    </w:p>
    <w:p>
      <w:pPr>
        <w:pStyle w:val="TextBody"/>
        <w:bidi w:val="0"/>
        <w:spacing w:lineRule="auto" w:line="300" w:before="0" w:after="0"/>
        <w:jc w:val="left"/>
        <w:rPr/>
      </w:pPr>
      <w:r>
        <w:rPr/>
        <w:t> </w:t>
      </w:r>
    </w:p>
    <w:tbl>
      <w:tblPr>
        <w:tblW w:w="7382" w:type="dxa"/>
        <w:jc w:val="left"/>
        <w:tblInd w:w="0" w:type="dxa"/>
        <w:tblLayout w:type="fixed"/>
        <w:tblCellMar>
          <w:top w:w="0" w:type="dxa"/>
          <w:left w:w="0" w:type="dxa"/>
          <w:bottom w:w="0" w:type="dxa"/>
          <w:right w:w="0" w:type="dxa"/>
        </w:tblCellMar>
      </w:tblPr>
      <w:tblGrid>
        <w:gridCol w:w="2855"/>
        <w:gridCol w:w="60"/>
        <w:gridCol w:w="225"/>
        <w:gridCol w:w="1069"/>
        <w:gridCol w:w="60"/>
        <w:gridCol w:w="60"/>
        <w:gridCol w:w="531"/>
        <w:gridCol w:w="1423"/>
        <w:gridCol w:w="60"/>
        <w:gridCol w:w="60"/>
        <w:gridCol w:w="158"/>
        <w:gridCol w:w="746"/>
        <w:gridCol w:w="75"/>
      </w:tblGrid>
      <w:tr>
        <w:trPr/>
        <w:tc>
          <w:tcPr>
            <w:tcW w:w="28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94"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Amortized cost</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954"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Gross unrealized gains</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904"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Fair value</w:t>
            </w:r>
          </w:p>
        </w:tc>
        <w:tc>
          <w:tcPr>
            <w:tcW w:w="75" w:type="dxa"/>
            <w:tcBorders/>
            <w:vAlign w:val="center"/>
          </w:tcPr>
          <w:p>
            <w:pPr>
              <w:pStyle w:val="TableContents"/>
              <w:bidi w:val="0"/>
              <w:spacing w:before="0" w:after="283"/>
              <w:jc w:val="left"/>
              <w:rPr/>
            </w:pPr>
            <w:r>
              <w:rPr/>
              <w:t> </w:t>
            </w:r>
          </w:p>
        </w:tc>
      </w:tr>
      <w:tr>
        <w:trPr/>
        <w:tc>
          <w:tcPr>
            <w:tcW w:w="2855"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Matures within one year:</w:t>
            </w:r>
          </w:p>
        </w:tc>
        <w:tc>
          <w:tcPr>
            <w:tcW w:w="60" w:type="dxa"/>
            <w:tcBorders/>
            <w:shd w:fill="CCEEFF" w:val="clear"/>
            <w:vAlign w:val="center"/>
          </w:tcPr>
          <w:p>
            <w:pPr>
              <w:pStyle w:val="TableContents"/>
              <w:bidi w:val="0"/>
              <w:spacing w:before="0" w:after="283"/>
              <w:jc w:val="left"/>
              <w:rPr/>
            </w:pPr>
            <w:r>
              <w:rPr/>
              <w:t> </w:t>
            </w:r>
          </w:p>
        </w:tc>
        <w:tc>
          <w:tcPr>
            <w:tcW w:w="1294" w:type="dxa"/>
            <w:gridSpan w:val="2"/>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54" w:type="dxa"/>
            <w:gridSpan w:val="2"/>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04" w:type="dxa"/>
            <w:gridSpan w:val="2"/>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2855"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Corporate bonds</w:t>
            </w:r>
          </w:p>
        </w:tc>
        <w:tc>
          <w:tcPr>
            <w:tcW w:w="60" w:type="dxa"/>
            <w:tcBorders/>
            <w:vAlign w:val="center"/>
          </w:tcPr>
          <w:p>
            <w:pPr>
              <w:pStyle w:val="TableContents"/>
              <w:bidi w:val="0"/>
              <w:spacing w:before="0" w:after="283"/>
              <w:jc w:val="left"/>
              <w:rPr/>
            </w:pPr>
            <w:r>
              <w:rPr/>
              <w:t> </w:t>
            </w:r>
          </w:p>
        </w:tc>
        <w:tc>
          <w:tcPr>
            <w:tcW w:w="225"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1069"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36,413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31"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1423"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188</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8"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746"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36,601</w:t>
            </w:r>
          </w:p>
        </w:tc>
        <w:tc>
          <w:tcPr>
            <w:tcW w:w="75" w:type="dxa"/>
            <w:tcBorders/>
            <w:vAlign w:val="center"/>
          </w:tcPr>
          <w:p>
            <w:pPr>
              <w:pStyle w:val="TableContents"/>
              <w:bidi w:val="0"/>
              <w:spacing w:before="0" w:after="283"/>
              <w:jc w:val="left"/>
              <w:rPr/>
            </w:pPr>
            <w:r>
              <w:rPr/>
              <w:t> </w:t>
            </w:r>
          </w:p>
        </w:tc>
      </w:tr>
      <w:tr>
        <w:trPr/>
        <w:tc>
          <w:tcPr>
            <w:tcW w:w="2855" w:type="dxa"/>
            <w:tcBorders/>
            <w:shd w:fill="CCEEFF" w:val="clear"/>
            <w:vAlign w:val="center"/>
          </w:tcPr>
          <w:p>
            <w:pPr>
              <w:pStyle w:val="TableContents"/>
              <w:bidi w:val="0"/>
              <w:spacing w:lineRule="auto" w:line="300" w:before="0" w:after="0"/>
              <w:jc w:val="both"/>
              <w:rPr>
                <w:rFonts w:ascii="Times New Roman;Times;serif" w:hAnsi="Times New Roman;Times;serif"/>
                <w:sz w:val="20"/>
              </w:rPr>
            </w:pPr>
            <w:r>
              <w:rPr>
                <w:rFonts w:ascii="Times New Roman;Times;serif" w:hAnsi="Times New Roman;Times;serif"/>
                <w:sz w:val="20"/>
              </w:rPr>
              <w:t>U.S. Government agency securities</w:t>
            </w:r>
          </w:p>
        </w:tc>
        <w:tc>
          <w:tcPr>
            <w:tcW w:w="60" w:type="dxa"/>
            <w:tcBorders/>
            <w:shd w:fill="CCEEFF" w:val="clear"/>
            <w:vAlign w:val="center"/>
          </w:tcPr>
          <w:p>
            <w:pPr>
              <w:pStyle w:val="TableContents"/>
              <w:bidi w:val="0"/>
              <w:spacing w:before="0" w:after="283"/>
              <w:jc w:val="left"/>
              <w:rPr/>
            </w:pPr>
            <w:r>
              <w:rPr/>
              <w:t> </w:t>
            </w:r>
          </w:p>
        </w:tc>
        <w:tc>
          <w:tcPr>
            <w:tcW w:w="22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69" w:type="dxa"/>
            <w:tcBorders>
              <w:bottom w:val="single" w:sz="12" w:space="0" w:color="000000"/>
            </w:tcBorders>
            <w:shd w:fill="CCEEFF" w:val="clear"/>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1,495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3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423" w:type="dxa"/>
            <w:tcBorders>
              <w:bottom w:val="single" w:sz="12" w:space="0" w:color="000000"/>
            </w:tcBorders>
            <w:shd w:fill="CCEEFF" w:val="clear"/>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46" w:type="dxa"/>
            <w:tcBorders>
              <w:bottom w:val="single" w:sz="12" w:space="0" w:color="000000"/>
            </w:tcBorders>
            <w:shd w:fill="CCEEFF" w:val="clear"/>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1,496</w:t>
            </w:r>
          </w:p>
        </w:tc>
        <w:tc>
          <w:tcPr>
            <w:tcW w:w="75" w:type="dxa"/>
            <w:tcBorders/>
            <w:shd w:fill="CCEEFF" w:val="clear"/>
            <w:vAlign w:val="center"/>
          </w:tcPr>
          <w:p>
            <w:pPr>
              <w:pStyle w:val="TableContents"/>
              <w:bidi w:val="0"/>
              <w:spacing w:before="0" w:after="283"/>
              <w:jc w:val="left"/>
              <w:rPr/>
            </w:pPr>
            <w:r>
              <w:rPr/>
              <w:t> </w:t>
            </w:r>
          </w:p>
        </w:tc>
      </w:tr>
      <w:tr>
        <w:trPr/>
        <w:tc>
          <w:tcPr>
            <w:tcW w:w="2855"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Total</w:t>
            </w:r>
          </w:p>
        </w:tc>
        <w:tc>
          <w:tcPr>
            <w:tcW w:w="60" w:type="dxa"/>
            <w:tcBorders/>
            <w:vAlign w:val="center"/>
          </w:tcPr>
          <w:p>
            <w:pPr>
              <w:pStyle w:val="TableContents"/>
              <w:bidi w:val="0"/>
              <w:spacing w:before="0" w:after="283"/>
              <w:jc w:val="left"/>
              <w:rPr/>
            </w:pPr>
            <w:r>
              <w:rPr/>
              <w:t> </w:t>
            </w:r>
          </w:p>
        </w:tc>
        <w:tc>
          <w:tcPr>
            <w:tcW w:w="225" w:type="dxa"/>
            <w:tcBorders>
              <w:bottom w:val="double" w:sz="8" w:space="0" w:color="000000"/>
            </w:tcBorders>
            <w:tcMar>
              <w:bottom w:w="28" w:type="dxa"/>
            </w:tcM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1069" w:type="dxa"/>
            <w:tcBorders>
              <w:bottom w:val="double" w:sz="8" w:space="0" w:color="000000"/>
            </w:tcBorders>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37,908</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31" w:type="dxa"/>
            <w:tcBorders>
              <w:bottom w:val="double" w:sz="8" w:space="0" w:color="000000"/>
            </w:tcBorders>
            <w:tcMar>
              <w:bottom w:w="28" w:type="dxa"/>
            </w:tcM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1423" w:type="dxa"/>
            <w:tcBorders>
              <w:bottom w:val="double" w:sz="8" w:space="0" w:color="000000"/>
            </w:tcBorders>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189</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8" w:type="dxa"/>
            <w:tcBorders>
              <w:bottom w:val="double" w:sz="8" w:space="0" w:color="000000"/>
            </w:tcBorders>
            <w:tcMar>
              <w:bottom w:w="28" w:type="dxa"/>
            </w:tcM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746" w:type="dxa"/>
            <w:tcBorders>
              <w:bottom w:val="double" w:sz="8" w:space="0" w:color="000000"/>
            </w:tcBorders>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38,097</w:t>
            </w:r>
          </w:p>
        </w:tc>
        <w:tc>
          <w:tcPr>
            <w:tcW w:w="75" w:type="dxa"/>
            <w:tcBorders/>
            <w:vAlign w:val="center"/>
          </w:tcPr>
          <w:p>
            <w:pPr>
              <w:pStyle w:val="TableContents"/>
              <w:bidi w:val="0"/>
              <w:spacing w:before="0" w:after="283"/>
              <w:jc w:val="left"/>
              <w:rPr/>
            </w:pPr>
            <w:r>
              <w:rPr/>
              <w:t> </w:t>
            </w:r>
          </w:p>
        </w:tc>
      </w:tr>
    </w:tbl>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sz w:val="20"/>
        </w:rPr>
      </w:pPr>
      <w:r>
        <w:rPr>
          <w:rFonts w:ascii="Times New Roman;Times;serif" w:hAnsi="Times New Roman;Times;serif"/>
          <w:sz w:val="20"/>
        </w:rPr>
        <w:t>The Company did not sell any available-for-sale marketable securities during the three and six months ended June 30, 2026 and 2025.</w:t>
      </w:r>
    </w:p>
    <w:p>
      <w:pPr>
        <w:pStyle w:val="TextBody"/>
        <w:bidi w:val="0"/>
        <w:spacing w:lineRule="auto" w:line="300" w:before="0" w:after="0"/>
        <w:jc w:val="left"/>
        <w:rPr/>
      </w:pPr>
      <w:r>
        <w:rPr/>
        <w:t> </w:t>
      </w:r>
    </w:p>
    <w:p>
      <w:pPr>
        <w:pStyle w:val="TextBody"/>
        <w:bidi w:val="0"/>
        <w:spacing w:lineRule="auto" w:line="300"/>
        <w:jc w:val="both"/>
        <w:rPr>
          <w:rFonts w:ascii="Times New Roman;Times;serif" w:hAnsi="Times New Roman;Times;serif"/>
          <w:sz w:val="20"/>
        </w:rPr>
      </w:pPr>
      <w:r>
        <w:rPr>
          <w:rFonts w:ascii="Times New Roman;Times;serif" w:hAnsi="Times New Roman;Times;serif"/>
          <w:sz w:val="20"/>
        </w:rPr>
        <w:t>As of June 30, 2026 and December 31, 2025, the Company did not record an allowance for credit losses for its available-for-sale marketable securities.</w:t>
      </w:r>
    </w:p>
    <w:p>
      <w:pPr>
        <w:pStyle w:val="TextBody"/>
        <w:bidi w:val="0"/>
        <w:spacing w:before="0" w:after="0"/>
        <w:jc w:val="left"/>
        <w:rPr/>
      </w:pPr>
      <w:r>
        <w:rPr/>
        <w:t> </w:t>
      </w:r>
    </w:p>
    <w:p>
      <w:pPr>
        <w:pStyle w:val="TextBody"/>
        <w:bidi w:val="0"/>
        <w:spacing w:before="200" w:after="283"/>
        <w:jc w:val="center"/>
        <w:rPr/>
      </w:pPr>
      <w:r>
        <w:rPr>
          <w:b w:val="false"/>
          <w:i w:val="false"/>
          <w:caps w:val="false"/>
          <w:smallCaps w:val="false"/>
        </w:rPr>
        <w:t xml:space="preserve">SOLAREDGE TECHNOLOGIES INC. | 2026 Form 10-Q | F - </w:t>
      </w:r>
      <w:r>
        <w:rPr>
          <w:rFonts w:ascii="Times New Roman;Times;serif" w:hAnsi="Times New Roman;Times;serif"/>
          <w:sz w:val="20"/>
        </w:rPr>
        <w:t>12</w:t>
      </w:r>
    </w:p>
    <w:p>
      <w:pPr>
        <w:pStyle w:val="HorizontalLine"/>
        <w:bidi w:val="0"/>
        <w:spacing w:before="0" w:after="0"/>
        <w:jc w:val="left"/>
        <w:rPr/>
      </w:pPr>
      <w:r>
        <w:rPr/>
      </w:r>
    </w:p>
    <w:p>
      <w:pPr>
        <w:pStyle w:val="TextBody"/>
        <w:bidi w:val="0"/>
        <w:spacing w:before="0" w:after="0"/>
        <w:jc w:val="left"/>
        <w:rPr/>
      </w:pPr>
      <w:r>
        <w:rPr/>
        <w:t> </w:t>
      </w:r>
    </w:p>
    <w:p>
      <w:pPr>
        <w:pStyle w:val="TextBody"/>
        <w:bidi w:val="0"/>
        <w:spacing w:lineRule="auto" w:line="300" w:before="0" w:after="0"/>
        <w:ind w:left="360" w:right="360" w:hanging="0"/>
        <w:jc w:val="center"/>
        <w:rPr>
          <w:b/>
        </w:rPr>
      </w:pPr>
      <w:r>
        <w:rPr>
          <w:b/>
        </w:rPr>
        <w:t>SOLAREDGE TECHNOLOGIES, INC.</w:t>
      </w:r>
    </w:p>
    <w:p>
      <w:pPr>
        <w:pStyle w:val="TextBody"/>
        <w:bidi w:val="0"/>
        <w:spacing w:lineRule="auto" w:line="300" w:before="0" w:after="0"/>
        <w:jc w:val="left"/>
        <w:rPr/>
      </w:pPr>
      <w:r>
        <w:rPr/>
        <w:t> </w:t>
      </w:r>
    </w:p>
    <w:p>
      <w:pPr>
        <w:pStyle w:val="TextBody"/>
        <w:bidi w:val="0"/>
        <w:spacing w:lineRule="auto" w:line="300" w:before="0" w:after="0"/>
        <w:ind w:left="360" w:right="360" w:hanging="0"/>
        <w:jc w:val="center"/>
        <w:rPr>
          <w:b/>
        </w:rPr>
      </w:pPr>
      <w:r>
        <w:rPr>
          <w:b/>
        </w:rPr>
        <w:t>NOTES TO CONDENSED CONSOLIDATED FINANCIAL STATEMENTS (Unaudited)</w:t>
      </w:r>
    </w:p>
    <w:p>
      <w:pPr>
        <w:pStyle w:val="TextBody"/>
        <w:bidi w:val="0"/>
        <w:spacing w:lineRule="auto" w:line="300" w:before="0" w:after="0"/>
        <w:jc w:val="left"/>
        <w:rPr/>
      </w:pPr>
      <w:r>
        <w:rPr/>
        <w:t> </w:t>
      </w:r>
    </w:p>
    <w:p>
      <w:pPr>
        <w:pStyle w:val="TextBody"/>
        <w:bidi w:val="0"/>
        <w:spacing w:lineRule="auto" w:line="300"/>
        <w:ind w:left="360" w:right="360" w:hanging="0"/>
        <w:jc w:val="center"/>
        <w:rPr/>
      </w:pPr>
      <w:r>
        <w:rPr>
          <w:b/>
        </w:rPr>
        <w:t>(in thousands, except per share data</w:t>
      </w:r>
      <w:r>
        <w:rPr/>
        <w:t>)</w:t>
      </w:r>
    </w:p>
    <w:p>
      <w:pPr>
        <w:pStyle w:val="TextBody"/>
        <w:bidi w:val="0"/>
        <w:spacing w:before="0" w:after="0"/>
        <w:jc w:val="left"/>
        <w:rPr/>
      </w:pPr>
      <w:r>
        <w:rPr/>
        <w:t> </w:t>
      </w:r>
    </w:p>
    <w:p>
      <w:pPr>
        <w:pStyle w:val="TextBody"/>
        <w:bidi w:val="0"/>
        <w:spacing w:lineRule="auto" w:line="300" w:before="0" w:after="0"/>
        <w:jc w:val="left"/>
        <w:rPr>
          <w:rFonts w:ascii="Times New Roman;Times;serif" w:hAnsi="Times New Roman;Times;serif"/>
          <w:b/>
          <w:sz w:val="20"/>
        </w:rPr>
      </w:pPr>
      <w:r>
        <w:rPr>
          <w:rFonts w:ascii="Times New Roman;Times;serif" w:hAnsi="Times New Roman;Times;serif"/>
          <w:b/>
          <w:sz w:val="20"/>
        </w:rPr>
        <w:t>NOTE 3:       INVENTORIES, NET</w:t>
      </w:r>
    </w:p>
    <w:p>
      <w:pPr>
        <w:pStyle w:val="TextBody"/>
        <w:bidi w:val="0"/>
        <w:spacing w:lineRule="auto" w:line="300" w:before="0" w:after="0"/>
        <w:jc w:val="left"/>
        <w:rPr/>
      </w:pPr>
      <w:r>
        <w:rPr/>
        <w:t> </w:t>
      </w:r>
    </w:p>
    <w:tbl>
      <w:tblPr>
        <w:tblW w:w="4024" w:type="dxa"/>
        <w:jc w:val="left"/>
        <w:tblInd w:w="0" w:type="dxa"/>
        <w:tblLayout w:type="fixed"/>
        <w:tblCellMar>
          <w:top w:w="0" w:type="dxa"/>
          <w:left w:w="0" w:type="dxa"/>
          <w:bottom w:w="0" w:type="dxa"/>
          <w:right w:w="0" w:type="dxa"/>
        </w:tblCellMar>
      </w:tblPr>
      <w:tblGrid>
        <w:gridCol w:w="1775"/>
        <w:gridCol w:w="60"/>
        <w:gridCol w:w="125"/>
        <w:gridCol w:w="695"/>
        <w:gridCol w:w="60"/>
        <w:gridCol w:w="60"/>
        <w:gridCol w:w="178"/>
        <w:gridCol w:w="996"/>
        <w:gridCol w:w="75"/>
      </w:tblGrid>
      <w:tr>
        <w:trPr/>
        <w:tc>
          <w:tcPr>
            <w:tcW w:w="17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0"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June 30,</w:t>
            </w:r>
          </w:p>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4"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December 31,</w:t>
            </w:r>
          </w:p>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2025</w:t>
            </w:r>
          </w:p>
        </w:tc>
        <w:tc>
          <w:tcPr>
            <w:tcW w:w="75" w:type="dxa"/>
            <w:tcBorders/>
            <w:vAlign w:val="center"/>
          </w:tcPr>
          <w:p>
            <w:pPr>
              <w:pStyle w:val="TableContents"/>
              <w:bidi w:val="0"/>
              <w:spacing w:before="0" w:after="283"/>
              <w:jc w:val="left"/>
              <w:rPr/>
            </w:pPr>
            <w:r>
              <w:rPr/>
              <w:t> </w:t>
            </w:r>
          </w:p>
        </w:tc>
      </w:tr>
      <w:tr>
        <w:trPr/>
        <w:tc>
          <w:tcPr>
            <w:tcW w:w="1775"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Raw materials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367,888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996"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306,288</w:t>
            </w:r>
          </w:p>
        </w:tc>
        <w:tc>
          <w:tcPr>
            <w:tcW w:w="75" w:type="dxa"/>
            <w:tcBorders/>
            <w:shd w:fill="CCEEFF" w:val="clear"/>
            <w:vAlign w:val="center"/>
          </w:tcPr>
          <w:p>
            <w:pPr>
              <w:pStyle w:val="TableContents"/>
              <w:bidi w:val="0"/>
              <w:spacing w:before="0" w:after="283"/>
              <w:jc w:val="left"/>
              <w:rPr/>
            </w:pPr>
            <w:r>
              <w:rPr/>
              <w:t> </w:t>
            </w:r>
          </w:p>
        </w:tc>
      </w:tr>
      <w:tr>
        <w:trPr/>
        <w:tc>
          <w:tcPr>
            <w:tcW w:w="1775"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Finished goods</w:t>
            </w:r>
          </w:p>
        </w:tc>
        <w:tc>
          <w:tcPr>
            <w:tcW w:w="60" w:type="dxa"/>
            <w:tcBorders/>
            <w:vAlign w:val="center"/>
          </w:tcPr>
          <w:p>
            <w:pPr>
              <w:pStyle w:val="TableContents"/>
              <w:bidi w:val="0"/>
              <w:spacing w:before="0" w:after="283"/>
              <w:jc w:val="left"/>
              <w:rPr/>
            </w:pPr>
            <w:r>
              <w:rPr/>
              <w:t> </w:t>
            </w:r>
          </w:p>
        </w:tc>
        <w:tc>
          <w:tcPr>
            <w:tcW w:w="125" w:type="dxa"/>
            <w:tcBorders>
              <w:bottom w:val="single" w:sz="12" w:space="0" w:color="000000"/>
            </w:tcBorders>
            <w:tcMar>
              <w:bottom w:w="28" w:type="dxa"/>
            </w:tcMar>
            <w:vAlign w:val="center"/>
          </w:tcPr>
          <w:p>
            <w:pPr>
              <w:pStyle w:val="TableContents"/>
              <w:bidi w:val="0"/>
              <w:spacing w:before="0" w:after="283"/>
              <w:jc w:val="left"/>
              <w:rPr/>
            </w:pPr>
            <w:r>
              <w:rPr/>
              <w:t> </w:t>
            </w:r>
          </w:p>
        </w:tc>
        <w:tc>
          <w:tcPr>
            <w:tcW w:w="695" w:type="dxa"/>
            <w:tcBorders>
              <w:bottom w:val="single" w:sz="12" w:space="0" w:color="000000"/>
            </w:tcBorders>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231,929</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8" w:type="dxa"/>
            <w:tcBorders>
              <w:bottom w:val="single" w:sz="12" w:space="0" w:color="000000"/>
            </w:tcBorders>
            <w:tcMar>
              <w:bottom w:w="28" w:type="dxa"/>
            </w:tcMar>
            <w:vAlign w:val="center"/>
          </w:tcPr>
          <w:p>
            <w:pPr>
              <w:pStyle w:val="TableContents"/>
              <w:bidi w:val="0"/>
              <w:spacing w:before="0" w:after="283"/>
              <w:jc w:val="left"/>
              <w:rPr/>
            </w:pPr>
            <w:r>
              <w:rPr/>
              <w:t> </w:t>
            </w:r>
          </w:p>
        </w:tc>
        <w:tc>
          <w:tcPr>
            <w:tcW w:w="996" w:type="dxa"/>
            <w:tcBorders>
              <w:bottom w:val="single" w:sz="12" w:space="0" w:color="000000"/>
            </w:tcBorders>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246,344</w:t>
            </w:r>
          </w:p>
        </w:tc>
        <w:tc>
          <w:tcPr>
            <w:tcW w:w="75" w:type="dxa"/>
            <w:tcBorders/>
            <w:vAlign w:val="center"/>
          </w:tcPr>
          <w:p>
            <w:pPr>
              <w:pStyle w:val="TableContents"/>
              <w:bidi w:val="0"/>
              <w:spacing w:before="0" w:after="283"/>
              <w:jc w:val="left"/>
              <w:rPr/>
            </w:pPr>
            <w:r>
              <w:rPr/>
              <w:t> </w:t>
            </w:r>
          </w:p>
        </w:tc>
      </w:tr>
      <w:tr>
        <w:trPr/>
        <w:tc>
          <w:tcPr>
            <w:tcW w:w="1775"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Total inventories, net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double" w:sz="8" w:space="0" w:color="000000"/>
            </w:tcBorders>
            <w:shd w:fill="CCEEFF" w:val="clear"/>
            <w:tcMar>
              <w:bottom w:w="28" w:type="dxa"/>
            </w:tcM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8" w:space="0" w:color="000000"/>
            </w:tcBorders>
            <w:shd w:fill="CCEEFF" w:val="clear"/>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599,817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8" w:type="dxa"/>
            <w:tcBorders>
              <w:bottom w:val="double" w:sz="8" w:space="0" w:color="000000"/>
            </w:tcBorders>
            <w:shd w:fill="CCEEFF" w:val="clear"/>
            <w:tcMar>
              <w:bottom w:w="28" w:type="dxa"/>
            </w:tcM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996" w:type="dxa"/>
            <w:tcBorders>
              <w:bottom w:val="double" w:sz="8" w:space="0" w:color="000000"/>
            </w:tcBorders>
            <w:shd w:fill="CCEEFF" w:val="clear"/>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552,632</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lineRule="auto" w:line="300" w:before="0" w:after="0"/>
        <w:jc w:val="left"/>
        <w:rPr>
          <w:rFonts w:ascii="Times New Roman;Times;serif" w:hAnsi="Times New Roman;Times;serif"/>
          <w:b/>
          <w:sz w:val="20"/>
        </w:rPr>
      </w:pPr>
      <w:r>
        <w:rPr>
          <w:rFonts w:ascii="Times New Roman;Times;serif" w:hAnsi="Times New Roman;Times;serif"/>
          <w:b/>
          <w:sz w:val="20"/>
        </w:rPr>
        <w:t>NOTE 4:       PREPAID EXPENSES AND OTHER CURRENT ASSETS</w:t>
      </w:r>
    </w:p>
    <w:p>
      <w:pPr>
        <w:pStyle w:val="TextBody"/>
        <w:bidi w:val="0"/>
        <w:spacing w:lineRule="auto" w:line="300" w:before="0" w:after="0"/>
        <w:jc w:val="left"/>
        <w:rPr/>
      </w:pPr>
      <w:r>
        <w:rPr/>
        <w:t> </w:t>
      </w:r>
    </w:p>
    <w:tbl>
      <w:tblPr>
        <w:tblW w:w="6199" w:type="dxa"/>
        <w:jc w:val="left"/>
        <w:tblInd w:w="0" w:type="dxa"/>
        <w:tblLayout w:type="fixed"/>
        <w:tblCellMar>
          <w:top w:w="0" w:type="dxa"/>
          <w:left w:w="0" w:type="dxa"/>
          <w:bottom w:w="0" w:type="dxa"/>
          <w:right w:w="0" w:type="dxa"/>
        </w:tblCellMar>
      </w:tblPr>
      <w:tblGrid>
        <w:gridCol w:w="3845"/>
        <w:gridCol w:w="60"/>
        <w:gridCol w:w="125"/>
        <w:gridCol w:w="800"/>
        <w:gridCol w:w="60"/>
        <w:gridCol w:w="60"/>
        <w:gridCol w:w="158"/>
        <w:gridCol w:w="1016"/>
        <w:gridCol w:w="75"/>
      </w:tblGrid>
      <w:tr>
        <w:trPr/>
        <w:tc>
          <w:tcPr>
            <w:tcW w:w="38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25"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June 30,</w:t>
            </w:r>
          </w:p>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4"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December 31,</w:t>
            </w:r>
          </w:p>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2025</w:t>
            </w:r>
          </w:p>
        </w:tc>
        <w:tc>
          <w:tcPr>
            <w:tcW w:w="75" w:type="dxa"/>
            <w:tcBorders/>
            <w:vAlign w:val="center"/>
          </w:tcPr>
          <w:p>
            <w:pPr>
              <w:pStyle w:val="TableContents"/>
              <w:bidi w:val="0"/>
              <w:spacing w:before="0" w:after="283"/>
              <w:jc w:val="left"/>
              <w:rPr/>
            </w:pPr>
            <w:r>
              <w:rPr/>
              <w:t> </w:t>
            </w:r>
          </w:p>
        </w:tc>
      </w:tr>
      <w:tr>
        <w:trPr/>
        <w:tc>
          <w:tcPr>
            <w:tcW w:w="3845" w:type="dxa"/>
            <w:tcBorders/>
            <w:shd w:fill="CCEEFF" w:val="clear"/>
            <w:vAlign w:val="center"/>
          </w:tcPr>
          <w:p>
            <w:pPr>
              <w:pStyle w:val="TableContents"/>
              <w:bidi w:val="0"/>
              <w:spacing w:lineRule="auto" w:line="240" w:before="0" w:after="0"/>
              <w:jc w:val="both"/>
              <w:rPr>
                <w:rFonts w:ascii="Times New Roman;Times;serif" w:hAnsi="Times New Roman;Times;serif"/>
                <w:sz w:val="20"/>
              </w:rPr>
            </w:pPr>
            <w:r>
              <w:rPr>
                <w:rFonts w:ascii="Times New Roman;Times;serif" w:hAnsi="Times New Roman;Times;serif"/>
                <w:sz w:val="20"/>
              </w:rPr>
              <w:t>Vendor non-trade receivables1</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800" w:type="dxa"/>
            <w:tcBorders/>
            <w:shd w:fill="CCEEFF" w:val="clear"/>
            <w:vAlign w:val="center"/>
          </w:tcPr>
          <w:p>
            <w:pPr>
              <w:pStyle w:val="TableContents"/>
              <w:bidi w:val="0"/>
              <w:spacing w:lineRule="auto" w:line="300" w:before="0" w:after="0"/>
              <w:jc w:val="right"/>
              <w:rPr/>
            </w:pPr>
            <w:r>
              <w:rPr/>
              <w:t>106,775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1016" w:type="dxa"/>
            <w:tcBorders/>
            <w:shd w:fill="CCEEFF" w:val="clear"/>
            <w:vAlign w:val="center"/>
          </w:tcPr>
          <w:p>
            <w:pPr>
              <w:pStyle w:val="TableContents"/>
              <w:bidi w:val="0"/>
              <w:spacing w:lineRule="auto" w:line="300" w:before="0" w:after="0"/>
              <w:jc w:val="right"/>
              <w:rPr/>
            </w:pPr>
            <w:r>
              <w:rPr/>
              <w:t>129,223</w:t>
            </w:r>
          </w:p>
        </w:tc>
        <w:tc>
          <w:tcPr>
            <w:tcW w:w="75" w:type="dxa"/>
            <w:tcBorders/>
            <w:shd w:fill="CCEEFF" w:val="clear"/>
            <w:vAlign w:val="center"/>
          </w:tcPr>
          <w:p>
            <w:pPr>
              <w:pStyle w:val="TableContents"/>
              <w:bidi w:val="0"/>
              <w:spacing w:before="0" w:after="283"/>
              <w:jc w:val="left"/>
              <w:rPr/>
            </w:pPr>
            <w:r>
              <w:rPr/>
              <w:t> </w:t>
            </w:r>
          </w:p>
        </w:tc>
      </w:tr>
      <w:tr>
        <w:trPr/>
        <w:tc>
          <w:tcPr>
            <w:tcW w:w="3845" w:type="dxa"/>
            <w:tcBorders/>
            <w:vAlign w:val="center"/>
          </w:tcPr>
          <w:p>
            <w:pPr>
              <w:pStyle w:val="TableContents"/>
              <w:bidi w:val="0"/>
              <w:spacing w:lineRule="auto" w:line="300" w:before="0" w:after="0"/>
              <w:jc w:val="both"/>
              <w:rPr>
                <w:rFonts w:ascii="Times New Roman;Times;serif" w:hAnsi="Times New Roman;Times;serif"/>
                <w:sz w:val="20"/>
              </w:rPr>
            </w:pPr>
            <w:r>
              <w:rPr>
                <w:rFonts w:ascii="Times New Roman;Times;serif" w:hAnsi="Times New Roman;Times;serif"/>
                <w:sz w:val="20"/>
              </w:rPr>
              <w:t>Government authorities</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lineRule="auto" w:line="300" w:before="0" w:after="0"/>
              <w:jc w:val="right"/>
              <w:rPr/>
            </w:pPr>
            <w:r>
              <w:rPr/>
              <w:t>234,608</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8" w:type="dxa"/>
            <w:tcBorders/>
            <w:vAlign w:val="center"/>
          </w:tcPr>
          <w:p>
            <w:pPr>
              <w:pStyle w:val="TableContents"/>
              <w:bidi w:val="0"/>
              <w:spacing w:before="0" w:after="283"/>
              <w:jc w:val="left"/>
              <w:rPr/>
            </w:pPr>
            <w:r>
              <w:rPr/>
              <w:t> </w:t>
            </w:r>
          </w:p>
        </w:tc>
        <w:tc>
          <w:tcPr>
            <w:tcW w:w="1016" w:type="dxa"/>
            <w:tcBorders/>
            <w:vAlign w:val="center"/>
          </w:tcPr>
          <w:p>
            <w:pPr>
              <w:pStyle w:val="TableContents"/>
              <w:bidi w:val="0"/>
              <w:spacing w:lineRule="auto" w:line="300" w:before="0" w:after="0"/>
              <w:jc w:val="right"/>
              <w:rPr/>
            </w:pPr>
            <w:r>
              <w:rPr/>
              <w:t>161,749</w:t>
            </w:r>
          </w:p>
        </w:tc>
        <w:tc>
          <w:tcPr>
            <w:tcW w:w="75" w:type="dxa"/>
            <w:tcBorders/>
            <w:vAlign w:val="center"/>
          </w:tcPr>
          <w:p>
            <w:pPr>
              <w:pStyle w:val="TableContents"/>
              <w:bidi w:val="0"/>
              <w:spacing w:before="0" w:after="283"/>
              <w:jc w:val="left"/>
              <w:rPr/>
            </w:pPr>
            <w:r>
              <w:rPr/>
              <w:t> </w:t>
            </w:r>
          </w:p>
        </w:tc>
      </w:tr>
      <w:tr>
        <w:trPr/>
        <w:tc>
          <w:tcPr>
            <w:tcW w:w="3845"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Prepayments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lineRule="auto" w:line="300" w:before="0" w:after="0"/>
              <w:jc w:val="right"/>
              <w:rPr/>
            </w:pPr>
            <w:r>
              <w:rPr/>
              <w:t>45,047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1016" w:type="dxa"/>
            <w:tcBorders/>
            <w:shd w:fill="CCEEFF" w:val="clear"/>
            <w:vAlign w:val="center"/>
          </w:tcPr>
          <w:p>
            <w:pPr>
              <w:pStyle w:val="TableContents"/>
              <w:bidi w:val="0"/>
              <w:spacing w:lineRule="auto" w:line="300" w:before="0" w:after="0"/>
              <w:jc w:val="right"/>
              <w:rPr/>
            </w:pPr>
            <w:r>
              <w:rPr/>
              <w:t>25,334</w:t>
            </w:r>
          </w:p>
        </w:tc>
        <w:tc>
          <w:tcPr>
            <w:tcW w:w="75" w:type="dxa"/>
            <w:tcBorders/>
            <w:shd w:fill="CCEEFF" w:val="clear"/>
            <w:vAlign w:val="center"/>
          </w:tcPr>
          <w:p>
            <w:pPr>
              <w:pStyle w:val="TableContents"/>
              <w:bidi w:val="0"/>
              <w:spacing w:before="0" w:after="283"/>
              <w:jc w:val="left"/>
              <w:rPr/>
            </w:pPr>
            <w:r>
              <w:rPr/>
              <w:t> </w:t>
            </w:r>
          </w:p>
        </w:tc>
      </w:tr>
      <w:tr>
        <w:trPr/>
        <w:tc>
          <w:tcPr>
            <w:tcW w:w="3845" w:type="dxa"/>
            <w:tcBorders/>
            <w:vAlign w:val="center"/>
          </w:tcPr>
          <w:p>
            <w:pPr>
              <w:pStyle w:val="TableContents"/>
              <w:bidi w:val="0"/>
              <w:spacing w:lineRule="auto" w:line="300" w:before="0" w:after="0"/>
              <w:jc w:val="both"/>
              <w:rPr>
                <w:rFonts w:ascii="Times New Roman;Times;serif" w:hAnsi="Times New Roman;Times;serif"/>
                <w:sz w:val="20"/>
              </w:rPr>
            </w:pPr>
            <w:r>
              <w:rPr>
                <w:rFonts w:ascii="Times New Roman;Times;serif" w:hAnsi="Times New Roman;Times;serif"/>
                <w:sz w:val="20"/>
              </w:rPr>
              <w:t>Insurance recovery receivables</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lineRule="auto" w:line="300" w:before="0" w:after="0"/>
              <w:jc w:val="right"/>
              <w:rPr/>
            </w:pPr>
            <w:r>
              <w:rPr/>
              <w:t>59,207</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8" w:type="dxa"/>
            <w:tcBorders/>
            <w:vAlign w:val="center"/>
          </w:tcPr>
          <w:p>
            <w:pPr>
              <w:pStyle w:val="TableContents"/>
              <w:bidi w:val="0"/>
              <w:spacing w:before="0" w:after="283"/>
              <w:jc w:val="left"/>
              <w:rPr/>
            </w:pPr>
            <w:r>
              <w:rPr/>
              <w:t> </w:t>
            </w:r>
          </w:p>
        </w:tc>
        <w:tc>
          <w:tcPr>
            <w:tcW w:w="1016" w:type="dxa"/>
            <w:tcBorders/>
            <w:vAlign w:val="center"/>
          </w:tcPr>
          <w:p>
            <w:pPr>
              <w:pStyle w:val="TableContents"/>
              <w:bidi w:val="0"/>
              <w:spacing w:lineRule="auto" w:line="300" w:before="0" w:after="0"/>
              <w:jc w:val="right"/>
              <w:rPr/>
            </w:pPr>
            <w:r>
              <w:rPr/>
              <w:t>-</w:t>
            </w:r>
          </w:p>
        </w:tc>
        <w:tc>
          <w:tcPr>
            <w:tcW w:w="75" w:type="dxa"/>
            <w:tcBorders/>
            <w:vAlign w:val="center"/>
          </w:tcPr>
          <w:p>
            <w:pPr>
              <w:pStyle w:val="TableContents"/>
              <w:bidi w:val="0"/>
              <w:spacing w:before="0" w:after="283"/>
              <w:jc w:val="left"/>
              <w:rPr/>
            </w:pPr>
            <w:r>
              <w:rPr/>
              <w:t> </w:t>
            </w:r>
          </w:p>
        </w:tc>
      </w:tr>
      <w:tr>
        <w:trPr/>
        <w:tc>
          <w:tcPr>
            <w:tcW w:w="3845" w:type="dxa"/>
            <w:tcBorders/>
            <w:shd w:fill="CCEEFF" w:val="clear"/>
            <w:vAlign w:val="center"/>
          </w:tcPr>
          <w:p>
            <w:pPr>
              <w:pStyle w:val="TableContents"/>
              <w:bidi w:val="0"/>
              <w:spacing w:lineRule="auto" w:line="300" w:before="0" w:after="0"/>
              <w:jc w:val="both"/>
              <w:rPr>
                <w:rFonts w:ascii="Times New Roman;Times;serif" w:hAnsi="Times New Roman;Times;serif"/>
                <w:sz w:val="20"/>
              </w:rPr>
            </w:pPr>
            <w:r>
              <w:rPr>
                <w:rFonts w:ascii="Times New Roman;Times;serif" w:hAnsi="Times New Roman;Times;serif"/>
                <w:sz w:val="20"/>
              </w:rPr>
              <w:t>Assets held-for-sale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lineRule="auto" w:line="300" w:before="0" w:after="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1016" w:type="dxa"/>
            <w:tcBorders/>
            <w:shd w:fill="CCEEFF" w:val="clear"/>
            <w:vAlign w:val="center"/>
          </w:tcPr>
          <w:p>
            <w:pPr>
              <w:pStyle w:val="TableContents"/>
              <w:bidi w:val="0"/>
              <w:spacing w:lineRule="auto" w:line="300" w:before="0" w:after="0"/>
              <w:jc w:val="right"/>
              <w:rPr/>
            </w:pPr>
            <w:r>
              <w:rPr/>
              <w:t>11,155</w:t>
            </w:r>
          </w:p>
        </w:tc>
        <w:tc>
          <w:tcPr>
            <w:tcW w:w="75" w:type="dxa"/>
            <w:tcBorders/>
            <w:shd w:fill="CCEEFF" w:val="clear"/>
            <w:vAlign w:val="center"/>
          </w:tcPr>
          <w:p>
            <w:pPr>
              <w:pStyle w:val="TableContents"/>
              <w:bidi w:val="0"/>
              <w:spacing w:before="0" w:after="283"/>
              <w:jc w:val="left"/>
              <w:rPr/>
            </w:pPr>
            <w:r>
              <w:rPr/>
              <w:t> </w:t>
            </w:r>
          </w:p>
        </w:tc>
      </w:tr>
      <w:tr>
        <w:trPr/>
        <w:tc>
          <w:tcPr>
            <w:tcW w:w="3845" w:type="dxa"/>
            <w:tcBorders/>
            <w:vAlign w:val="center"/>
          </w:tcPr>
          <w:p>
            <w:pPr>
              <w:pStyle w:val="TableContents"/>
              <w:bidi w:val="0"/>
              <w:spacing w:lineRule="auto" w:line="300" w:before="0" w:after="0"/>
              <w:ind w:left="0" w:right="0" w:hanging="0"/>
              <w:jc w:val="both"/>
              <w:rPr>
                <w:rFonts w:ascii="Times New Roman;Times;serif" w:hAnsi="Times New Roman;Times;serif"/>
                <w:sz w:val="20"/>
              </w:rPr>
            </w:pPr>
            <w:r>
              <w:rPr>
                <w:rFonts w:ascii="Times New Roman;Times;serif" w:hAnsi="Times New Roman;Times;serif"/>
                <w:sz w:val="20"/>
              </w:rPr>
              <w:t>Other</w:t>
            </w:r>
          </w:p>
        </w:tc>
        <w:tc>
          <w:tcPr>
            <w:tcW w:w="60" w:type="dxa"/>
            <w:tcBorders/>
            <w:vAlign w:val="center"/>
          </w:tcPr>
          <w:p>
            <w:pPr>
              <w:pStyle w:val="TableContents"/>
              <w:bidi w:val="0"/>
              <w:spacing w:before="0" w:after="283"/>
              <w:jc w:val="left"/>
              <w:rPr/>
            </w:pPr>
            <w:r>
              <w:rPr/>
              <w:t> </w:t>
            </w:r>
          </w:p>
        </w:tc>
        <w:tc>
          <w:tcPr>
            <w:tcW w:w="125" w:type="dxa"/>
            <w:tcBorders>
              <w:bottom w:val="single" w:sz="12" w:space="0" w:color="000000"/>
            </w:tcBorders>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tcMar>
              <w:bottom w:w="28" w:type="dxa"/>
            </w:tcMar>
            <w:vAlign w:val="center"/>
          </w:tcPr>
          <w:p>
            <w:pPr>
              <w:pStyle w:val="TableContents"/>
              <w:bidi w:val="0"/>
              <w:spacing w:lineRule="auto" w:line="300" w:before="0" w:after="0"/>
              <w:jc w:val="right"/>
              <w:rPr/>
            </w:pPr>
            <w:r>
              <w:rPr/>
              <w:t>9,207</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8" w:type="dxa"/>
            <w:tcBorders>
              <w:bottom w:val="single" w:sz="12" w:space="0" w:color="000000"/>
            </w:tcBorders>
            <w:tcMar>
              <w:bottom w:w="28" w:type="dxa"/>
            </w:tcMar>
            <w:vAlign w:val="center"/>
          </w:tcPr>
          <w:p>
            <w:pPr>
              <w:pStyle w:val="TableContents"/>
              <w:bidi w:val="0"/>
              <w:spacing w:before="0" w:after="283"/>
              <w:jc w:val="left"/>
              <w:rPr/>
            </w:pPr>
            <w:r>
              <w:rPr/>
              <w:t> </w:t>
            </w:r>
          </w:p>
        </w:tc>
        <w:tc>
          <w:tcPr>
            <w:tcW w:w="1016" w:type="dxa"/>
            <w:tcBorders>
              <w:bottom w:val="single" w:sz="12" w:space="0" w:color="000000"/>
            </w:tcBorders>
            <w:tcMar>
              <w:bottom w:w="28" w:type="dxa"/>
            </w:tcMar>
            <w:vAlign w:val="center"/>
          </w:tcPr>
          <w:p>
            <w:pPr>
              <w:pStyle w:val="TableContents"/>
              <w:bidi w:val="0"/>
              <w:spacing w:lineRule="auto" w:line="300" w:before="0" w:after="0"/>
              <w:jc w:val="right"/>
              <w:rPr/>
            </w:pPr>
            <w:r>
              <w:rPr/>
              <w:t>14,370</w:t>
            </w:r>
          </w:p>
        </w:tc>
        <w:tc>
          <w:tcPr>
            <w:tcW w:w="75" w:type="dxa"/>
            <w:tcBorders/>
            <w:vAlign w:val="center"/>
          </w:tcPr>
          <w:p>
            <w:pPr>
              <w:pStyle w:val="TableContents"/>
              <w:bidi w:val="0"/>
              <w:spacing w:before="0" w:after="283"/>
              <w:jc w:val="left"/>
              <w:rPr/>
            </w:pPr>
            <w:r>
              <w:rPr/>
              <w:t> </w:t>
            </w:r>
          </w:p>
        </w:tc>
      </w:tr>
      <w:tr>
        <w:trPr/>
        <w:tc>
          <w:tcPr>
            <w:tcW w:w="3845" w:type="dxa"/>
            <w:tcBorders/>
            <w:shd w:fill="CCEEFF" w:val="clear"/>
            <w:vAlign w:val="center"/>
          </w:tcPr>
          <w:p>
            <w:pPr>
              <w:pStyle w:val="TableContents"/>
              <w:bidi w:val="0"/>
              <w:spacing w:lineRule="auto" w:line="300" w:before="0" w:after="0"/>
              <w:ind w:left="0" w:right="0" w:hanging="0"/>
              <w:jc w:val="left"/>
              <w:rPr>
                <w:rFonts w:ascii="Times New Roman;Times;serif" w:hAnsi="Times New Roman;Times;serif"/>
                <w:sz w:val="20"/>
              </w:rPr>
            </w:pPr>
            <w:r>
              <w:rPr>
                <w:rFonts w:ascii="Times New Roman;Times;serif" w:hAnsi="Times New Roman;Times;serif"/>
                <w:sz w:val="20"/>
              </w:rPr>
              <w:t>Total prepaid expenses and other current assets</w:t>
            </w:r>
          </w:p>
        </w:tc>
        <w:tc>
          <w:tcPr>
            <w:tcW w:w="60" w:type="dxa"/>
            <w:tcBorders/>
            <w:shd w:fill="CCEEFF" w:val="clear"/>
            <w:vAlign w:val="center"/>
          </w:tcPr>
          <w:p>
            <w:pPr>
              <w:pStyle w:val="TableContents"/>
              <w:bidi w:val="0"/>
              <w:spacing w:before="0" w:after="283"/>
              <w:jc w:val="left"/>
              <w:rPr/>
            </w:pPr>
            <w:r>
              <w:rPr/>
              <w:t> </w:t>
            </w:r>
          </w:p>
        </w:tc>
        <w:tc>
          <w:tcPr>
            <w:tcW w:w="125" w:type="dxa"/>
            <w:tcBorders>
              <w:bottom w:val="double" w:sz="8" w:space="0" w:color="000000"/>
            </w:tcBorders>
            <w:shd w:fill="CCEEFF" w:val="clear"/>
            <w:tcMar>
              <w:bottom w:w="28" w:type="dxa"/>
            </w:tcM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800" w:type="dxa"/>
            <w:tcBorders>
              <w:bottom w:val="double" w:sz="8" w:space="0" w:color="000000"/>
            </w:tcBorders>
            <w:shd w:fill="CCEEFF" w:val="clear"/>
            <w:tcMar>
              <w:bottom w:w="28" w:type="dxa"/>
            </w:tcMar>
            <w:vAlign w:val="center"/>
          </w:tcPr>
          <w:p>
            <w:pPr>
              <w:pStyle w:val="TableContents"/>
              <w:bidi w:val="0"/>
              <w:spacing w:lineRule="auto" w:line="300" w:before="0" w:after="0"/>
              <w:jc w:val="right"/>
              <w:rPr/>
            </w:pPr>
            <w:r>
              <w:rPr/>
              <w:t>454,844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8" w:type="dxa"/>
            <w:tcBorders>
              <w:bottom w:val="double" w:sz="8" w:space="0" w:color="000000"/>
            </w:tcBorders>
            <w:shd w:fill="CCEEFF" w:val="clear"/>
            <w:tcMar>
              <w:bottom w:w="28" w:type="dxa"/>
            </w:tcM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1016" w:type="dxa"/>
            <w:tcBorders>
              <w:bottom w:val="double" w:sz="8" w:space="0" w:color="000000"/>
            </w:tcBorders>
            <w:shd w:fill="CCEEFF" w:val="clear"/>
            <w:tcMar>
              <w:bottom w:w="28" w:type="dxa"/>
            </w:tcMar>
            <w:vAlign w:val="center"/>
          </w:tcPr>
          <w:p>
            <w:pPr>
              <w:pStyle w:val="TableContents"/>
              <w:bidi w:val="0"/>
              <w:spacing w:lineRule="auto" w:line="300" w:before="0" w:after="0"/>
              <w:jc w:val="right"/>
              <w:rPr/>
            </w:pPr>
            <w:r>
              <w:rPr/>
              <w:t>341,831</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lineRule="auto" w:line="300" w:before="0" w:after="0"/>
        <w:jc w:val="left"/>
        <w:rPr/>
      </w:pPr>
      <w:r>
        <w:rPr/>
        <w:t> </w:t>
      </w:r>
    </w:p>
    <w:p>
      <w:pPr>
        <w:pStyle w:val="TextBody"/>
        <w:bidi w:val="0"/>
        <w:spacing w:lineRule="auto" w:line="240"/>
        <w:jc w:val="both"/>
        <w:rPr>
          <w:rFonts w:ascii="Times New Roman;Times;serif" w:hAnsi="Times New Roman;Times;serif"/>
          <w:sz w:val="20"/>
        </w:rPr>
      </w:pPr>
      <w:r>
        <w:rPr>
          <w:rFonts w:ascii="Times New Roman;Times;serif" w:hAnsi="Times New Roman;Times;serif"/>
          <w:sz w:val="20"/>
        </w:rPr>
        <w:t>1 Vendor non-trade receivables are derived from the sale of components to manufacturing vendors who manufacture products, components and other testing equipment for the Company. The Company purchases these components directly from other suppliers. The Company does not reflect the sale of these components to the contract manufacturers in its revenues.</w:t>
      </w:r>
    </w:p>
    <w:p>
      <w:pPr>
        <w:pStyle w:val="TextBody"/>
        <w:bidi w:val="0"/>
        <w:spacing w:before="0" w:after="0"/>
        <w:jc w:val="left"/>
        <w:rPr/>
      </w:pPr>
      <w:r>
        <w:rPr/>
        <w:t> </w:t>
      </w:r>
    </w:p>
    <w:p>
      <w:pPr>
        <w:pStyle w:val="TextBody"/>
        <w:bidi w:val="0"/>
        <w:spacing w:before="200" w:after="283"/>
        <w:jc w:val="center"/>
        <w:rPr/>
      </w:pPr>
      <w:r>
        <w:rPr>
          <w:b w:val="false"/>
          <w:i w:val="false"/>
          <w:caps w:val="false"/>
          <w:smallCaps w:val="false"/>
        </w:rPr>
        <w:t xml:space="preserve">SOLAREDGE TECHNOLOGIES INC. | 2026 Form 10-Q | F - </w:t>
      </w:r>
      <w:r>
        <w:rPr>
          <w:rFonts w:ascii="Times New Roman;Times;serif" w:hAnsi="Times New Roman;Times;serif"/>
          <w:sz w:val="20"/>
        </w:rPr>
        <w:t>13</w:t>
      </w:r>
    </w:p>
    <w:p>
      <w:pPr>
        <w:pStyle w:val="HorizontalLine"/>
        <w:bidi w:val="0"/>
        <w:spacing w:before="0" w:after="0"/>
        <w:jc w:val="left"/>
        <w:rPr/>
      </w:pPr>
      <w:r>
        <w:rPr/>
      </w:r>
    </w:p>
    <w:p>
      <w:pPr>
        <w:pStyle w:val="TextBody"/>
        <w:bidi w:val="0"/>
        <w:spacing w:before="0" w:after="0"/>
        <w:jc w:val="left"/>
        <w:rPr/>
      </w:pPr>
      <w:r>
        <w:rPr/>
        <w:t> </w:t>
      </w:r>
    </w:p>
    <w:p>
      <w:pPr>
        <w:pStyle w:val="TextBody"/>
        <w:bidi w:val="0"/>
        <w:spacing w:lineRule="auto" w:line="300" w:before="0" w:after="0"/>
        <w:ind w:left="360" w:right="360" w:hanging="0"/>
        <w:jc w:val="center"/>
        <w:rPr>
          <w:b/>
        </w:rPr>
      </w:pPr>
      <w:r>
        <w:rPr>
          <w:b/>
        </w:rPr>
        <w:t>SOLAREDGE TECHNOLOGIES, INC.</w:t>
      </w:r>
    </w:p>
    <w:p>
      <w:pPr>
        <w:pStyle w:val="TextBody"/>
        <w:bidi w:val="0"/>
        <w:spacing w:lineRule="auto" w:line="300" w:before="0" w:after="0"/>
        <w:jc w:val="left"/>
        <w:rPr/>
      </w:pPr>
      <w:r>
        <w:rPr/>
        <w:t> </w:t>
      </w:r>
    </w:p>
    <w:p>
      <w:pPr>
        <w:pStyle w:val="TextBody"/>
        <w:bidi w:val="0"/>
        <w:spacing w:lineRule="auto" w:line="300" w:before="0" w:after="0"/>
        <w:ind w:left="360" w:right="360" w:hanging="0"/>
        <w:jc w:val="center"/>
        <w:rPr>
          <w:b/>
        </w:rPr>
      </w:pPr>
      <w:r>
        <w:rPr>
          <w:b/>
        </w:rPr>
        <w:t>NOTES TO CONDENSED CONSOLIDATED FINANCIAL STATEMENTS (Unaudited)</w:t>
      </w:r>
    </w:p>
    <w:p>
      <w:pPr>
        <w:pStyle w:val="TextBody"/>
        <w:bidi w:val="0"/>
        <w:spacing w:lineRule="auto" w:line="300" w:before="0" w:after="0"/>
        <w:jc w:val="left"/>
        <w:rPr/>
      </w:pPr>
      <w:r>
        <w:rPr/>
        <w:t> </w:t>
      </w:r>
    </w:p>
    <w:p>
      <w:pPr>
        <w:pStyle w:val="TextBody"/>
        <w:bidi w:val="0"/>
        <w:spacing w:lineRule="auto" w:line="300"/>
        <w:ind w:left="360" w:right="360" w:hanging="0"/>
        <w:jc w:val="center"/>
        <w:rPr/>
      </w:pPr>
      <w:r>
        <w:rPr>
          <w:b/>
        </w:rPr>
        <w:t>(in thousands, except per share data</w:t>
      </w:r>
      <w:r>
        <w:rPr/>
        <w:t>)</w:t>
      </w:r>
    </w:p>
    <w:p>
      <w:pPr>
        <w:pStyle w:val="TextBody"/>
        <w:bidi w:val="0"/>
        <w:spacing w:before="0" w:after="0"/>
        <w:jc w:val="left"/>
        <w:rPr/>
      </w:pPr>
      <w:r>
        <w:rPr/>
        <w:t> </w:t>
      </w:r>
    </w:p>
    <w:p>
      <w:pPr>
        <w:pStyle w:val="TextBody"/>
        <w:bidi w:val="0"/>
        <w:spacing w:lineRule="auto" w:line="300" w:before="0" w:after="0"/>
        <w:jc w:val="left"/>
        <w:rPr>
          <w:rFonts w:ascii="Times New Roman;Times;serif" w:hAnsi="Times New Roman;Times;serif"/>
          <w:b/>
          <w:sz w:val="20"/>
        </w:rPr>
      </w:pPr>
      <w:r>
        <w:rPr>
          <w:rFonts w:ascii="Times New Roman;Times;serif" w:hAnsi="Times New Roman;Times;serif"/>
          <w:b/>
          <w:sz w:val="20"/>
        </w:rPr>
        <w:t>NOTE 5:       OTHER LONG-TERM ASSETS</w:t>
      </w:r>
    </w:p>
    <w:p>
      <w:pPr>
        <w:pStyle w:val="TextBody"/>
        <w:bidi w:val="0"/>
        <w:spacing w:lineRule="auto" w:line="300" w:before="0" w:after="0"/>
        <w:jc w:val="left"/>
        <w:rPr/>
      </w:pPr>
      <w:r>
        <w:rPr/>
        <w:t> </w:t>
      </w:r>
    </w:p>
    <w:tbl>
      <w:tblPr>
        <w:tblW w:w="5773" w:type="dxa"/>
        <w:jc w:val="left"/>
        <w:tblInd w:w="0" w:type="dxa"/>
        <w:tblLayout w:type="fixed"/>
        <w:tblCellMar>
          <w:top w:w="0" w:type="dxa"/>
          <w:left w:w="0" w:type="dxa"/>
          <w:bottom w:w="0" w:type="dxa"/>
          <w:right w:w="0" w:type="dxa"/>
        </w:tblCellMar>
      </w:tblPr>
      <w:tblGrid>
        <w:gridCol w:w="3620"/>
        <w:gridCol w:w="60"/>
        <w:gridCol w:w="126"/>
        <w:gridCol w:w="598"/>
        <w:gridCol w:w="60"/>
        <w:gridCol w:w="60"/>
        <w:gridCol w:w="204"/>
        <w:gridCol w:w="970"/>
        <w:gridCol w:w="75"/>
      </w:tblGrid>
      <w:tr>
        <w:trPr/>
        <w:tc>
          <w:tcPr>
            <w:tcW w:w="36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24"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June 30,</w:t>
            </w:r>
          </w:p>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4"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December 31,</w:t>
            </w:r>
          </w:p>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2025</w:t>
            </w:r>
          </w:p>
        </w:tc>
        <w:tc>
          <w:tcPr>
            <w:tcW w:w="75" w:type="dxa"/>
            <w:tcBorders/>
            <w:vAlign w:val="center"/>
          </w:tcPr>
          <w:p>
            <w:pPr>
              <w:pStyle w:val="TableContents"/>
              <w:bidi w:val="0"/>
              <w:spacing w:before="0" w:after="283"/>
              <w:jc w:val="left"/>
              <w:rPr/>
            </w:pPr>
            <w:r>
              <w:rPr/>
              <w:t> </w:t>
            </w:r>
          </w:p>
        </w:tc>
      </w:tr>
      <w:tr>
        <w:trPr/>
        <w:tc>
          <w:tcPr>
            <w:tcW w:w="3620"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Payments made before lease commencement</w:t>
            </w:r>
          </w:p>
        </w:tc>
        <w:tc>
          <w:tcPr>
            <w:tcW w:w="60"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598"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28,828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970"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28,828</w:t>
            </w:r>
          </w:p>
        </w:tc>
        <w:tc>
          <w:tcPr>
            <w:tcW w:w="75" w:type="dxa"/>
            <w:tcBorders/>
            <w:shd w:fill="CCEEFF" w:val="clear"/>
            <w:vAlign w:val="center"/>
          </w:tcPr>
          <w:p>
            <w:pPr>
              <w:pStyle w:val="TableContents"/>
              <w:bidi w:val="0"/>
              <w:spacing w:before="0" w:after="283"/>
              <w:jc w:val="left"/>
              <w:rPr/>
            </w:pPr>
            <w:r>
              <w:rPr/>
              <w:t> </w:t>
            </w:r>
          </w:p>
        </w:tc>
      </w:tr>
      <w:tr>
        <w:trPr/>
        <w:tc>
          <w:tcPr>
            <w:tcW w:w="3620"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Cloud computing arrangements</w:t>
            </w:r>
          </w:p>
        </w:tc>
        <w:tc>
          <w:tcPr>
            <w:tcW w:w="60" w:type="dxa"/>
            <w:tcBorders/>
            <w:vAlign w:val="center"/>
          </w:tcPr>
          <w:p>
            <w:pPr>
              <w:pStyle w:val="TableContents"/>
              <w:bidi w:val="0"/>
              <w:spacing w:before="0" w:after="283"/>
              <w:jc w:val="left"/>
              <w:rPr/>
            </w:pPr>
            <w:r>
              <w:rPr/>
              <w:t> </w:t>
            </w:r>
          </w:p>
        </w:tc>
        <w:tc>
          <w:tcPr>
            <w:tcW w:w="126" w:type="dxa"/>
            <w:tcBorders/>
            <w:vAlign w:val="center"/>
          </w:tcPr>
          <w:p>
            <w:pPr>
              <w:pStyle w:val="TableContents"/>
              <w:bidi w:val="0"/>
              <w:spacing w:before="0" w:after="283"/>
              <w:jc w:val="left"/>
              <w:rPr/>
            </w:pPr>
            <w:r>
              <w:rPr/>
              <w:t> </w:t>
            </w:r>
          </w:p>
        </w:tc>
        <w:tc>
          <w:tcPr>
            <w:tcW w:w="598"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43,567</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4" w:type="dxa"/>
            <w:tcBorders/>
            <w:vAlign w:val="center"/>
          </w:tcPr>
          <w:p>
            <w:pPr>
              <w:pStyle w:val="TableContents"/>
              <w:bidi w:val="0"/>
              <w:spacing w:before="0" w:after="283"/>
              <w:jc w:val="left"/>
              <w:rPr/>
            </w:pPr>
            <w:r>
              <w:rPr/>
              <w:t> </w:t>
            </w:r>
          </w:p>
        </w:tc>
        <w:tc>
          <w:tcPr>
            <w:tcW w:w="970"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37,972</w:t>
            </w:r>
          </w:p>
        </w:tc>
        <w:tc>
          <w:tcPr>
            <w:tcW w:w="75" w:type="dxa"/>
            <w:tcBorders/>
            <w:vAlign w:val="center"/>
          </w:tcPr>
          <w:p>
            <w:pPr>
              <w:pStyle w:val="TableContents"/>
              <w:bidi w:val="0"/>
              <w:spacing w:before="0" w:after="283"/>
              <w:jc w:val="left"/>
              <w:rPr/>
            </w:pPr>
            <w:r>
              <w:rPr/>
              <w:t> </w:t>
            </w:r>
          </w:p>
        </w:tc>
      </w:tr>
      <w:tr>
        <w:trPr/>
        <w:tc>
          <w:tcPr>
            <w:tcW w:w="3620"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Prepaid expenses and other</w:t>
            </w:r>
          </w:p>
        </w:tc>
        <w:tc>
          <w:tcPr>
            <w:tcW w:w="60" w:type="dxa"/>
            <w:tcBorders/>
            <w:shd w:fill="CCEEFF" w:val="clear"/>
            <w:vAlign w:val="center"/>
          </w:tcPr>
          <w:p>
            <w:pPr>
              <w:pStyle w:val="TableContents"/>
              <w:bidi w:val="0"/>
              <w:spacing w:before="0" w:after="283"/>
              <w:jc w:val="left"/>
              <w:rPr/>
            </w:pPr>
            <w:r>
              <w:rPr/>
              <w:t> </w:t>
            </w:r>
          </w:p>
        </w:tc>
        <w:tc>
          <w:tcPr>
            <w:tcW w:w="12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598" w:type="dxa"/>
            <w:tcBorders>
              <w:bottom w:val="single" w:sz="12" w:space="0" w:color="000000"/>
            </w:tcBorders>
            <w:shd w:fill="CCEEFF" w:val="clear"/>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3,551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70" w:type="dxa"/>
            <w:tcBorders>
              <w:bottom w:val="single" w:sz="12" w:space="0" w:color="000000"/>
            </w:tcBorders>
            <w:shd w:fill="CCEEFF" w:val="clear"/>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766</w:t>
            </w:r>
          </w:p>
        </w:tc>
        <w:tc>
          <w:tcPr>
            <w:tcW w:w="75" w:type="dxa"/>
            <w:tcBorders/>
            <w:shd w:fill="CCEEFF" w:val="clear"/>
            <w:vAlign w:val="center"/>
          </w:tcPr>
          <w:p>
            <w:pPr>
              <w:pStyle w:val="TableContents"/>
              <w:bidi w:val="0"/>
              <w:spacing w:before="0" w:after="283"/>
              <w:jc w:val="left"/>
              <w:rPr/>
            </w:pPr>
            <w:r>
              <w:rPr/>
              <w:t> </w:t>
            </w:r>
          </w:p>
        </w:tc>
      </w:tr>
      <w:tr>
        <w:trPr/>
        <w:tc>
          <w:tcPr>
            <w:tcW w:w="3620"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Total other long-term assets</w:t>
            </w:r>
          </w:p>
        </w:tc>
        <w:tc>
          <w:tcPr>
            <w:tcW w:w="60" w:type="dxa"/>
            <w:tcBorders/>
            <w:vAlign w:val="center"/>
          </w:tcPr>
          <w:p>
            <w:pPr>
              <w:pStyle w:val="TableContents"/>
              <w:bidi w:val="0"/>
              <w:spacing w:before="0" w:after="283"/>
              <w:jc w:val="left"/>
              <w:rPr/>
            </w:pPr>
            <w:r>
              <w:rPr/>
              <w:t> </w:t>
            </w:r>
          </w:p>
        </w:tc>
        <w:tc>
          <w:tcPr>
            <w:tcW w:w="126" w:type="dxa"/>
            <w:tcBorders>
              <w:bottom w:val="double" w:sz="8" w:space="0" w:color="000000"/>
            </w:tcBorders>
            <w:tcMar>
              <w:bottom w:w="28" w:type="dxa"/>
            </w:tcM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598" w:type="dxa"/>
            <w:tcBorders>
              <w:bottom w:val="double" w:sz="8" w:space="0" w:color="000000"/>
            </w:tcBorders>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75,946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4" w:type="dxa"/>
            <w:tcBorders>
              <w:bottom w:val="double" w:sz="8" w:space="0" w:color="000000"/>
            </w:tcBorders>
            <w:tcMar>
              <w:bottom w:w="28" w:type="dxa"/>
            </w:tcM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970" w:type="dxa"/>
            <w:tcBorders>
              <w:bottom w:val="double" w:sz="8" w:space="0" w:color="000000"/>
            </w:tcBorders>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67,566</w:t>
            </w:r>
          </w:p>
        </w:tc>
        <w:tc>
          <w:tcPr>
            <w:tcW w:w="75"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200" w:after="283"/>
        <w:jc w:val="center"/>
        <w:rPr/>
      </w:pPr>
      <w:r>
        <w:rPr>
          <w:b w:val="false"/>
          <w:i w:val="false"/>
          <w:caps w:val="false"/>
          <w:smallCaps w:val="false"/>
        </w:rPr>
        <w:t xml:space="preserve">SOLAREDGE TECHNOLOGIES INC. | 2026 Form 10-Q | F - </w:t>
      </w:r>
      <w:r>
        <w:rPr>
          <w:rFonts w:ascii="Times New Roman;Times;serif" w:hAnsi="Times New Roman;Times;serif"/>
          <w:sz w:val="20"/>
        </w:rPr>
        <w:t>14</w:t>
      </w:r>
    </w:p>
    <w:p>
      <w:pPr>
        <w:pStyle w:val="HorizontalLine"/>
        <w:bidi w:val="0"/>
        <w:spacing w:before="0" w:after="0"/>
        <w:jc w:val="left"/>
        <w:rPr/>
      </w:pPr>
      <w:r>
        <w:rPr/>
      </w:r>
    </w:p>
    <w:p>
      <w:pPr>
        <w:pStyle w:val="TextBody"/>
        <w:bidi w:val="0"/>
        <w:spacing w:before="0" w:after="0"/>
        <w:jc w:val="left"/>
        <w:rPr/>
      </w:pPr>
      <w:r>
        <w:rPr/>
        <w:t> </w:t>
      </w:r>
    </w:p>
    <w:p>
      <w:pPr>
        <w:pStyle w:val="TextBody"/>
        <w:bidi w:val="0"/>
        <w:spacing w:lineRule="auto" w:line="300" w:before="0" w:after="0"/>
        <w:ind w:left="360" w:right="360" w:hanging="0"/>
        <w:jc w:val="center"/>
        <w:rPr>
          <w:b/>
        </w:rPr>
      </w:pPr>
      <w:r>
        <w:rPr>
          <w:b/>
        </w:rPr>
        <w:t>SOLAREDGE TECHNOLOGIES, INC.</w:t>
      </w:r>
    </w:p>
    <w:p>
      <w:pPr>
        <w:pStyle w:val="TextBody"/>
        <w:bidi w:val="0"/>
        <w:spacing w:lineRule="auto" w:line="300" w:before="0" w:after="0"/>
        <w:jc w:val="left"/>
        <w:rPr/>
      </w:pPr>
      <w:r>
        <w:rPr/>
        <w:t> </w:t>
      </w:r>
    </w:p>
    <w:p>
      <w:pPr>
        <w:pStyle w:val="TextBody"/>
        <w:bidi w:val="0"/>
        <w:spacing w:lineRule="auto" w:line="300" w:before="0" w:after="0"/>
        <w:ind w:left="360" w:right="360" w:hanging="0"/>
        <w:jc w:val="center"/>
        <w:rPr>
          <w:b/>
        </w:rPr>
      </w:pPr>
      <w:r>
        <w:rPr>
          <w:b/>
        </w:rPr>
        <w:t>NOTES TO CONDENSED CONSOLIDATED FINANCIAL STATEMENTS (Unaudited)</w:t>
      </w:r>
    </w:p>
    <w:p>
      <w:pPr>
        <w:pStyle w:val="TextBody"/>
        <w:bidi w:val="0"/>
        <w:spacing w:lineRule="auto" w:line="300" w:before="0" w:after="0"/>
        <w:jc w:val="left"/>
        <w:rPr/>
      </w:pPr>
      <w:r>
        <w:rPr/>
        <w:t> </w:t>
      </w:r>
    </w:p>
    <w:p>
      <w:pPr>
        <w:pStyle w:val="TextBody"/>
        <w:bidi w:val="0"/>
        <w:spacing w:lineRule="auto" w:line="300"/>
        <w:ind w:left="360" w:right="360" w:hanging="0"/>
        <w:jc w:val="center"/>
        <w:rPr/>
      </w:pPr>
      <w:r>
        <w:rPr>
          <w:b/>
        </w:rPr>
        <w:t>(in thousands, except per share data</w:t>
      </w:r>
      <w:r>
        <w:rPr/>
        <w:t>)</w:t>
      </w:r>
    </w:p>
    <w:p>
      <w:pPr>
        <w:pStyle w:val="TextBody"/>
        <w:bidi w:val="0"/>
        <w:spacing w:before="0" w:after="0"/>
        <w:jc w:val="left"/>
        <w:rPr/>
      </w:pPr>
      <w:r>
        <w:rPr/>
        <w:t> </w:t>
      </w:r>
    </w:p>
    <w:p>
      <w:pPr>
        <w:pStyle w:val="TextBody"/>
        <w:bidi w:val="0"/>
        <w:spacing w:lineRule="auto" w:line="300" w:before="0" w:after="0"/>
        <w:jc w:val="left"/>
        <w:rPr>
          <w:rFonts w:ascii="Times New Roman;Times;serif" w:hAnsi="Times New Roman;Times;serif"/>
          <w:b/>
          <w:sz w:val="20"/>
        </w:rPr>
      </w:pPr>
      <w:r>
        <w:rPr>
          <w:rFonts w:ascii="Times New Roman;Times;serif" w:hAnsi="Times New Roman;Times;serif"/>
          <w:b/>
          <w:sz w:val="20"/>
        </w:rPr>
        <w:t>NOTE 6:       DERIVATIVE INSTRUMENTS AND HEDGING ACTIVITIES</w:t>
      </w:r>
    </w:p>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sz w:val="20"/>
        </w:rPr>
      </w:pPr>
      <w:r>
        <w:rPr>
          <w:rFonts w:ascii="Times New Roman;Times;serif" w:hAnsi="Times New Roman;Times;serif"/>
          <w:sz w:val="20"/>
        </w:rPr>
        <w:t>The Company maintains a foreign currency cash flow hedging policy designed to mitigate exposure to fluctuations in exchange rates. Under this policy, the Company hedges portions of its anticipated payroll expenses denominated in New Israeli Shekels (“NIS”) for periods of one to nine months. These hedging contracts are designated as cash flow hedges in accordance with Accounting Standards Codification (“ASC”) 815, “Derivatives and Hedging” and are considered effective.</w:t>
      </w:r>
    </w:p>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sz w:val="20"/>
        </w:rPr>
      </w:pPr>
      <w:r>
        <w:rPr>
          <w:rFonts w:ascii="Times New Roman;Times;serif" w:hAnsi="Times New Roman;Times;serif"/>
          <w:sz w:val="20"/>
        </w:rPr>
        <w:t>As of June 30, 2026, the Company entered into forward contracts as well as put and call options to sell U.S. dollars (“USD”) in the amounts of NIS 264 million and NIS 33 million, respectively.</w:t>
      </w:r>
    </w:p>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sz w:val="20"/>
        </w:rPr>
      </w:pPr>
      <w:r>
        <w:rPr>
          <w:rFonts w:ascii="Times New Roman;Times;serif" w:hAnsi="Times New Roman;Times;serif"/>
          <w:sz w:val="20"/>
        </w:rPr>
        <w:t>In addition to the above-mentioned cash flow hedge transactions, the Company occasionally enters into derivative instrument arrangements to hedge the Company’s exposure to currencies other than USD. These derivative instruments are not designated as cash flow hedges, as defined by ASC 815, and therefore all gains and losses resulting from fair value remeasurement were recorded immediately in the condensed consolidated statement of loss under Financial income (expense), net.</w:t>
      </w:r>
    </w:p>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sz w:val="20"/>
        </w:rPr>
      </w:pPr>
      <w:r>
        <w:rPr>
          <w:rFonts w:ascii="Times New Roman;Times;serif" w:hAnsi="Times New Roman;Times;serif"/>
          <w:sz w:val="20"/>
        </w:rPr>
        <w:t>As of June 30, 2026, the Company entered into forward contracts to sell Euro (“EUR”) in the amounts of USD 35 million.</w:t>
      </w:r>
    </w:p>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sz w:val="20"/>
        </w:rPr>
      </w:pPr>
      <w:r>
        <w:rPr>
          <w:rFonts w:ascii="Times New Roman;Times;serif" w:hAnsi="Times New Roman;Times;serif"/>
          <w:sz w:val="20"/>
        </w:rPr>
        <w:t>The Company classifies cash flows related to its hedging as operating activities in its condensed consolidated statement of cash flows.</w:t>
      </w:r>
    </w:p>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sz w:val="20"/>
        </w:rPr>
      </w:pPr>
      <w:r>
        <w:rPr>
          <w:rFonts w:ascii="Times New Roman;Times;serif" w:hAnsi="Times New Roman;Times;serif"/>
          <w:sz w:val="20"/>
        </w:rPr>
        <w:t>The fair values of outstanding derivative instruments were as follows:</w:t>
      </w:r>
    </w:p>
    <w:p>
      <w:pPr>
        <w:pStyle w:val="TextBody"/>
        <w:bidi w:val="0"/>
        <w:spacing w:lineRule="auto" w:line="300" w:before="0" w:after="0"/>
        <w:jc w:val="left"/>
        <w:rPr/>
      </w:pPr>
      <w:r>
        <w:rPr/>
        <w:t> </w:t>
      </w:r>
    </w:p>
    <w:tbl>
      <w:tblPr>
        <w:tblW w:w="9768" w:type="dxa"/>
        <w:jc w:val="left"/>
        <w:tblInd w:w="0" w:type="dxa"/>
        <w:tblLayout w:type="fixed"/>
        <w:tblCellMar>
          <w:top w:w="0" w:type="dxa"/>
          <w:left w:w="0" w:type="dxa"/>
          <w:bottom w:w="0" w:type="dxa"/>
          <w:right w:w="0" w:type="dxa"/>
        </w:tblCellMar>
      </w:tblPr>
      <w:tblGrid>
        <w:gridCol w:w="4100"/>
        <w:gridCol w:w="60"/>
        <w:gridCol w:w="60"/>
        <w:gridCol w:w="3350"/>
        <w:gridCol w:w="60"/>
        <w:gridCol w:w="60"/>
        <w:gridCol w:w="148"/>
        <w:gridCol w:w="576"/>
        <w:gridCol w:w="60"/>
        <w:gridCol w:w="60"/>
        <w:gridCol w:w="319"/>
        <w:gridCol w:w="855"/>
        <w:gridCol w:w="60"/>
      </w:tblGrid>
      <w:tr>
        <w:trPr/>
        <w:tc>
          <w:tcPr>
            <w:tcW w:w="41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410"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Balance sheet location</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724"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June 30,</w:t>
            </w:r>
          </w:p>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2026</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74"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December 31,</w:t>
            </w:r>
          </w:p>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2025</w:t>
            </w:r>
          </w:p>
        </w:tc>
        <w:tc>
          <w:tcPr>
            <w:tcW w:w="60" w:type="dxa"/>
            <w:tcBorders/>
            <w:vAlign w:val="center"/>
          </w:tcPr>
          <w:p>
            <w:pPr>
              <w:pStyle w:val="TableContents"/>
              <w:bidi w:val="0"/>
              <w:spacing w:before="0" w:after="283"/>
              <w:jc w:val="left"/>
              <w:rPr/>
            </w:pPr>
            <w:r>
              <w:rPr/>
              <w:t> </w:t>
            </w:r>
          </w:p>
        </w:tc>
      </w:tr>
      <w:tr>
        <w:trPr/>
        <w:tc>
          <w:tcPr>
            <w:tcW w:w="4100"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Derivative assets of options and forward contracts:</w:t>
            </w:r>
          </w:p>
        </w:tc>
        <w:tc>
          <w:tcPr>
            <w:tcW w:w="60" w:type="dxa"/>
            <w:tcBorders/>
            <w:shd w:fill="CCEEFF" w:val="clear"/>
            <w:vAlign w:val="center"/>
          </w:tcPr>
          <w:p>
            <w:pPr>
              <w:pStyle w:val="TableContents"/>
              <w:bidi w:val="0"/>
              <w:spacing w:before="0" w:after="283"/>
              <w:jc w:val="left"/>
              <w:rPr/>
            </w:pPr>
            <w:r>
              <w:rPr/>
              <w:t> </w:t>
            </w:r>
          </w:p>
        </w:tc>
        <w:tc>
          <w:tcPr>
            <w:tcW w:w="3410" w:type="dxa"/>
            <w:gridSpan w:val="2"/>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4" w:type="dxa"/>
            <w:gridSpan w:val="2"/>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4" w:type="dxa"/>
            <w:gridSpan w:val="2"/>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4100" w:type="dxa"/>
            <w:tcBorders/>
            <w:vAlign w:val="center"/>
          </w:tcPr>
          <w:p>
            <w:pPr>
              <w:pStyle w:val="TableContents"/>
              <w:bidi w:val="0"/>
              <w:spacing w:lineRule="auto" w:line="300" w:before="0" w:after="0"/>
              <w:ind w:left="240" w:right="0" w:hanging="0"/>
              <w:jc w:val="left"/>
              <w:rPr>
                <w:rFonts w:ascii="Times New Roman;Times;serif" w:hAnsi="Times New Roman;Times;serif"/>
                <w:sz w:val="20"/>
              </w:rPr>
            </w:pPr>
            <w:r>
              <w:rPr>
                <w:rFonts w:ascii="Times New Roman;Times;serif" w:hAnsi="Times New Roman;Times;serif"/>
                <w:sz w:val="20"/>
              </w:rPr>
              <w:t>Designated cash flow hedges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3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Prepaid expenses and other current assets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8"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576"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3,872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19"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855"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705</w:t>
            </w:r>
          </w:p>
        </w:tc>
        <w:tc>
          <w:tcPr>
            <w:tcW w:w="60" w:type="dxa"/>
            <w:tcBorders/>
            <w:vAlign w:val="center"/>
          </w:tcPr>
          <w:p>
            <w:pPr>
              <w:pStyle w:val="TableContents"/>
              <w:bidi w:val="0"/>
              <w:spacing w:before="0" w:after="283"/>
              <w:jc w:val="left"/>
              <w:rPr/>
            </w:pPr>
            <w:r>
              <w:rPr/>
              <w:t> </w:t>
            </w:r>
          </w:p>
        </w:tc>
      </w:tr>
      <w:tr>
        <w:trPr/>
        <w:tc>
          <w:tcPr>
            <w:tcW w:w="4100" w:type="dxa"/>
            <w:tcBorders/>
            <w:shd w:fill="CCEEFF" w:val="clear"/>
            <w:vAlign w:val="center"/>
          </w:tcPr>
          <w:p>
            <w:pPr>
              <w:pStyle w:val="TableContents"/>
              <w:bidi w:val="0"/>
              <w:spacing w:lineRule="auto" w:line="300" w:before="0" w:after="0"/>
              <w:ind w:left="240" w:right="0" w:hanging="0"/>
              <w:jc w:val="left"/>
              <w:rPr>
                <w:rFonts w:ascii="Times New Roman;Times;serif" w:hAnsi="Times New Roman;Times;serif"/>
                <w:sz w:val="20"/>
              </w:rPr>
            </w:pPr>
            <w:r>
              <w:rPr>
                <w:rFonts w:ascii="Times New Roman;Times;serif" w:hAnsi="Times New Roman;Times;serif"/>
                <w:sz w:val="20"/>
              </w:rPr>
              <w:t>Non-designated hedges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350"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Prepaid expenses and other current assets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576" w:type="dxa"/>
            <w:tcBorders>
              <w:bottom w:val="single" w:sz="12" w:space="0" w:color="000000"/>
            </w:tcBorders>
            <w:shd w:fill="CCEEFF" w:val="clear"/>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1,108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1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55" w:type="dxa"/>
            <w:tcBorders>
              <w:bottom w:val="single" w:sz="12" w:space="0" w:color="000000"/>
            </w:tcBorders>
            <w:shd w:fill="CCEEFF" w:val="clear"/>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r>
      <w:tr>
        <w:trPr/>
        <w:tc>
          <w:tcPr>
            <w:tcW w:w="4100"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Total derivative assets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35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8" w:type="dxa"/>
            <w:tcBorders>
              <w:bottom w:val="double" w:sz="8" w:space="0" w:color="000000"/>
            </w:tcBorders>
            <w:tcMar>
              <w:bottom w:w="28" w:type="dxa"/>
            </w:tcM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576" w:type="dxa"/>
            <w:tcBorders>
              <w:bottom w:val="double" w:sz="8" w:space="0" w:color="000000"/>
            </w:tcBorders>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4,980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19" w:type="dxa"/>
            <w:tcBorders>
              <w:bottom w:val="double" w:sz="8" w:space="0" w:color="000000"/>
            </w:tcBorders>
            <w:tcMar>
              <w:bottom w:w="28" w:type="dxa"/>
            </w:tcM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855" w:type="dxa"/>
            <w:tcBorders>
              <w:bottom w:val="double" w:sz="8" w:space="0" w:color="000000"/>
            </w:tcBorders>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705</w:t>
            </w:r>
          </w:p>
        </w:tc>
        <w:tc>
          <w:tcPr>
            <w:tcW w:w="60" w:type="dxa"/>
            <w:tcBorders/>
            <w:vAlign w:val="center"/>
          </w:tcPr>
          <w:p>
            <w:pPr>
              <w:pStyle w:val="TableContents"/>
              <w:bidi w:val="0"/>
              <w:spacing w:before="0" w:after="283"/>
              <w:jc w:val="left"/>
              <w:rPr/>
            </w:pPr>
            <w:r>
              <w:rPr/>
              <w:t> </w:t>
            </w:r>
          </w:p>
        </w:tc>
      </w:tr>
    </w:tbl>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sz w:val="20"/>
        </w:rPr>
      </w:pPr>
      <w:r>
        <w:rPr>
          <w:rFonts w:ascii="Times New Roman;Times;serif" w:hAnsi="Times New Roman;Times;serif"/>
          <w:sz w:val="20"/>
        </w:rPr>
        <w:t>Gains (losses) on derivative instruments are summarized below:</w:t>
      </w:r>
    </w:p>
    <w:p>
      <w:pPr>
        <w:pStyle w:val="TextBody"/>
        <w:bidi w:val="0"/>
        <w:spacing w:lineRule="auto" w:line="300"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957"/>
        <w:gridCol w:w="4743"/>
        <w:gridCol w:w="60"/>
        <w:gridCol w:w="142"/>
        <w:gridCol w:w="636"/>
        <w:gridCol w:w="68"/>
        <w:gridCol w:w="68"/>
        <w:gridCol w:w="142"/>
        <w:gridCol w:w="636"/>
        <w:gridCol w:w="80"/>
        <w:gridCol w:w="60"/>
        <w:gridCol w:w="128"/>
        <w:gridCol w:w="575"/>
        <w:gridCol w:w="61"/>
        <w:gridCol w:w="61"/>
        <w:gridCol w:w="128"/>
        <w:gridCol w:w="575"/>
        <w:gridCol w:w="85"/>
      </w:tblGrid>
      <w:tr>
        <w:trPr/>
        <w:tc>
          <w:tcPr>
            <w:tcW w:w="1957" w:type="dxa"/>
            <w:tcBorders/>
            <w:vAlign w:val="center"/>
          </w:tcPr>
          <w:p>
            <w:pPr>
              <w:pStyle w:val="TableContents"/>
              <w:bidi w:val="0"/>
              <w:spacing w:before="0" w:after="283"/>
              <w:jc w:val="left"/>
              <w:rPr/>
            </w:pPr>
            <w:r>
              <w:rPr/>
              <w:t> </w:t>
            </w:r>
          </w:p>
        </w:tc>
        <w:tc>
          <w:tcPr>
            <w:tcW w:w="474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92" w:type="dxa"/>
            <w:gridSpan w:val="6"/>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Three Months Ended</w:t>
            </w:r>
          </w:p>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June 30,</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28" w:type="dxa"/>
            <w:gridSpan w:val="6"/>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Six Months Ended</w:t>
            </w:r>
          </w:p>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June 30,</w:t>
            </w:r>
          </w:p>
        </w:tc>
        <w:tc>
          <w:tcPr>
            <w:tcW w:w="85" w:type="dxa"/>
            <w:tcBorders/>
            <w:vAlign w:val="center"/>
          </w:tcPr>
          <w:p>
            <w:pPr>
              <w:pStyle w:val="TableContents"/>
              <w:bidi w:val="0"/>
              <w:spacing w:before="0" w:after="283"/>
              <w:jc w:val="left"/>
              <w:rPr/>
            </w:pPr>
            <w:r>
              <w:rPr/>
              <w:t> </w:t>
            </w:r>
          </w:p>
        </w:tc>
      </w:tr>
      <w:tr>
        <w:trPr/>
        <w:tc>
          <w:tcPr>
            <w:tcW w:w="1957" w:type="dxa"/>
            <w:tcBorders/>
            <w:vAlign w:val="center"/>
          </w:tcPr>
          <w:p>
            <w:pPr>
              <w:pStyle w:val="TableContents"/>
              <w:bidi w:val="0"/>
              <w:spacing w:before="0" w:after="283"/>
              <w:jc w:val="left"/>
              <w:rPr/>
            </w:pPr>
            <w:r>
              <w:rPr/>
              <w:t> </w:t>
            </w:r>
          </w:p>
        </w:tc>
        <w:tc>
          <w:tcPr>
            <w:tcW w:w="4743" w:type="dxa"/>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Affected line item</w:t>
            </w:r>
          </w:p>
        </w:tc>
        <w:tc>
          <w:tcPr>
            <w:tcW w:w="60" w:type="dxa"/>
            <w:tcBorders/>
            <w:vAlign w:val="center"/>
          </w:tcPr>
          <w:p>
            <w:pPr>
              <w:pStyle w:val="TableContents"/>
              <w:bidi w:val="0"/>
              <w:spacing w:before="0" w:after="283"/>
              <w:jc w:val="left"/>
              <w:rPr/>
            </w:pPr>
            <w:r>
              <w:rPr/>
              <w:t> </w:t>
            </w:r>
          </w:p>
        </w:tc>
        <w:tc>
          <w:tcPr>
            <w:tcW w:w="778"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2026</w:t>
            </w:r>
          </w:p>
        </w:tc>
        <w:tc>
          <w:tcPr>
            <w:tcW w:w="68" w:type="dxa"/>
            <w:tcBorders/>
            <w:vAlign w:val="center"/>
          </w:tcPr>
          <w:p>
            <w:pPr>
              <w:pStyle w:val="TableContents"/>
              <w:bidi w:val="0"/>
              <w:spacing w:before="0" w:after="283"/>
              <w:jc w:val="left"/>
              <w:rPr/>
            </w:pPr>
            <w:r>
              <w:rPr/>
              <w:t> </w:t>
            </w:r>
          </w:p>
        </w:tc>
        <w:tc>
          <w:tcPr>
            <w:tcW w:w="68" w:type="dxa"/>
            <w:tcBorders/>
            <w:vAlign w:val="center"/>
          </w:tcPr>
          <w:p>
            <w:pPr>
              <w:pStyle w:val="TableContents"/>
              <w:bidi w:val="0"/>
              <w:spacing w:before="0" w:after="283"/>
              <w:jc w:val="left"/>
              <w:rPr/>
            </w:pPr>
            <w:r>
              <w:rPr/>
              <w:t> </w:t>
            </w:r>
          </w:p>
        </w:tc>
        <w:tc>
          <w:tcPr>
            <w:tcW w:w="778"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2025</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3"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2026</w:t>
            </w:r>
          </w:p>
        </w:tc>
        <w:tc>
          <w:tcPr>
            <w:tcW w:w="61"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703"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2025</w:t>
            </w:r>
          </w:p>
        </w:tc>
        <w:tc>
          <w:tcPr>
            <w:tcW w:w="85" w:type="dxa"/>
            <w:tcBorders/>
            <w:vAlign w:val="center"/>
          </w:tcPr>
          <w:p>
            <w:pPr>
              <w:pStyle w:val="TableContents"/>
              <w:bidi w:val="0"/>
              <w:spacing w:before="0" w:after="283"/>
              <w:jc w:val="left"/>
              <w:rPr/>
            </w:pPr>
            <w:r>
              <w:rPr/>
              <w:t> </w:t>
            </w:r>
          </w:p>
        </w:tc>
      </w:tr>
      <w:tr>
        <w:trPr/>
        <w:tc>
          <w:tcPr>
            <w:tcW w:w="1957"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Foreign exchange contracts</w:t>
            </w:r>
          </w:p>
        </w:tc>
        <w:tc>
          <w:tcPr>
            <w:tcW w:w="474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78" w:type="dxa"/>
            <w:gridSpan w:val="2"/>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778" w:type="dxa"/>
            <w:gridSpan w:val="2"/>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3" w:type="dxa"/>
            <w:gridSpan w:val="2"/>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703" w:type="dxa"/>
            <w:gridSpan w:val="2"/>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r>
      <w:tr>
        <w:trPr/>
        <w:tc>
          <w:tcPr>
            <w:tcW w:w="1957" w:type="dxa"/>
            <w:tcBorders/>
            <w:vAlign w:val="center"/>
          </w:tcPr>
          <w:p>
            <w:pPr>
              <w:pStyle w:val="TableContents"/>
              <w:bidi w:val="0"/>
              <w:spacing w:lineRule="auto" w:line="300" w:before="0" w:after="0"/>
              <w:ind w:left="240" w:right="0" w:hanging="0"/>
              <w:jc w:val="left"/>
              <w:rPr>
                <w:rFonts w:ascii="Times New Roman;Times;serif" w:hAnsi="Times New Roman;Times;serif"/>
                <w:sz w:val="20"/>
              </w:rPr>
            </w:pPr>
            <w:r>
              <w:rPr>
                <w:rFonts w:ascii="Times New Roman;Times;serif" w:hAnsi="Times New Roman;Times;serif"/>
                <w:sz w:val="20"/>
              </w:rPr>
              <w:t>Non-designated</w:t>
            </w:r>
          </w:p>
          <w:p>
            <w:pPr>
              <w:pStyle w:val="TableContents"/>
              <w:bidi w:val="0"/>
              <w:spacing w:lineRule="auto" w:line="300" w:before="0" w:after="0"/>
              <w:ind w:left="240" w:right="0" w:hanging="0"/>
              <w:jc w:val="left"/>
              <w:rPr>
                <w:rFonts w:ascii="Times New Roman;Times;serif" w:hAnsi="Times New Roman;Times;serif"/>
                <w:sz w:val="20"/>
              </w:rPr>
            </w:pPr>
            <w:r>
              <w:rPr>
                <w:rFonts w:ascii="Times New Roman;Times;serif" w:hAnsi="Times New Roman;Times;serif"/>
                <w:sz w:val="20"/>
              </w:rPr>
              <w:t>hedging instruments</w:t>
            </w:r>
          </w:p>
        </w:tc>
        <w:tc>
          <w:tcPr>
            <w:tcW w:w="4743"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Condensed consolidated statements of loss - Financial income (expense), net</w:t>
            </w:r>
          </w:p>
        </w:tc>
        <w:tc>
          <w:tcPr>
            <w:tcW w:w="60" w:type="dxa"/>
            <w:tcBorders/>
            <w:vAlign w:val="center"/>
          </w:tcPr>
          <w:p>
            <w:pPr>
              <w:pStyle w:val="TableContents"/>
              <w:bidi w:val="0"/>
              <w:spacing w:before="0" w:after="283"/>
              <w:jc w:val="right"/>
              <w:rPr/>
            </w:pPr>
            <w:r>
              <w:rPr/>
              <w:t> </w:t>
            </w:r>
          </w:p>
        </w:tc>
        <w:tc>
          <w:tcPr>
            <w:tcW w:w="142"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36"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381</w:t>
            </w:r>
          </w:p>
        </w:tc>
        <w:tc>
          <w:tcPr>
            <w:tcW w:w="68" w:type="dxa"/>
            <w:tcBorders/>
            <w:vAlign w:val="center"/>
          </w:tcPr>
          <w:p>
            <w:pPr>
              <w:pStyle w:val="TableContents"/>
              <w:bidi w:val="0"/>
              <w:spacing w:before="0" w:after="283"/>
              <w:jc w:val="left"/>
              <w:rPr/>
            </w:pPr>
            <w:r>
              <w:rPr/>
              <w:t> </w:t>
            </w:r>
          </w:p>
        </w:tc>
        <w:tc>
          <w:tcPr>
            <w:tcW w:w="68" w:type="dxa"/>
            <w:tcBorders/>
            <w:vAlign w:val="center"/>
          </w:tcPr>
          <w:p>
            <w:pPr>
              <w:pStyle w:val="TableContents"/>
              <w:bidi w:val="0"/>
              <w:spacing w:before="0" w:after="283"/>
              <w:jc w:val="right"/>
              <w:rPr/>
            </w:pPr>
            <w:r>
              <w:rPr/>
              <w:t> </w:t>
            </w:r>
          </w:p>
        </w:tc>
        <w:tc>
          <w:tcPr>
            <w:tcW w:w="142"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36"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(4,185</w:t>
            </w:r>
          </w:p>
        </w:tc>
        <w:tc>
          <w:tcPr>
            <w:tcW w:w="80"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vAlign w:val="center"/>
          </w:tcPr>
          <w:p>
            <w:pPr>
              <w:pStyle w:val="TableContents"/>
              <w:bidi w:val="0"/>
              <w:spacing w:before="0" w:after="283"/>
              <w:jc w:val="right"/>
              <w:rPr/>
            </w:pPr>
            <w:r>
              <w:rPr/>
              <w:t> </w:t>
            </w:r>
          </w:p>
        </w:tc>
        <w:tc>
          <w:tcPr>
            <w:tcW w:w="128"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575"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502</w:t>
            </w:r>
          </w:p>
        </w:tc>
        <w:tc>
          <w:tcPr>
            <w:tcW w:w="61"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right"/>
              <w:rPr/>
            </w:pPr>
            <w:r>
              <w:rPr/>
              <w:t> </w:t>
            </w:r>
          </w:p>
        </w:tc>
        <w:tc>
          <w:tcPr>
            <w:tcW w:w="128"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575"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(4,185</w:t>
            </w:r>
          </w:p>
        </w:tc>
        <w:tc>
          <w:tcPr>
            <w:tcW w:w="85"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r>
      <w:tr>
        <w:trPr/>
        <w:tc>
          <w:tcPr>
            <w:tcW w:w="1957" w:type="dxa"/>
            <w:tcBorders/>
            <w:shd w:fill="CCEEFF" w:val="clear"/>
            <w:vAlign w:val="center"/>
          </w:tcPr>
          <w:p>
            <w:pPr>
              <w:pStyle w:val="TableContents"/>
              <w:bidi w:val="0"/>
              <w:spacing w:lineRule="auto" w:line="300" w:before="0" w:after="0"/>
              <w:ind w:left="240" w:right="0" w:hanging="0"/>
              <w:jc w:val="left"/>
              <w:rPr>
                <w:rFonts w:ascii="Times New Roman;Times;serif" w:hAnsi="Times New Roman;Times;serif"/>
                <w:sz w:val="20"/>
              </w:rPr>
            </w:pPr>
            <w:r>
              <w:rPr>
                <w:rFonts w:ascii="Times New Roman;Times;serif" w:hAnsi="Times New Roman;Times;serif"/>
                <w:sz w:val="20"/>
              </w:rPr>
              <w:t>Designated</w:t>
            </w:r>
          </w:p>
          <w:p>
            <w:pPr>
              <w:pStyle w:val="TableContents"/>
              <w:bidi w:val="0"/>
              <w:spacing w:lineRule="auto" w:line="300" w:before="0" w:after="0"/>
              <w:ind w:left="240" w:right="0" w:hanging="0"/>
              <w:jc w:val="left"/>
              <w:rPr>
                <w:rFonts w:ascii="Times New Roman;Times;serif" w:hAnsi="Times New Roman;Times;serif"/>
                <w:sz w:val="20"/>
              </w:rPr>
            </w:pPr>
            <w:r>
              <w:rPr>
                <w:rFonts w:ascii="Times New Roman;Times;serif" w:hAnsi="Times New Roman;Times;serif"/>
                <w:sz w:val="20"/>
              </w:rPr>
              <w:t>hedging instruments</w:t>
            </w:r>
          </w:p>
        </w:tc>
        <w:tc>
          <w:tcPr>
            <w:tcW w:w="4743"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Condensed consolidated statements of comprehensive loss - Cash flow hedges</w:t>
            </w:r>
          </w:p>
        </w:tc>
        <w:tc>
          <w:tcPr>
            <w:tcW w:w="60" w:type="dxa"/>
            <w:tcBorders/>
            <w:shd w:fill="CCEEFF" w:val="clear"/>
            <w:vAlign w:val="center"/>
          </w:tcPr>
          <w:p>
            <w:pPr>
              <w:pStyle w:val="TableContents"/>
              <w:bidi w:val="0"/>
              <w:spacing w:before="0" w:after="283"/>
              <w:jc w:val="right"/>
              <w:rPr/>
            </w:pPr>
            <w:r>
              <w:rPr/>
              <w:t> </w:t>
            </w:r>
          </w:p>
        </w:tc>
        <w:tc>
          <w:tcPr>
            <w:tcW w:w="142"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36" w:type="dxa"/>
            <w:tcBorders/>
            <w:shd w:fill="CCEEFF" w:val="clear"/>
            <w:vAlign w:val="center"/>
          </w:tcPr>
          <w:p>
            <w:pPr>
              <w:pStyle w:val="TableContents"/>
              <w:bidi w:val="0"/>
              <w:spacing w:lineRule="auto" w:line="300" w:before="0" w:after="0"/>
              <w:jc w:val="right"/>
              <w:rPr/>
            </w:pPr>
            <w:r>
              <w:rPr/>
              <w:t>6,981</w:t>
            </w:r>
          </w:p>
        </w:tc>
        <w:tc>
          <w:tcPr>
            <w:tcW w:w="68"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right"/>
              <w:rPr/>
            </w:pPr>
            <w:r>
              <w:rPr/>
              <w:t> </w:t>
            </w:r>
          </w:p>
        </w:tc>
        <w:tc>
          <w:tcPr>
            <w:tcW w:w="142"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36" w:type="dxa"/>
            <w:tcBorders/>
            <w:shd w:fill="CCEEFF" w:val="clear"/>
            <w:vAlign w:val="center"/>
          </w:tcPr>
          <w:p>
            <w:pPr>
              <w:pStyle w:val="TableContents"/>
              <w:bidi w:val="0"/>
              <w:spacing w:lineRule="auto" w:line="300" w:before="0" w:after="0"/>
              <w:jc w:val="right"/>
              <w:rPr/>
            </w:pPr>
            <w:r>
              <w:rPr/>
              <w:t>6,786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right"/>
              <w:rPr/>
            </w:pPr>
            <w:r>
              <w:rPr/>
              <w:t> </w:t>
            </w:r>
          </w:p>
        </w:tc>
        <w:tc>
          <w:tcPr>
            <w:tcW w:w="128"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575" w:type="dxa"/>
            <w:tcBorders/>
            <w:shd w:fill="CCEEFF" w:val="clear"/>
            <w:vAlign w:val="center"/>
          </w:tcPr>
          <w:p>
            <w:pPr>
              <w:pStyle w:val="TableContents"/>
              <w:bidi w:val="0"/>
              <w:spacing w:lineRule="auto" w:line="300" w:before="0" w:after="0"/>
              <w:jc w:val="right"/>
              <w:rPr/>
            </w:pPr>
            <w:r>
              <w:rPr/>
              <w:t>7,218</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right"/>
              <w:rPr/>
            </w:pPr>
            <w:r>
              <w:rPr/>
              <w:t> </w:t>
            </w:r>
          </w:p>
        </w:tc>
        <w:tc>
          <w:tcPr>
            <w:tcW w:w="128"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575" w:type="dxa"/>
            <w:tcBorders/>
            <w:shd w:fill="CCEEFF" w:val="clear"/>
            <w:vAlign w:val="center"/>
          </w:tcPr>
          <w:p>
            <w:pPr>
              <w:pStyle w:val="TableContents"/>
              <w:bidi w:val="0"/>
              <w:spacing w:lineRule="auto" w:line="300" w:before="0" w:after="0"/>
              <w:jc w:val="right"/>
              <w:rPr/>
            </w:pPr>
            <w:r>
              <w:rPr/>
              <w:t>6,298</w:t>
            </w:r>
          </w:p>
        </w:tc>
        <w:tc>
          <w:tcPr>
            <w:tcW w:w="85" w:type="dxa"/>
            <w:tcBorders/>
            <w:shd w:fill="CCEEFF" w:val="clear"/>
            <w:vAlign w:val="center"/>
          </w:tcPr>
          <w:p>
            <w:pPr>
              <w:pStyle w:val="TableContents"/>
              <w:bidi w:val="0"/>
              <w:spacing w:before="0" w:after="283"/>
              <w:jc w:val="left"/>
              <w:rPr/>
            </w:pPr>
            <w:r>
              <w:rPr/>
              <w:t> </w:t>
            </w:r>
          </w:p>
        </w:tc>
      </w:tr>
    </w:tbl>
    <w:p>
      <w:pPr>
        <w:pStyle w:val="TextBody"/>
        <w:bidi w:val="0"/>
        <w:spacing w:lineRule="auto" w:line="300" w:before="0" w:after="0"/>
        <w:jc w:val="left"/>
        <w:rPr/>
      </w:pPr>
      <w:r>
        <w:rPr/>
        <w:t> </w:t>
      </w:r>
    </w:p>
    <w:p>
      <w:pPr>
        <w:pStyle w:val="TextBody"/>
        <w:bidi w:val="0"/>
        <w:spacing w:lineRule="auto" w:line="300"/>
        <w:jc w:val="both"/>
        <w:rPr>
          <w:rFonts w:ascii="Times New Roman;Times;serif" w:hAnsi="Times New Roman;Times;serif"/>
          <w:sz w:val="20"/>
        </w:rPr>
      </w:pPr>
      <w:r>
        <w:rPr>
          <w:rFonts w:ascii="Times New Roman;Times;serif" w:hAnsi="Times New Roman;Times;serif"/>
          <w:sz w:val="20"/>
        </w:rPr>
        <w:t>See Note 15, Accumulated Other Comprehensive Income (Loss), for information regarding gains (losses) from designated hedging instruments reclassified from accumulated other comprehensive income (loss).</w:t>
      </w:r>
    </w:p>
    <w:p>
      <w:pPr>
        <w:pStyle w:val="TextBody"/>
        <w:bidi w:val="0"/>
        <w:spacing w:before="0" w:after="0"/>
        <w:jc w:val="left"/>
        <w:rPr/>
      </w:pPr>
      <w:r>
        <w:rPr/>
        <w:t> </w:t>
      </w:r>
    </w:p>
    <w:p>
      <w:pPr>
        <w:pStyle w:val="TextBody"/>
        <w:bidi w:val="0"/>
        <w:spacing w:before="200" w:after="283"/>
        <w:jc w:val="center"/>
        <w:rPr/>
      </w:pPr>
      <w:r>
        <w:rPr>
          <w:b w:val="false"/>
          <w:i w:val="false"/>
          <w:caps w:val="false"/>
          <w:smallCaps w:val="false"/>
        </w:rPr>
        <w:t xml:space="preserve">SOLAREDGE TECHNOLOGIES INC. | 2026 Form 10-Q | F - </w:t>
      </w:r>
      <w:r>
        <w:rPr>
          <w:rFonts w:ascii="Times New Roman;Times;serif" w:hAnsi="Times New Roman;Times;serif"/>
          <w:sz w:val="20"/>
        </w:rPr>
        <w:t>15</w:t>
      </w:r>
    </w:p>
    <w:p>
      <w:pPr>
        <w:pStyle w:val="HorizontalLine"/>
        <w:bidi w:val="0"/>
        <w:spacing w:before="0" w:after="0"/>
        <w:jc w:val="left"/>
        <w:rPr/>
      </w:pPr>
      <w:r>
        <w:rPr/>
      </w:r>
    </w:p>
    <w:p>
      <w:pPr>
        <w:pStyle w:val="TextBody"/>
        <w:bidi w:val="0"/>
        <w:spacing w:before="0" w:after="0"/>
        <w:jc w:val="left"/>
        <w:rPr/>
      </w:pPr>
      <w:r>
        <w:rPr/>
        <w:t> </w:t>
      </w:r>
    </w:p>
    <w:p>
      <w:pPr>
        <w:pStyle w:val="TextBody"/>
        <w:bidi w:val="0"/>
        <w:spacing w:lineRule="auto" w:line="300" w:before="0" w:after="0"/>
        <w:ind w:left="360" w:right="360" w:hanging="0"/>
        <w:jc w:val="center"/>
        <w:rPr>
          <w:b/>
        </w:rPr>
      </w:pPr>
      <w:r>
        <w:rPr>
          <w:b/>
        </w:rPr>
        <w:t>SOLAREDGE TECHNOLOGIES, INC.</w:t>
      </w:r>
    </w:p>
    <w:p>
      <w:pPr>
        <w:pStyle w:val="TextBody"/>
        <w:bidi w:val="0"/>
        <w:spacing w:lineRule="auto" w:line="300" w:before="0" w:after="0"/>
        <w:jc w:val="left"/>
        <w:rPr/>
      </w:pPr>
      <w:r>
        <w:rPr/>
        <w:t> </w:t>
      </w:r>
    </w:p>
    <w:p>
      <w:pPr>
        <w:pStyle w:val="TextBody"/>
        <w:bidi w:val="0"/>
        <w:spacing w:lineRule="auto" w:line="300" w:before="0" w:after="0"/>
        <w:ind w:left="360" w:right="360" w:hanging="0"/>
        <w:jc w:val="center"/>
        <w:rPr>
          <w:b/>
        </w:rPr>
      </w:pPr>
      <w:r>
        <w:rPr>
          <w:b/>
        </w:rPr>
        <w:t>NOTES TO CONDENSED CONSOLIDATED FINANCIAL STATEMENTS (Unaudited)</w:t>
      </w:r>
    </w:p>
    <w:p>
      <w:pPr>
        <w:pStyle w:val="TextBody"/>
        <w:bidi w:val="0"/>
        <w:spacing w:lineRule="auto" w:line="300" w:before="0" w:after="0"/>
        <w:jc w:val="left"/>
        <w:rPr/>
      </w:pPr>
      <w:r>
        <w:rPr/>
        <w:t> </w:t>
      </w:r>
    </w:p>
    <w:p>
      <w:pPr>
        <w:pStyle w:val="TextBody"/>
        <w:bidi w:val="0"/>
        <w:spacing w:lineRule="auto" w:line="300"/>
        <w:ind w:left="360" w:right="360" w:hanging="0"/>
        <w:jc w:val="center"/>
        <w:rPr/>
      </w:pPr>
      <w:r>
        <w:rPr>
          <w:b/>
        </w:rPr>
        <w:t>(in thousands, except per share data</w:t>
      </w:r>
      <w:r>
        <w:rPr/>
        <w:t>)</w:t>
      </w:r>
    </w:p>
    <w:p>
      <w:pPr>
        <w:pStyle w:val="TextBody"/>
        <w:bidi w:val="0"/>
        <w:spacing w:before="0" w:after="0"/>
        <w:jc w:val="left"/>
        <w:rPr/>
      </w:pPr>
      <w:r>
        <w:rPr/>
        <w:t> </w:t>
      </w:r>
    </w:p>
    <w:p>
      <w:pPr>
        <w:pStyle w:val="TextBody"/>
        <w:bidi w:val="0"/>
        <w:spacing w:lineRule="auto" w:line="300" w:before="0" w:after="0"/>
        <w:jc w:val="left"/>
        <w:rPr>
          <w:rFonts w:ascii="Times New Roman;Times;serif" w:hAnsi="Times New Roman;Times;serif"/>
          <w:b/>
          <w:sz w:val="20"/>
        </w:rPr>
      </w:pPr>
      <w:r>
        <w:rPr>
          <w:rFonts w:ascii="Times New Roman;Times;serif" w:hAnsi="Times New Roman;Times;serif"/>
          <w:b/>
          <w:sz w:val="20"/>
        </w:rPr>
        <w:t>NOTE 7:       FAIR VALUE MEASUREMENTS</w:t>
      </w:r>
    </w:p>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sz w:val="20"/>
        </w:rPr>
      </w:pPr>
      <w:r>
        <w:rPr>
          <w:rFonts w:ascii="Times New Roman;Times;serif" w:hAnsi="Times New Roman;Times;serif"/>
          <w:sz w:val="20"/>
        </w:rPr>
        <w:t>In accordance with ASC 820, “Fair Value Measurement”, the Company measures its cash equivalents and marketable securities, at fair value using the market approach valuation technique. Cash and cash equivalents are classified within Level 1 because these assets are valued using quoted market prices. Marketable securities and foreign currency derivative contracts are classified within level 2 due to these assets being valued by alternative pricing sources and models utilizing market observable inputs.</w:t>
      </w:r>
    </w:p>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sz w:val="20"/>
        </w:rPr>
      </w:pPr>
      <w:r>
        <w:rPr>
          <w:rFonts w:ascii="Times New Roman;Times;serif" w:hAnsi="Times New Roman;Times;serif"/>
          <w:sz w:val="20"/>
        </w:rPr>
        <w:t>The following table sets forth the Company’s assets that were measured at fair value as of June 30, 2026, and December 31, 2025 by level within the fair value hierarchy:</w:t>
      </w:r>
    </w:p>
    <w:p>
      <w:pPr>
        <w:pStyle w:val="TextBody"/>
        <w:bidi w:val="0"/>
        <w:spacing w:lineRule="auto" w:line="300" w:before="0" w:after="0"/>
        <w:jc w:val="left"/>
        <w:rPr/>
      </w:pPr>
      <w:r>
        <w:rPr/>
        <w:t> </w:t>
      </w:r>
    </w:p>
    <w:tbl>
      <w:tblPr>
        <w:tblW w:w="7520" w:type="dxa"/>
        <w:jc w:val="left"/>
        <w:tblInd w:w="0" w:type="dxa"/>
        <w:tblLayout w:type="fixed"/>
        <w:tblCellMar>
          <w:top w:w="0" w:type="dxa"/>
          <w:left w:w="0" w:type="dxa"/>
          <w:bottom w:w="0" w:type="dxa"/>
          <w:right w:w="0" w:type="dxa"/>
        </w:tblCellMar>
      </w:tblPr>
      <w:tblGrid>
        <w:gridCol w:w="2855"/>
        <w:gridCol w:w="60"/>
        <w:gridCol w:w="1865"/>
        <w:gridCol w:w="60"/>
        <w:gridCol w:w="184"/>
        <w:gridCol w:w="1026"/>
        <w:gridCol w:w="88"/>
        <w:gridCol w:w="88"/>
        <w:gridCol w:w="185"/>
        <w:gridCol w:w="1034"/>
        <w:gridCol w:w="75"/>
      </w:tblGrid>
      <w:tr>
        <w:trPr/>
        <w:tc>
          <w:tcPr>
            <w:tcW w:w="28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6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2605" w:type="dxa"/>
            <w:gridSpan w:val="6"/>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Fair value measurements as of</w:t>
            </w:r>
          </w:p>
        </w:tc>
        <w:tc>
          <w:tcPr>
            <w:tcW w:w="75" w:type="dxa"/>
            <w:tcBorders/>
            <w:vAlign w:val="center"/>
          </w:tcPr>
          <w:p>
            <w:pPr>
              <w:pStyle w:val="TableContents"/>
              <w:bidi w:val="0"/>
              <w:spacing w:before="0" w:after="283"/>
              <w:jc w:val="left"/>
              <w:rPr/>
            </w:pPr>
            <w:r>
              <w:rPr/>
              <w:t> </w:t>
            </w:r>
          </w:p>
        </w:tc>
      </w:tr>
      <w:tr>
        <w:trPr/>
        <w:tc>
          <w:tcPr>
            <w:tcW w:w="2855" w:type="dxa"/>
            <w:tcBorders>
              <w:bottom w:val="single" w:sz="12" w:space="0" w:color="000000"/>
            </w:tcBorders>
            <w:tcMar>
              <w:bottom w:w="28" w:type="dxa"/>
            </w:tcMar>
            <w:vAlign w:val="center"/>
          </w:tcPr>
          <w:p>
            <w:pPr>
              <w:pStyle w:val="TableContents"/>
              <w:bidi w:val="0"/>
              <w:spacing w:lineRule="auto" w:line="300" w:before="0" w:after="0"/>
              <w:ind w:left="0" w:right="0" w:firstLine="360"/>
              <w:jc w:val="center"/>
              <w:rPr>
                <w:rFonts w:ascii="Times New Roman;Times;serif" w:hAnsi="Times New Roman;Times;serif"/>
                <w:b/>
                <w:sz w:val="20"/>
              </w:rPr>
            </w:pPr>
            <w:r>
              <w:rPr>
                <w:rFonts w:ascii="Times New Roman;Times;serif" w:hAnsi="Times New Roman;Times;serif"/>
                <w:b/>
                <w:sz w:val="20"/>
              </w:rPr>
              <w:t>Description</w:t>
            </w:r>
          </w:p>
        </w:tc>
        <w:tc>
          <w:tcPr>
            <w:tcW w:w="60" w:type="dxa"/>
            <w:tcBorders/>
            <w:vAlign w:val="center"/>
          </w:tcPr>
          <w:p>
            <w:pPr>
              <w:pStyle w:val="TableContents"/>
              <w:bidi w:val="0"/>
              <w:spacing w:before="0" w:after="283"/>
              <w:jc w:val="left"/>
              <w:rPr/>
            </w:pPr>
            <w:r>
              <w:rPr/>
              <w:t> </w:t>
            </w:r>
          </w:p>
        </w:tc>
        <w:tc>
          <w:tcPr>
            <w:tcW w:w="1865" w:type="dxa"/>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Fair Value Hierarchy</w:t>
            </w:r>
          </w:p>
        </w:tc>
        <w:tc>
          <w:tcPr>
            <w:tcW w:w="60" w:type="dxa"/>
            <w:tcBorders/>
            <w:vAlign w:val="center"/>
          </w:tcPr>
          <w:p>
            <w:pPr>
              <w:pStyle w:val="TableContents"/>
              <w:bidi w:val="0"/>
              <w:spacing w:before="0" w:after="283"/>
              <w:jc w:val="center"/>
              <w:rPr/>
            </w:pPr>
            <w:r>
              <w:rPr/>
              <w:t> </w:t>
            </w:r>
          </w:p>
        </w:tc>
        <w:tc>
          <w:tcPr>
            <w:tcW w:w="1210"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June 30, </w:t>
            </w:r>
          </w:p>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2026</w:t>
            </w:r>
          </w:p>
        </w:tc>
        <w:tc>
          <w:tcPr>
            <w:tcW w:w="88" w:type="dxa"/>
            <w:tcBorders/>
            <w:vAlign w:val="center"/>
          </w:tcPr>
          <w:p>
            <w:pPr>
              <w:pStyle w:val="TableContents"/>
              <w:bidi w:val="0"/>
              <w:spacing w:before="0" w:after="283"/>
              <w:jc w:val="left"/>
              <w:rPr/>
            </w:pPr>
            <w:r>
              <w:rPr/>
              <w:t> </w:t>
            </w:r>
          </w:p>
        </w:tc>
        <w:tc>
          <w:tcPr>
            <w:tcW w:w="88" w:type="dxa"/>
            <w:tcBorders/>
            <w:vAlign w:val="center"/>
          </w:tcPr>
          <w:p>
            <w:pPr>
              <w:pStyle w:val="TableContents"/>
              <w:bidi w:val="0"/>
              <w:spacing w:before="0" w:after="283"/>
              <w:jc w:val="left"/>
              <w:rPr/>
            </w:pPr>
            <w:r>
              <w:rPr/>
              <w:t> </w:t>
            </w:r>
          </w:p>
        </w:tc>
        <w:tc>
          <w:tcPr>
            <w:tcW w:w="1219"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December 31, </w:t>
            </w:r>
          </w:p>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2025</w:t>
            </w:r>
          </w:p>
        </w:tc>
        <w:tc>
          <w:tcPr>
            <w:tcW w:w="75" w:type="dxa"/>
            <w:tcBorders/>
            <w:vAlign w:val="center"/>
          </w:tcPr>
          <w:p>
            <w:pPr>
              <w:pStyle w:val="TableContents"/>
              <w:bidi w:val="0"/>
              <w:spacing w:before="0" w:after="283"/>
              <w:jc w:val="left"/>
              <w:rPr/>
            </w:pPr>
            <w:r>
              <w:rPr/>
              <w:t> </w:t>
            </w:r>
          </w:p>
        </w:tc>
      </w:tr>
      <w:tr>
        <w:trPr/>
        <w:tc>
          <w:tcPr>
            <w:tcW w:w="2855" w:type="dxa"/>
            <w:tcBorders/>
            <w:shd w:fill="CCEEFF" w:val="clear"/>
            <w:vAlign w:val="center"/>
          </w:tcPr>
          <w:p>
            <w:pPr>
              <w:pStyle w:val="TableContents"/>
              <w:bidi w:val="0"/>
              <w:spacing w:lineRule="auto" w:line="300" w:before="0" w:after="0"/>
              <w:ind w:left="0" w:right="0" w:hanging="0"/>
              <w:jc w:val="left"/>
              <w:rPr>
                <w:rFonts w:ascii="Times New Roman;Times;serif" w:hAnsi="Times New Roman;Times;serif"/>
                <w:sz w:val="20"/>
              </w:rPr>
            </w:pPr>
            <w:r>
              <w:rPr>
                <w:rFonts w:ascii="Times New Roman;Times;serif" w:hAnsi="Times New Roman;Times;serif"/>
                <w:sz w:val="20"/>
              </w:rPr>
              <w:t>Assets:</w:t>
            </w:r>
          </w:p>
        </w:tc>
        <w:tc>
          <w:tcPr>
            <w:tcW w:w="60" w:type="dxa"/>
            <w:tcBorders/>
            <w:shd w:fill="CCEEFF" w:val="clear"/>
            <w:vAlign w:val="center"/>
          </w:tcPr>
          <w:p>
            <w:pPr>
              <w:pStyle w:val="TableContents"/>
              <w:bidi w:val="0"/>
              <w:spacing w:before="0" w:after="283"/>
              <w:jc w:val="left"/>
              <w:rPr/>
            </w:pPr>
            <w:r>
              <w:rPr/>
              <w:t> </w:t>
            </w:r>
          </w:p>
        </w:tc>
        <w:tc>
          <w:tcPr>
            <w:tcW w:w="18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10" w:type="dxa"/>
            <w:gridSpan w:val="2"/>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1219" w:type="dxa"/>
            <w:gridSpan w:val="2"/>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2855" w:type="dxa"/>
            <w:tcBorders/>
            <w:vAlign w:val="center"/>
          </w:tcPr>
          <w:p>
            <w:pPr>
              <w:pStyle w:val="TableContents"/>
              <w:bidi w:val="0"/>
              <w:spacing w:lineRule="auto" w:line="300" w:before="0" w:after="0"/>
              <w:ind w:left="0" w:right="0" w:hanging="0"/>
              <w:jc w:val="left"/>
              <w:rPr>
                <w:rFonts w:ascii="Times New Roman;Times;serif" w:hAnsi="Times New Roman;Times;serif"/>
                <w:sz w:val="20"/>
              </w:rPr>
            </w:pPr>
            <w:r>
              <w:rPr>
                <w:rFonts w:ascii="Times New Roman;Times;serif" w:hAnsi="Times New Roman;Times;serif"/>
                <w:sz w:val="20"/>
              </w:rPr>
              <w:t>Cash and cash equivalents:</w:t>
            </w:r>
          </w:p>
        </w:tc>
        <w:tc>
          <w:tcPr>
            <w:tcW w:w="60" w:type="dxa"/>
            <w:tcBorders/>
            <w:vAlign w:val="center"/>
          </w:tcPr>
          <w:p>
            <w:pPr>
              <w:pStyle w:val="TableContents"/>
              <w:bidi w:val="0"/>
              <w:spacing w:before="0" w:after="283"/>
              <w:jc w:val="left"/>
              <w:rPr/>
            </w:pPr>
            <w:r>
              <w:rPr/>
              <w:t> </w:t>
            </w:r>
          </w:p>
        </w:tc>
        <w:tc>
          <w:tcPr>
            <w:tcW w:w="18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10" w:type="dxa"/>
            <w:gridSpan w:val="2"/>
            <w:tcBorders/>
            <w:vAlign w:val="center"/>
          </w:tcPr>
          <w:p>
            <w:pPr>
              <w:pStyle w:val="TableContents"/>
              <w:bidi w:val="0"/>
              <w:spacing w:before="0" w:after="283"/>
              <w:jc w:val="left"/>
              <w:rPr/>
            </w:pPr>
            <w:r>
              <w:rPr/>
              <w:t> </w:t>
            </w:r>
          </w:p>
        </w:tc>
        <w:tc>
          <w:tcPr>
            <w:tcW w:w="88" w:type="dxa"/>
            <w:tcBorders/>
            <w:vAlign w:val="center"/>
          </w:tcPr>
          <w:p>
            <w:pPr>
              <w:pStyle w:val="TableContents"/>
              <w:bidi w:val="0"/>
              <w:spacing w:before="0" w:after="283"/>
              <w:jc w:val="left"/>
              <w:rPr/>
            </w:pPr>
            <w:r>
              <w:rPr/>
              <w:t> </w:t>
            </w:r>
          </w:p>
        </w:tc>
        <w:tc>
          <w:tcPr>
            <w:tcW w:w="88" w:type="dxa"/>
            <w:tcBorders/>
            <w:vAlign w:val="center"/>
          </w:tcPr>
          <w:p>
            <w:pPr>
              <w:pStyle w:val="TableContents"/>
              <w:bidi w:val="0"/>
              <w:spacing w:before="0" w:after="283"/>
              <w:jc w:val="left"/>
              <w:rPr/>
            </w:pPr>
            <w:r>
              <w:rPr/>
              <w:t> </w:t>
            </w:r>
          </w:p>
        </w:tc>
        <w:tc>
          <w:tcPr>
            <w:tcW w:w="1219"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2855" w:type="dxa"/>
            <w:tcBorders/>
            <w:shd w:fill="CCEEFF" w:val="clear"/>
            <w:vAlign w:val="center"/>
          </w:tcPr>
          <w:p>
            <w:pPr>
              <w:pStyle w:val="TableContents"/>
              <w:bidi w:val="0"/>
              <w:spacing w:lineRule="auto" w:line="300" w:before="0" w:after="0"/>
              <w:ind w:left="400" w:right="0" w:hanging="150"/>
              <w:jc w:val="left"/>
              <w:rPr>
                <w:rFonts w:ascii="Times New Roman;Times;serif" w:hAnsi="Times New Roman;Times;serif"/>
                <w:sz w:val="20"/>
              </w:rPr>
            </w:pPr>
            <w:r>
              <w:rPr>
                <w:rFonts w:ascii="Times New Roman;Times;serif" w:hAnsi="Times New Roman;Times;serif"/>
                <w:sz w:val="20"/>
              </w:rPr>
              <w:t>Cash</w:t>
            </w:r>
          </w:p>
        </w:tc>
        <w:tc>
          <w:tcPr>
            <w:tcW w:w="60" w:type="dxa"/>
            <w:tcBorders/>
            <w:shd w:fill="CCEEFF" w:val="clear"/>
            <w:vAlign w:val="center"/>
          </w:tcPr>
          <w:p>
            <w:pPr>
              <w:pStyle w:val="TableContents"/>
              <w:bidi w:val="0"/>
              <w:spacing w:before="0" w:after="283"/>
              <w:jc w:val="left"/>
              <w:rPr/>
            </w:pPr>
            <w:r>
              <w:rPr/>
              <w:t> </w:t>
            </w:r>
          </w:p>
        </w:tc>
        <w:tc>
          <w:tcPr>
            <w:tcW w:w="1865" w:type="dxa"/>
            <w:tcBorders/>
            <w:shd w:fill="CCEEFF" w:val="clear"/>
            <w:vAlign w:val="center"/>
          </w:tcPr>
          <w:p>
            <w:pPr>
              <w:pStyle w:val="TableContents"/>
              <w:bidi w:val="0"/>
              <w:spacing w:lineRule="auto" w:line="300" w:before="0" w:after="0"/>
              <w:jc w:val="center"/>
              <w:rPr>
                <w:rFonts w:ascii="Times New Roman;Times;serif" w:hAnsi="Times New Roman;Times;serif"/>
                <w:sz w:val="20"/>
              </w:rPr>
            </w:pPr>
            <w:r>
              <w:rPr>
                <w:rFonts w:ascii="Times New Roman;Times;serif" w:hAnsi="Times New Roman;Times;serif"/>
                <w:sz w:val="20"/>
              </w:rPr>
              <w:t>Level 1</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1026"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475,029</w:t>
            </w:r>
          </w:p>
        </w:tc>
        <w:tc>
          <w:tcPr>
            <w:tcW w:w="88"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1034"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312,539</w:t>
            </w:r>
          </w:p>
        </w:tc>
        <w:tc>
          <w:tcPr>
            <w:tcW w:w="75" w:type="dxa"/>
            <w:tcBorders/>
            <w:shd w:fill="CCEEFF" w:val="clear"/>
            <w:vAlign w:val="center"/>
          </w:tcPr>
          <w:p>
            <w:pPr>
              <w:pStyle w:val="TableContents"/>
              <w:bidi w:val="0"/>
              <w:spacing w:before="0" w:after="283"/>
              <w:jc w:val="left"/>
              <w:rPr/>
            </w:pPr>
            <w:r>
              <w:rPr/>
              <w:t> </w:t>
            </w:r>
          </w:p>
        </w:tc>
      </w:tr>
      <w:tr>
        <w:trPr/>
        <w:tc>
          <w:tcPr>
            <w:tcW w:w="2855" w:type="dxa"/>
            <w:tcBorders/>
            <w:vAlign w:val="center"/>
          </w:tcPr>
          <w:p>
            <w:pPr>
              <w:pStyle w:val="TableContents"/>
              <w:bidi w:val="0"/>
              <w:spacing w:lineRule="auto" w:line="300" w:before="0" w:after="0"/>
              <w:ind w:left="400" w:right="0" w:hanging="150"/>
              <w:jc w:val="left"/>
              <w:rPr>
                <w:rFonts w:ascii="Times New Roman;Times;serif" w:hAnsi="Times New Roman;Times;serif"/>
                <w:sz w:val="20"/>
              </w:rPr>
            </w:pPr>
            <w:r>
              <w:rPr>
                <w:rFonts w:ascii="Times New Roman;Times;serif" w:hAnsi="Times New Roman;Times;serif"/>
                <w:sz w:val="20"/>
              </w:rPr>
              <w:t>Money market mutual funds</w:t>
            </w:r>
          </w:p>
        </w:tc>
        <w:tc>
          <w:tcPr>
            <w:tcW w:w="60" w:type="dxa"/>
            <w:tcBorders/>
            <w:vAlign w:val="center"/>
          </w:tcPr>
          <w:p>
            <w:pPr>
              <w:pStyle w:val="TableContents"/>
              <w:bidi w:val="0"/>
              <w:spacing w:before="0" w:after="283"/>
              <w:jc w:val="left"/>
              <w:rPr/>
            </w:pPr>
            <w:r>
              <w:rPr/>
              <w:t> </w:t>
            </w:r>
          </w:p>
        </w:tc>
        <w:tc>
          <w:tcPr>
            <w:tcW w:w="1865" w:type="dxa"/>
            <w:tcBorders/>
            <w:vAlign w:val="center"/>
          </w:tcPr>
          <w:p>
            <w:pPr>
              <w:pStyle w:val="TableContents"/>
              <w:bidi w:val="0"/>
              <w:spacing w:lineRule="auto" w:line="300" w:before="0" w:after="0"/>
              <w:jc w:val="center"/>
              <w:rPr>
                <w:rFonts w:ascii="Times New Roman;Times;serif" w:hAnsi="Times New Roman;Times;serif"/>
                <w:sz w:val="20"/>
              </w:rPr>
            </w:pPr>
            <w:r>
              <w:rPr>
                <w:rFonts w:ascii="Times New Roman;Times;serif" w:hAnsi="Times New Roman;Times;serif"/>
                <w:sz w:val="20"/>
              </w:rPr>
              <w:t>Level 1</w:t>
            </w:r>
          </w:p>
        </w:tc>
        <w:tc>
          <w:tcPr>
            <w:tcW w:w="60" w:type="dxa"/>
            <w:tcBorders/>
            <w:vAlign w:val="center"/>
          </w:tcPr>
          <w:p>
            <w:pPr>
              <w:pStyle w:val="TableContents"/>
              <w:bidi w:val="0"/>
              <w:spacing w:before="0" w:after="283"/>
              <w:jc w:val="left"/>
              <w:rPr/>
            </w:pPr>
            <w:r>
              <w:rPr/>
              <w:t> </w:t>
            </w:r>
          </w:p>
        </w:tc>
        <w:tc>
          <w:tcPr>
            <w:tcW w:w="184"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1026"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4,229</w:t>
            </w:r>
          </w:p>
        </w:tc>
        <w:tc>
          <w:tcPr>
            <w:tcW w:w="88" w:type="dxa"/>
            <w:tcBorders/>
            <w:vAlign w:val="center"/>
          </w:tcPr>
          <w:p>
            <w:pPr>
              <w:pStyle w:val="TableContents"/>
              <w:bidi w:val="0"/>
              <w:spacing w:before="0" w:after="283"/>
              <w:jc w:val="left"/>
              <w:rPr/>
            </w:pPr>
            <w:r>
              <w:rPr/>
              <w:t> </w:t>
            </w:r>
          </w:p>
        </w:tc>
        <w:tc>
          <w:tcPr>
            <w:tcW w:w="88"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1034"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8,315</w:t>
            </w:r>
          </w:p>
        </w:tc>
        <w:tc>
          <w:tcPr>
            <w:tcW w:w="75" w:type="dxa"/>
            <w:tcBorders/>
            <w:vAlign w:val="center"/>
          </w:tcPr>
          <w:p>
            <w:pPr>
              <w:pStyle w:val="TableContents"/>
              <w:bidi w:val="0"/>
              <w:spacing w:before="0" w:after="283"/>
              <w:jc w:val="left"/>
              <w:rPr/>
            </w:pPr>
            <w:r>
              <w:rPr/>
              <w:t> </w:t>
            </w:r>
          </w:p>
        </w:tc>
      </w:tr>
      <w:tr>
        <w:trPr/>
        <w:tc>
          <w:tcPr>
            <w:tcW w:w="2855" w:type="dxa"/>
            <w:tcBorders/>
            <w:shd w:fill="CCEEFF" w:val="clear"/>
            <w:vAlign w:val="center"/>
          </w:tcPr>
          <w:p>
            <w:pPr>
              <w:pStyle w:val="TableContents"/>
              <w:bidi w:val="0"/>
              <w:spacing w:lineRule="auto" w:line="300" w:before="0" w:after="0"/>
              <w:ind w:left="400" w:right="0" w:hanging="150"/>
              <w:jc w:val="left"/>
              <w:rPr>
                <w:rFonts w:ascii="Times New Roman;Times;serif" w:hAnsi="Times New Roman;Times;serif"/>
                <w:sz w:val="20"/>
              </w:rPr>
            </w:pPr>
            <w:r>
              <w:rPr>
                <w:rFonts w:ascii="Times New Roman;Times;serif" w:hAnsi="Times New Roman;Times;serif"/>
                <w:sz w:val="20"/>
              </w:rPr>
              <w:t>Deposits</w:t>
            </w:r>
          </w:p>
        </w:tc>
        <w:tc>
          <w:tcPr>
            <w:tcW w:w="60" w:type="dxa"/>
            <w:tcBorders/>
            <w:shd w:fill="CCEEFF" w:val="clear"/>
            <w:vAlign w:val="center"/>
          </w:tcPr>
          <w:p>
            <w:pPr>
              <w:pStyle w:val="TableContents"/>
              <w:bidi w:val="0"/>
              <w:spacing w:before="0" w:after="283"/>
              <w:jc w:val="left"/>
              <w:rPr/>
            </w:pPr>
            <w:r>
              <w:rPr/>
              <w:t> </w:t>
            </w:r>
          </w:p>
        </w:tc>
        <w:tc>
          <w:tcPr>
            <w:tcW w:w="1865" w:type="dxa"/>
            <w:tcBorders/>
            <w:shd w:fill="CCEEFF" w:val="clear"/>
            <w:vAlign w:val="center"/>
          </w:tcPr>
          <w:p>
            <w:pPr>
              <w:pStyle w:val="TableContents"/>
              <w:bidi w:val="0"/>
              <w:spacing w:lineRule="auto" w:line="300" w:before="0" w:after="0"/>
              <w:jc w:val="center"/>
              <w:rPr>
                <w:rFonts w:ascii="Times New Roman;Times;serif" w:hAnsi="Times New Roman;Times;serif"/>
                <w:sz w:val="20"/>
              </w:rPr>
            </w:pPr>
            <w:r>
              <w:rPr>
                <w:rFonts w:ascii="Times New Roman;Times;serif" w:hAnsi="Times New Roman;Times;serif"/>
                <w:sz w:val="20"/>
              </w:rPr>
              <w:t>Level 1</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1026"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47,999</w:t>
            </w:r>
          </w:p>
        </w:tc>
        <w:tc>
          <w:tcPr>
            <w:tcW w:w="88"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1034"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134,221</w:t>
            </w:r>
          </w:p>
        </w:tc>
        <w:tc>
          <w:tcPr>
            <w:tcW w:w="75" w:type="dxa"/>
            <w:tcBorders/>
            <w:shd w:fill="CCEEFF" w:val="clear"/>
            <w:vAlign w:val="center"/>
          </w:tcPr>
          <w:p>
            <w:pPr>
              <w:pStyle w:val="TableContents"/>
              <w:bidi w:val="0"/>
              <w:spacing w:before="0" w:after="283"/>
              <w:jc w:val="left"/>
              <w:rPr/>
            </w:pPr>
            <w:r>
              <w:rPr/>
              <w:t> </w:t>
            </w:r>
          </w:p>
        </w:tc>
      </w:tr>
      <w:tr>
        <w:trPr/>
        <w:tc>
          <w:tcPr>
            <w:tcW w:w="2855" w:type="dxa"/>
            <w:tcBorders/>
            <w:vAlign w:val="center"/>
          </w:tcPr>
          <w:p>
            <w:pPr>
              <w:pStyle w:val="TableContents"/>
              <w:bidi w:val="0"/>
              <w:spacing w:lineRule="auto" w:line="300" w:before="0" w:after="0"/>
              <w:ind w:left="0" w:right="0" w:hanging="0"/>
              <w:jc w:val="left"/>
              <w:rPr>
                <w:rFonts w:ascii="Times New Roman;Times;serif" w:hAnsi="Times New Roman;Times;serif"/>
                <w:sz w:val="20"/>
              </w:rPr>
            </w:pPr>
            <w:r>
              <w:rPr>
                <w:rFonts w:ascii="Times New Roman;Times;serif" w:hAnsi="Times New Roman;Times;serif"/>
                <w:sz w:val="20"/>
              </w:rPr>
              <w:t>Restricted cash</w:t>
            </w:r>
          </w:p>
        </w:tc>
        <w:tc>
          <w:tcPr>
            <w:tcW w:w="60" w:type="dxa"/>
            <w:tcBorders/>
            <w:vAlign w:val="center"/>
          </w:tcPr>
          <w:p>
            <w:pPr>
              <w:pStyle w:val="TableContents"/>
              <w:bidi w:val="0"/>
              <w:spacing w:before="0" w:after="283"/>
              <w:jc w:val="left"/>
              <w:rPr/>
            </w:pPr>
            <w:r>
              <w:rPr/>
              <w:t> </w:t>
            </w:r>
          </w:p>
        </w:tc>
        <w:tc>
          <w:tcPr>
            <w:tcW w:w="1865" w:type="dxa"/>
            <w:tcBorders/>
            <w:vAlign w:val="center"/>
          </w:tcPr>
          <w:p>
            <w:pPr>
              <w:pStyle w:val="TableContents"/>
              <w:bidi w:val="0"/>
              <w:spacing w:lineRule="auto" w:line="300" w:before="0" w:after="0"/>
              <w:jc w:val="center"/>
              <w:rPr>
                <w:rFonts w:ascii="Times New Roman;Times;serif" w:hAnsi="Times New Roman;Times;serif"/>
                <w:sz w:val="20"/>
              </w:rPr>
            </w:pPr>
            <w:r>
              <w:rPr>
                <w:rFonts w:ascii="Times New Roman;Times;serif" w:hAnsi="Times New Roman;Times;serif"/>
                <w:sz w:val="20"/>
              </w:rPr>
              <w:t>Level 1</w:t>
            </w:r>
          </w:p>
        </w:tc>
        <w:tc>
          <w:tcPr>
            <w:tcW w:w="60" w:type="dxa"/>
            <w:tcBorders/>
            <w:vAlign w:val="center"/>
          </w:tcPr>
          <w:p>
            <w:pPr>
              <w:pStyle w:val="TableContents"/>
              <w:bidi w:val="0"/>
              <w:spacing w:before="0" w:after="283"/>
              <w:jc w:val="left"/>
              <w:rPr/>
            </w:pPr>
            <w:r>
              <w:rPr/>
              <w:t> </w:t>
            </w:r>
          </w:p>
        </w:tc>
        <w:tc>
          <w:tcPr>
            <w:tcW w:w="184"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1026"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54,660</w:t>
            </w:r>
          </w:p>
        </w:tc>
        <w:tc>
          <w:tcPr>
            <w:tcW w:w="88" w:type="dxa"/>
            <w:tcBorders/>
            <w:vAlign w:val="center"/>
          </w:tcPr>
          <w:p>
            <w:pPr>
              <w:pStyle w:val="TableContents"/>
              <w:bidi w:val="0"/>
              <w:spacing w:before="0" w:after="283"/>
              <w:jc w:val="left"/>
              <w:rPr/>
            </w:pPr>
            <w:r>
              <w:rPr/>
              <w:t> </w:t>
            </w:r>
          </w:p>
        </w:tc>
        <w:tc>
          <w:tcPr>
            <w:tcW w:w="88"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1034"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84,771</w:t>
            </w:r>
          </w:p>
        </w:tc>
        <w:tc>
          <w:tcPr>
            <w:tcW w:w="75" w:type="dxa"/>
            <w:tcBorders/>
            <w:vAlign w:val="center"/>
          </w:tcPr>
          <w:p>
            <w:pPr>
              <w:pStyle w:val="TableContents"/>
              <w:bidi w:val="0"/>
              <w:spacing w:before="0" w:after="283"/>
              <w:jc w:val="left"/>
              <w:rPr/>
            </w:pPr>
            <w:r>
              <w:rPr/>
              <w:t> </w:t>
            </w:r>
          </w:p>
        </w:tc>
      </w:tr>
      <w:tr>
        <w:trPr/>
        <w:tc>
          <w:tcPr>
            <w:tcW w:w="2855" w:type="dxa"/>
            <w:tcBorders/>
            <w:shd w:fill="CCEEFF" w:val="clear"/>
            <w:vAlign w:val="center"/>
          </w:tcPr>
          <w:p>
            <w:pPr>
              <w:pStyle w:val="TableContents"/>
              <w:bidi w:val="0"/>
              <w:spacing w:lineRule="auto" w:line="300" w:before="0" w:after="0"/>
              <w:ind w:left="0" w:right="0" w:hanging="0"/>
              <w:jc w:val="left"/>
              <w:rPr>
                <w:rFonts w:ascii="Times New Roman;Times;serif" w:hAnsi="Times New Roman;Times;serif"/>
                <w:sz w:val="20"/>
              </w:rPr>
            </w:pPr>
            <w:r>
              <w:rPr>
                <w:rFonts w:ascii="Times New Roman;Times;serif" w:hAnsi="Times New Roman;Times;serif"/>
                <w:sz w:val="20"/>
              </w:rPr>
              <w:t>Derivative instruments</w:t>
            </w:r>
          </w:p>
        </w:tc>
        <w:tc>
          <w:tcPr>
            <w:tcW w:w="60" w:type="dxa"/>
            <w:tcBorders/>
            <w:shd w:fill="CCEEFF" w:val="clear"/>
            <w:vAlign w:val="center"/>
          </w:tcPr>
          <w:p>
            <w:pPr>
              <w:pStyle w:val="TableContents"/>
              <w:bidi w:val="0"/>
              <w:spacing w:before="0" w:after="283"/>
              <w:jc w:val="left"/>
              <w:rPr/>
            </w:pPr>
            <w:r>
              <w:rPr/>
              <w:t> </w:t>
            </w:r>
          </w:p>
        </w:tc>
        <w:tc>
          <w:tcPr>
            <w:tcW w:w="1865" w:type="dxa"/>
            <w:tcBorders/>
            <w:shd w:fill="CCEEFF" w:val="clear"/>
            <w:vAlign w:val="center"/>
          </w:tcPr>
          <w:p>
            <w:pPr>
              <w:pStyle w:val="TableContents"/>
              <w:bidi w:val="0"/>
              <w:spacing w:lineRule="auto" w:line="300" w:before="0" w:after="0"/>
              <w:jc w:val="center"/>
              <w:rPr>
                <w:rFonts w:ascii="Times New Roman;Times;serif" w:hAnsi="Times New Roman;Times;serif"/>
                <w:sz w:val="20"/>
              </w:rPr>
            </w:pPr>
            <w:r>
              <w:rPr>
                <w:rFonts w:ascii="Times New Roman;Times;serif" w:hAnsi="Times New Roman;Times;serif"/>
                <w:sz w:val="20"/>
              </w:rPr>
              <w:t>Level 2</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1026"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4,980</w:t>
            </w:r>
          </w:p>
        </w:tc>
        <w:tc>
          <w:tcPr>
            <w:tcW w:w="88"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1034"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705</w:t>
            </w:r>
          </w:p>
        </w:tc>
        <w:tc>
          <w:tcPr>
            <w:tcW w:w="75" w:type="dxa"/>
            <w:tcBorders/>
            <w:shd w:fill="CCEEFF" w:val="clear"/>
            <w:vAlign w:val="center"/>
          </w:tcPr>
          <w:p>
            <w:pPr>
              <w:pStyle w:val="TableContents"/>
              <w:bidi w:val="0"/>
              <w:spacing w:before="0" w:after="283"/>
              <w:jc w:val="left"/>
              <w:rPr/>
            </w:pPr>
            <w:r>
              <w:rPr/>
              <w:t> </w:t>
            </w:r>
          </w:p>
        </w:tc>
      </w:tr>
      <w:tr>
        <w:trPr/>
        <w:tc>
          <w:tcPr>
            <w:tcW w:w="2855" w:type="dxa"/>
            <w:tcBorders/>
            <w:vAlign w:val="center"/>
          </w:tcPr>
          <w:p>
            <w:pPr>
              <w:pStyle w:val="TableContents"/>
              <w:bidi w:val="0"/>
              <w:spacing w:lineRule="auto" w:line="300" w:before="0" w:after="0"/>
              <w:ind w:left="0" w:right="0" w:hanging="0"/>
              <w:jc w:val="left"/>
              <w:rPr>
                <w:rFonts w:ascii="Times New Roman;Times;serif" w:hAnsi="Times New Roman;Times;serif"/>
                <w:sz w:val="20"/>
              </w:rPr>
            </w:pPr>
            <w:r>
              <w:rPr>
                <w:rFonts w:ascii="Times New Roman;Times;serif" w:hAnsi="Times New Roman;Times;serif"/>
                <w:sz w:val="20"/>
              </w:rPr>
              <w:t>Short-term marketable securities:</w:t>
            </w:r>
          </w:p>
        </w:tc>
        <w:tc>
          <w:tcPr>
            <w:tcW w:w="60" w:type="dxa"/>
            <w:tcBorders/>
            <w:vAlign w:val="center"/>
          </w:tcPr>
          <w:p>
            <w:pPr>
              <w:pStyle w:val="TableContents"/>
              <w:bidi w:val="0"/>
              <w:spacing w:before="0" w:after="283"/>
              <w:jc w:val="left"/>
              <w:rPr/>
            </w:pPr>
            <w:r>
              <w:rPr/>
              <w:t> </w:t>
            </w:r>
          </w:p>
        </w:tc>
        <w:tc>
          <w:tcPr>
            <w:tcW w:w="18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4" w:type="dxa"/>
            <w:tcBorders/>
            <w:vAlign w:val="center"/>
          </w:tcPr>
          <w:p>
            <w:pPr>
              <w:pStyle w:val="TableContents"/>
              <w:bidi w:val="0"/>
              <w:spacing w:before="0" w:after="283"/>
              <w:jc w:val="left"/>
              <w:rPr/>
            </w:pPr>
            <w:r>
              <w:rPr/>
              <w:t> </w:t>
            </w:r>
          </w:p>
        </w:tc>
        <w:tc>
          <w:tcPr>
            <w:tcW w:w="1026" w:type="dxa"/>
            <w:tcBorders/>
            <w:vAlign w:val="center"/>
          </w:tcPr>
          <w:p>
            <w:pPr>
              <w:pStyle w:val="TableContents"/>
              <w:bidi w:val="0"/>
              <w:spacing w:before="0" w:after="283"/>
              <w:jc w:val="right"/>
              <w:rPr/>
            </w:pPr>
            <w:r>
              <w:rPr/>
              <w:t> </w:t>
            </w:r>
          </w:p>
        </w:tc>
        <w:tc>
          <w:tcPr>
            <w:tcW w:w="88" w:type="dxa"/>
            <w:tcBorders/>
            <w:vAlign w:val="center"/>
          </w:tcPr>
          <w:p>
            <w:pPr>
              <w:pStyle w:val="TableContents"/>
              <w:bidi w:val="0"/>
              <w:spacing w:before="0" w:after="283"/>
              <w:jc w:val="left"/>
              <w:rPr/>
            </w:pPr>
            <w:r>
              <w:rPr/>
              <w:t> </w:t>
            </w:r>
          </w:p>
        </w:tc>
        <w:tc>
          <w:tcPr>
            <w:tcW w:w="88"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1034"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2855" w:type="dxa"/>
            <w:tcBorders/>
            <w:shd w:fill="CCEEFF" w:val="clear"/>
            <w:vAlign w:val="center"/>
          </w:tcPr>
          <w:p>
            <w:pPr>
              <w:pStyle w:val="TableContents"/>
              <w:bidi w:val="0"/>
              <w:spacing w:lineRule="auto" w:line="300" w:before="0" w:after="0"/>
              <w:ind w:left="375" w:right="0" w:hanging="150"/>
              <w:jc w:val="left"/>
              <w:rPr>
                <w:rFonts w:ascii="Times New Roman;Times;serif" w:hAnsi="Times New Roman;Times;serif"/>
                <w:sz w:val="20"/>
              </w:rPr>
            </w:pPr>
            <w:r>
              <w:rPr>
                <w:rFonts w:ascii="Times New Roman;Times;serif" w:hAnsi="Times New Roman;Times;serif"/>
                <w:sz w:val="20"/>
              </w:rPr>
              <w:t>Corporate bonds</w:t>
            </w:r>
          </w:p>
        </w:tc>
        <w:tc>
          <w:tcPr>
            <w:tcW w:w="60" w:type="dxa"/>
            <w:tcBorders/>
            <w:shd w:fill="CCEEFF" w:val="clear"/>
            <w:vAlign w:val="center"/>
          </w:tcPr>
          <w:p>
            <w:pPr>
              <w:pStyle w:val="TableContents"/>
              <w:bidi w:val="0"/>
              <w:spacing w:before="0" w:after="283"/>
              <w:jc w:val="left"/>
              <w:rPr/>
            </w:pPr>
            <w:r>
              <w:rPr/>
              <w:t> </w:t>
            </w:r>
          </w:p>
        </w:tc>
        <w:tc>
          <w:tcPr>
            <w:tcW w:w="1865" w:type="dxa"/>
            <w:tcBorders/>
            <w:shd w:fill="CCEEFF" w:val="clear"/>
            <w:vAlign w:val="center"/>
          </w:tcPr>
          <w:p>
            <w:pPr>
              <w:pStyle w:val="TableContents"/>
              <w:bidi w:val="0"/>
              <w:spacing w:lineRule="auto" w:line="300" w:before="0" w:after="0"/>
              <w:jc w:val="center"/>
              <w:rPr>
                <w:rFonts w:ascii="Times New Roman;Times;serif" w:hAnsi="Times New Roman;Times;serif"/>
                <w:sz w:val="20"/>
              </w:rPr>
            </w:pPr>
            <w:r>
              <w:rPr>
                <w:rFonts w:ascii="Times New Roman;Times;serif" w:hAnsi="Times New Roman;Times;serif"/>
                <w:sz w:val="20"/>
              </w:rPr>
              <w:t>Level 2</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1026"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19,685</w:t>
            </w:r>
          </w:p>
        </w:tc>
        <w:tc>
          <w:tcPr>
            <w:tcW w:w="88"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1034"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36,601</w:t>
            </w:r>
          </w:p>
        </w:tc>
        <w:tc>
          <w:tcPr>
            <w:tcW w:w="75" w:type="dxa"/>
            <w:tcBorders/>
            <w:shd w:fill="CCEEFF" w:val="clear"/>
            <w:vAlign w:val="center"/>
          </w:tcPr>
          <w:p>
            <w:pPr>
              <w:pStyle w:val="TableContents"/>
              <w:bidi w:val="0"/>
              <w:spacing w:before="0" w:after="283"/>
              <w:jc w:val="left"/>
              <w:rPr/>
            </w:pPr>
            <w:r>
              <w:rPr/>
              <w:t> </w:t>
            </w:r>
          </w:p>
        </w:tc>
      </w:tr>
      <w:tr>
        <w:trPr/>
        <w:tc>
          <w:tcPr>
            <w:tcW w:w="2855" w:type="dxa"/>
            <w:tcBorders/>
            <w:vAlign w:val="center"/>
          </w:tcPr>
          <w:p>
            <w:pPr>
              <w:pStyle w:val="TableContents"/>
              <w:bidi w:val="0"/>
              <w:spacing w:lineRule="auto" w:line="300" w:before="0" w:after="0"/>
              <w:ind w:left="240" w:right="0" w:hanging="0"/>
              <w:jc w:val="left"/>
              <w:rPr>
                <w:rFonts w:ascii="Times New Roman;Times;serif" w:hAnsi="Times New Roman;Times;serif"/>
                <w:sz w:val="20"/>
              </w:rPr>
            </w:pPr>
            <w:r>
              <w:rPr>
                <w:rFonts w:ascii="Times New Roman;Times;serif" w:hAnsi="Times New Roman;Times;serif"/>
                <w:sz w:val="20"/>
              </w:rPr>
              <w:t>U.S. Government agency securities</w:t>
            </w:r>
          </w:p>
        </w:tc>
        <w:tc>
          <w:tcPr>
            <w:tcW w:w="60" w:type="dxa"/>
            <w:tcBorders/>
            <w:vAlign w:val="center"/>
          </w:tcPr>
          <w:p>
            <w:pPr>
              <w:pStyle w:val="TableContents"/>
              <w:bidi w:val="0"/>
              <w:spacing w:before="0" w:after="283"/>
              <w:jc w:val="left"/>
              <w:rPr/>
            </w:pPr>
            <w:r>
              <w:rPr/>
              <w:t> </w:t>
            </w:r>
          </w:p>
        </w:tc>
        <w:tc>
          <w:tcPr>
            <w:tcW w:w="1865" w:type="dxa"/>
            <w:tcBorders/>
            <w:vAlign w:val="center"/>
          </w:tcPr>
          <w:p>
            <w:pPr>
              <w:pStyle w:val="TableContents"/>
              <w:bidi w:val="0"/>
              <w:spacing w:lineRule="auto" w:line="300" w:before="0" w:after="0"/>
              <w:jc w:val="center"/>
              <w:rPr>
                <w:rFonts w:ascii="Times New Roman;Times;serif" w:hAnsi="Times New Roman;Times;serif"/>
                <w:sz w:val="20"/>
              </w:rPr>
            </w:pPr>
            <w:r>
              <w:rPr>
                <w:rFonts w:ascii="Times New Roman;Times;serif" w:hAnsi="Times New Roman;Times;serif"/>
                <w:sz w:val="20"/>
              </w:rPr>
              <w:t>Level 2</w:t>
            </w:r>
          </w:p>
        </w:tc>
        <w:tc>
          <w:tcPr>
            <w:tcW w:w="60" w:type="dxa"/>
            <w:tcBorders/>
            <w:vAlign w:val="center"/>
          </w:tcPr>
          <w:p>
            <w:pPr>
              <w:pStyle w:val="TableContents"/>
              <w:bidi w:val="0"/>
              <w:spacing w:before="0" w:after="283"/>
              <w:jc w:val="left"/>
              <w:rPr/>
            </w:pPr>
            <w:r>
              <w:rPr/>
              <w:t> </w:t>
            </w:r>
          </w:p>
        </w:tc>
        <w:tc>
          <w:tcPr>
            <w:tcW w:w="184"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1026"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w:t>
            </w:r>
          </w:p>
        </w:tc>
        <w:tc>
          <w:tcPr>
            <w:tcW w:w="88" w:type="dxa"/>
            <w:tcBorders/>
            <w:vAlign w:val="center"/>
          </w:tcPr>
          <w:p>
            <w:pPr>
              <w:pStyle w:val="TableContents"/>
              <w:bidi w:val="0"/>
              <w:spacing w:before="0" w:after="283"/>
              <w:jc w:val="left"/>
              <w:rPr/>
            </w:pPr>
            <w:r>
              <w:rPr/>
              <w:t> </w:t>
            </w:r>
          </w:p>
        </w:tc>
        <w:tc>
          <w:tcPr>
            <w:tcW w:w="88"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1034"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1,496</w:t>
            </w:r>
          </w:p>
        </w:tc>
        <w:tc>
          <w:tcPr>
            <w:tcW w:w="75"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200" w:after="283"/>
        <w:jc w:val="center"/>
        <w:rPr/>
      </w:pPr>
      <w:r>
        <w:rPr>
          <w:b w:val="false"/>
          <w:i w:val="false"/>
          <w:caps w:val="false"/>
          <w:smallCaps w:val="false"/>
        </w:rPr>
        <w:t xml:space="preserve">SOLAREDGE TECHNOLOGIES INC. | 2026 Form 10-Q | F - </w:t>
      </w:r>
      <w:r>
        <w:rPr>
          <w:rFonts w:ascii="Times New Roman;Times;serif" w:hAnsi="Times New Roman;Times;serif"/>
          <w:sz w:val="20"/>
        </w:rPr>
        <w:t>16</w:t>
      </w:r>
    </w:p>
    <w:p>
      <w:pPr>
        <w:pStyle w:val="HorizontalLine"/>
        <w:bidi w:val="0"/>
        <w:spacing w:before="0" w:after="0"/>
        <w:jc w:val="left"/>
        <w:rPr/>
      </w:pPr>
      <w:r>
        <w:rPr/>
      </w:r>
    </w:p>
    <w:p>
      <w:pPr>
        <w:pStyle w:val="TextBody"/>
        <w:bidi w:val="0"/>
        <w:spacing w:before="0" w:after="0"/>
        <w:jc w:val="left"/>
        <w:rPr/>
      </w:pPr>
      <w:r>
        <w:rPr/>
        <w:t> </w:t>
      </w:r>
    </w:p>
    <w:p>
      <w:pPr>
        <w:pStyle w:val="TextBody"/>
        <w:bidi w:val="0"/>
        <w:spacing w:lineRule="auto" w:line="300" w:before="0" w:after="0"/>
        <w:ind w:left="360" w:right="360" w:hanging="0"/>
        <w:jc w:val="center"/>
        <w:rPr>
          <w:b/>
        </w:rPr>
      </w:pPr>
      <w:r>
        <w:rPr>
          <w:b/>
        </w:rPr>
        <w:t>SOLAREDGE TECHNOLOGIES, INC.</w:t>
      </w:r>
    </w:p>
    <w:p>
      <w:pPr>
        <w:pStyle w:val="TextBody"/>
        <w:bidi w:val="0"/>
        <w:spacing w:lineRule="auto" w:line="300" w:before="0" w:after="0"/>
        <w:jc w:val="left"/>
        <w:rPr/>
      </w:pPr>
      <w:r>
        <w:rPr/>
        <w:t> </w:t>
      </w:r>
    </w:p>
    <w:p>
      <w:pPr>
        <w:pStyle w:val="TextBody"/>
        <w:bidi w:val="0"/>
        <w:spacing w:lineRule="auto" w:line="300" w:before="0" w:after="0"/>
        <w:ind w:left="360" w:right="360" w:hanging="0"/>
        <w:jc w:val="center"/>
        <w:rPr>
          <w:b/>
        </w:rPr>
      </w:pPr>
      <w:r>
        <w:rPr>
          <w:b/>
        </w:rPr>
        <w:t>NOTES TO CONDENSED CONSOLIDATED FINANCIAL STATEMENTS (Unaudited)</w:t>
      </w:r>
    </w:p>
    <w:p>
      <w:pPr>
        <w:pStyle w:val="TextBody"/>
        <w:bidi w:val="0"/>
        <w:spacing w:lineRule="auto" w:line="300" w:before="0" w:after="0"/>
        <w:jc w:val="left"/>
        <w:rPr/>
      </w:pPr>
      <w:r>
        <w:rPr/>
        <w:t> </w:t>
      </w:r>
    </w:p>
    <w:p>
      <w:pPr>
        <w:pStyle w:val="TextBody"/>
        <w:bidi w:val="0"/>
        <w:spacing w:lineRule="auto" w:line="300"/>
        <w:ind w:left="360" w:right="360" w:hanging="0"/>
        <w:jc w:val="center"/>
        <w:rPr/>
      </w:pPr>
      <w:r>
        <w:rPr>
          <w:b/>
        </w:rPr>
        <w:t>(in thousands, except per share data</w:t>
      </w:r>
      <w:r>
        <w:rPr/>
        <w:t>)</w:t>
      </w:r>
    </w:p>
    <w:p>
      <w:pPr>
        <w:pStyle w:val="TextBody"/>
        <w:bidi w:val="0"/>
        <w:spacing w:before="0" w:after="0"/>
        <w:jc w:val="left"/>
        <w:rPr/>
      </w:pPr>
      <w:r>
        <w:rPr/>
        <w:t> </w:t>
      </w:r>
    </w:p>
    <w:p>
      <w:pPr>
        <w:pStyle w:val="TextBody"/>
        <w:bidi w:val="0"/>
        <w:spacing w:lineRule="auto" w:line="300" w:before="0" w:after="0"/>
        <w:jc w:val="left"/>
        <w:rPr>
          <w:rFonts w:ascii="Times New Roman;Times;serif" w:hAnsi="Times New Roman;Times;serif"/>
          <w:b/>
          <w:sz w:val="20"/>
        </w:rPr>
      </w:pPr>
      <w:r>
        <w:rPr>
          <w:rFonts w:ascii="Times New Roman;Times;serif" w:hAnsi="Times New Roman;Times;serif"/>
          <w:b/>
          <w:sz w:val="20"/>
        </w:rPr>
        <w:t>NOTE 8:       WARRANTY OBLIGATIONS</w:t>
      </w:r>
    </w:p>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sz w:val="20"/>
        </w:rPr>
      </w:pPr>
      <w:r>
        <w:rPr>
          <w:rFonts w:ascii="Times New Roman;Times;serif" w:hAnsi="Times New Roman;Times;serif"/>
          <w:sz w:val="20"/>
        </w:rPr>
        <w:t>Changes in the Company’s product warranty obligations for the three and six months ended June 30, 2026 and 2025, were as follows:</w:t>
      </w:r>
    </w:p>
    <w:p>
      <w:pPr>
        <w:pStyle w:val="TextBody"/>
        <w:bidi w:val="0"/>
        <w:spacing w:lineRule="auto" w:line="300" w:before="0" w:after="0"/>
        <w:jc w:val="left"/>
        <w:rPr/>
      </w:pPr>
      <w:r>
        <w:rPr/>
        <w:t> </w:t>
      </w:r>
    </w:p>
    <w:tbl>
      <w:tblPr>
        <w:tblW w:w="8345" w:type="dxa"/>
        <w:jc w:val="left"/>
        <w:tblInd w:w="0" w:type="dxa"/>
        <w:tblLayout w:type="fixed"/>
        <w:tblCellMar>
          <w:top w:w="0" w:type="dxa"/>
          <w:left w:w="0" w:type="dxa"/>
          <w:bottom w:w="0" w:type="dxa"/>
          <w:right w:w="0" w:type="dxa"/>
        </w:tblCellMar>
      </w:tblPr>
      <w:tblGrid>
        <w:gridCol w:w="3215"/>
        <w:gridCol w:w="60"/>
        <w:gridCol w:w="172"/>
        <w:gridCol w:w="959"/>
        <w:gridCol w:w="110"/>
        <w:gridCol w:w="82"/>
        <w:gridCol w:w="172"/>
        <w:gridCol w:w="1042"/>
        <w:gridCol w:w="80"/>
        <w:gridCol w:w="60"/>
        <w:gridCol w:w="156"/>
        <w:gridCol w:w="868"/>
        <w:gridCol w:w="100"/>
        <w:gridCol w:w="75"/>
        <w:gridCol w:w="156"/>
        <w:gridCol w:w="943"/>
        <w:gridCol w:w="95"/>
      </w:tblGrid>
      <w:tr>
        <w:trPr/>
        <w:tc>
          <w:tcPr>
            <w:tcW w:w="3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537" w:type="dxa"/>
            <w:gridSpan w:val="6"/>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Three Months Ended June 30,</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98" w:type="dxa"/>
            <w:gridSpan w:val="6"/>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Six Months Ended June 30,</w:t>
            </w:r>
          </w:p>
        </w:tc>
        <w:tc>
          <w:tcPr>
            <w:tcW w:w="95" w:type="dxa"/>
            <w:tcBorders/>
            <w:vAlign w:val="center"/>
          </w:tcPr>
          <w:p>
            <w:pPr>
              <w:pStyle w:val="TableContents"/>
              <w:bidi w:val="0"/>
              <w:spacing w:before="0" w:after="283"/>
              <w:jc w:val="left"/>
              <w:rPr/>
            </w:pPr>
            <w:r>
              <w:rPr/>
              <w:t> </w:t>
            </w:r>
          </w:p>
        </w:tc>
      </w:tr>
      <w:tr>
        <w:trPr/>
        <w:tc>
          <w:tcPr>
            <w:tcW w:w="3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31"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2026</w:t>
            </w:r>
          </w:p>
        </w:tc>
        <w:tc>
          <w:tcPr>
            <w:tcW w:w="110" w:type="dxa"/>
            <w:tcBorders/>
            <w:vAlign w:val="center"/>
          </w:tcPr>
          <w:p>
            <w:pPr>
              <w:pStyle w:val="TableContents"/>
              <w:bidi w:val="0"/>
              <w:spacing w:before="0" w:after="283"/>
              <w:jc w:val="left"/>
              <w:rPr/>
            </w:pPr>
            <w:r>
              <w:rPr/>
              <w:t> </w:t>
            </w:r>
          </w:p>
        </w:tc>
        <w:tc>
          <w:tcPr>
            <w:tcW w:w="82" w:type="dxa"/>
            <w:tcBorders/>
            <w:vAlign w:val="center"/>
          </w:tcPr>
          <w:p>
            <w:pPr>
              <w:pStyle w:val="TableContents"/>
              <w:bidi w:val="0"/>
              <w:spacing w:before="0" w:after="283"/>
              <w:jc w:val="left"/>
              <w:rPr/>
            </w:pPr>
            <w:r>
              <w:rPr/>
              <w:t> </w:t>
            </w:r>
          </w:p>
        </w:tc>
        <w:tc>
          <w:tcPr>
            <w:tcW w:w="1214"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2025</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24"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2026</w:t>
            </w:r>
          </w:p>
        </w:tc>
        <w:tc>
          <w:tcPr>
            <w:tcW w:w="10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c>
          <w:tcPr>
            <w:tcW w:w="1099"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2025</w:t>
            </w:r>
          </w:p>
        </w:tc>
        <w:tc>
          <w:tcPr>
            <w:tcW w:w="95" w:type="dxa"/>
            <w:tcBorders/>
            <w:vAlign w:val="center"/>
          </w:tcPr>
          <w:p>
            <w:pPr>
              <w:pStyle w:val="TableContents"/>
              <w:bidi w:val="0"/>
              <w:spacing w:before="0" w:after="283"/>
              <w:jc w:val="left"/>
              <w:rPr/>
            </w:pPr>
            <w:r>
              <w:rPr/>
              <w:t> </w:t>
            </w:r>
          </w:p>
        </w:tc>
      </w:tr>
      <w:tr>
        <w:trPr/>
        <w:tc>
          <w:tcPr>
            <w:tcW w:w="3215"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Balance, at the beginning of the period</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959"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321,814</w:t>
            </w:r>
          </w:p>
        </w:tc>
        <w:tc>
          <w:tcPr>
            <w:tcW w:w="110"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1042"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412,702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868"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357,889</w:t>
            </w:r>
          </w:p>
        </w:tc>
        <w:tc>
          <w:tcPr>
            <w:tcW w:w="100"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943"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432,365</w:t>
            </w:r>
          </w:p>
        </w:tc>
        <w:tc>
          <w:tcPr>
            <w:tcW w:w="95" w:type="dxa"/>
            <w:tcBorders/>
            <w:shd w:fill="CCEEFF" w:val="clear"/>
            <w:vAlign w:val="center"/>
          </w:tcPr>
          <w:p>
            <w:pPr>
              <w:pStyle w:val="TableContents"/>
              <w:bidi w:val="0"/>
              <w:spacing w:before="0" w:after="283"/>
              <w:jc w:val="left"/>
              <w:rPr/>
            </w:pPr>
            <w:r>
              <w:rPr/>
              <w:t> </w:t>
            </w:r>
          </w:p>
        </w:tc>
      </w:tr>
      <w:tr>
        <w:trPr/>
        <w:tc>
          <w:tcPr>
            <w:tcW w:w="3215"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Accruals for warranty during the period</w:t>
            </w:r>
          </w:p>
        </w:tc>
        <w:tc>
          <w:tcPr>
            <w:tcW w:w="60"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283"/>
              <w:jc w:val="left"/>
              <w:rPr/>
            </w:pPr>
            <w:r>
              <w:rPr/>
              <w:t> </w:t>
            </w:r>
          </w:p>
        </w:tc>
        <w:tc>
          <w:tcPr>
            <w:tcW w:w="959"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12,687</w:t>
            </w:r>
          </w:p>
        </w:tc>
        <w:tc>
          <w:tcPr>
            <w:tcW w:w="110" w:type="dxa"/>
            <w:tcBorders/>
            <w:vAlign w:val="center"/>
          </w:tcPr>
          <w:p>
            <w:pPr>
              <w:pStyle w:val="TableContents"/>
              <w:bidi w:val="0"/>
              <w:spacing w:before="0" w:after="283"/>
              <w:jc w:val="left"/>
              <w:rPr/>
            </w:pPr>
            <w:r>
              <w:rPr/>
              <w:t> </w:t>
            </w:r>
          </w:p>
        </w:tc>
        <w:tc>
          <w:tcPr>
            <w:tcW w:w="82"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283"/>
              <w:jc w:val="left"/>
              <w:rPr/>
            </w:pPr>
            <w:r>
              <w:rPr/>
              <w:t> </w:t>
            </w:r>
          </w:p>
        </w:tc>
        <w:tc>
          <w:tcPr>
            <w:tcW w:w="1042"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17,628</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6" w:type="dxa"/>
            <w:tcBorders/>
            <w:vAlign w:val="center"/>
          </w:tcPr>
          <w:p>
            <w:pPr>
              <w:pStyle w:val="TableContents"/>
              <w:bidi w:val="0"/>
              <w:spacing w:before="0" w:after="283"/>
              <w:jc w:val="left"/>
              <w:rPr/>
            </w:pPr>
            <w:r>
              <w:rPr/>
              <w:t> </w:t>
            </w:r>
          </w:p>
        </w:tc>
        <w:tc>
          <w:tcPr>
            <w:tcW w:w="868"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27,186</w:t>
            </w:r>
          </w:p>
        </w:tc>
        <w:tc>
          <w:tcPr>
            <w:tcW w:w="10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c>
          <w:tcPr>
            <w:tcW w:w="156" w:type="dxa"/>
            <w:tcBorders/>
            <w:vAlign w:val="center"/>
          </w:tcPr>
          <w:p>
            <w:pPr>
              <w:pStyle w:val="TableContents"/>
              <w:bidi w:val="0"/>
              <w:spacing w:before="0" w:after="283"/>
              <w:jc w:val="left"/>
              <w:rPr/>
            </w:pPr>
            <w:r>
              <w:rPr/>
              <w:t> </w:t>
            </w:r>
          </w:p>
        </w:tc>
        <w:tc>
          <w:tcPr>
            <w:tcW w:w="943"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34,094</w:t>
            </w:r>
          </w:p>
        </w:tc>
        <w:tc>
          <w:tcPr>
            <w:tcW w:w="95" w:type="dxa"/>
            <w:tcBorders/>
            <w:vAlign w:val="center"/>
          </w:tcPr>
          <w:p>
            <w:pPr>
              <w:pStyle w:val="TableContents"/>
              <w:bidi w:val="0"/>
              <w:spacing w:before="0" w:after="283"/>
              <w:jc w:val="left"/>
              <w:rPr/>
            </w:pPr>
            <w:r>
              <w:rPr/>
              <w:t> </w:t>
            </w:r>
          </w:p>
        </w:tc>
      </w:tr>
      <w:tr>
        <w:trPr/>
        <w:tc>
          <w:tcPr>
            <w:tcW w:w="3215"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Changes in estimates</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959"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(11,525</w:t>
            </w:r>
          </w:p>
        </w:tc>
        <w:tc>
          <w:tcPr>
            <w:tcW w:w="110"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82"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1042"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(3,789</w:t>
            </w:r>
          </w:p>
        </w:tc>
        <w:tc>
          <w:tcPr>
            <w:tcW w:w="80"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 </w:t>
            </w:r>
          </w:p>
        </w:tc>
        <w:tc>
          <w:tcPr>
            <w:tcW w:w="868"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(33,172</w:t>
            </w:r>
          </w:p>
        </w:tc>
        <w:tc>
          <w:tcPr>
            <w:tcW w:w="100"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75"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 </w:t>
            </w:r>
          </w:p>
        </w:tc>
        <w:tc>
          <w:tcPr>
            <w:tcW w:w="943"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(4,700</w:t>
            </w:r>
          </w:p>
        </w:tc>
        <w:tc>
          <w:tcPr>
            <w:tcW w:w="95"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r>
      <w:tr>
        <w:trPr/>
        <w:tc>
          <w:tcPr>
            <w:tcW w:w="3215"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Settlements</w:t>
            </w:r>
          </w:p>
        </w:tc>
        <w:tc>
          <w:tcPr>
            <w:tcW w:w="60" w:type="dxa"/>
            <w:tcBorders/>
            <w:vAlign w:val="center"/>
          </w:tcPr>
          <w:p>
            <w:pPr>
              <w:pStyle w:val="TableContents"/>
              <w:bidi w:val="0"/>
              <w:spacing w:before="0" w:after="283"/>
              <w:jc w:val="left"/>
              <w:rPr/>
            </w:pPr>
            <w:r>
              <w:rPr/>
              <w:t> </w:t>
            </w:r>
          </w:p>
        </w:tc>
        <w:tc>
          <w:tcPr>
            <w:tcW w:w="172" w:type="dxa"/>
            <w:tcBorders>
              <w:bottom w:val="single" w:sz="12" w:space="0" w:color="000000"/>
            </w:tcBorders>
            <w:tcMar>
              <w:bottom w:w="28" w:type="dxa"/>
            </w:tcMar>
            <w:vAlign w:val="center"/>
          </w:tcPr>
          <w:p>
            <w:pPr>
              <w:pStyle w:val="TableContents"/>
              <w:bidi w:val="0"/>
              <w:spacing w:before="0" w:after="283"/>
              <w:jc w:val="left"/>
              <w:rPr/>
            </w:pPr>
            <w:r>
              <w:rPr/>
              <w:t> </w:t>
            </w:r>
          </w:p>
        </w:tc>
        <w:tc>
          <w:tcPr>
            <w:tcW w:w="959" w:type="dxa"/>
            <w:tcBorders>
              <w:bottom w:val="single" w:sz="12" w:space="0" w:color="000000"/>
            </w:tcBorders>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(14,079</w:t>
            </w:r>
          </w:p>
        </w:tc>
        <w:tc>
          <w:tcPr>
            <w:tcW w:w="110"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82" w:type="dxa"/>
            <w:tcBorders/>
            <w:vAlign w:val="center"/>
          </w:tcPr>
          <w:p>
            <w:pPr>
              <w:pStyle w:val="TableContents"/>
              <w:bidi w:val="0"/>
              <w:spacing w:before="0" w:after="283"/>
              <w:jc w:val="left"/>
              <w:rPr/>
            </w:pPr>
            <w:r>
              <w:rPr/>
              <w:t> </w:t>
            </w:r>
          </w:p>
        </w:tc>
        <w:tc>
          <w:tcPr>
            <w:tcW w:w="172" w:type="dxa"/>
            <w:tcBorders>
              <w:bottom w:val="single" w:sz="12" w:space="0" w:color="000000"/>
            </w:tcBorders>
            <w:tcMar>
              <w:bottom w:w="28" w:type="dxa"/>
            </w:tcMar>
            <w:vAlign w:val="center"/>
          </w:tcPr>
          <w:p>
            <w:pPr>
              <w:pStyle w:val="TableContents"/>
              <w:bidi w:val="0"/>
              <w:spacing w:before="0" w:after="283"/>
              <w:jc w:val="left"/>
              <w:rPr/>
            </w:pPr>
            <w:r>
              <w:rPr/>
              <w:t> </w:t>
            </w:r>
          </w:p>
        </w:tc>
        <w:tc>
          <w:tcPr>
            <w:tcW w:w="1042" w:type="dxa"/>
            <w:tcBorders>
              <w:bottom w:val="single" w:sz="12" w:space="0" w:color="000000"/>
            </w:tcBorders>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(28,977</w:t>
            </w:r>
          </w:p>
        </w:tc>
        <w:tc>
          <w:tcPr>
            <w:tcW w:w="80"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vAlign w:val="center"/>
          </w:tcPr>
          <w:p>
            <w:pPr>
              <w:pStyle w:val="TableContents"/>
              <w:bidi w:val="0"/>
              <w:spacing w:before="0" w:after="283"/>
              <w:jc w:val="left"/>
              <w:rPr/>
            </w:pPr>
            <w:r>
              <w:rPr/>
              <w:t> </w:t>
            </w:r>
          </w:p>
        </w:tc>
        <w:tc>
          <w:tcPr>
            <w:tcW w:w="156" w:type="dxa"/>
            <w:tcBorders>
              <w:bottom w:val="single" w:sz="12" w:space="0" w:color="000000"/>
            </w:tcBorders>
            <w:tcMar>
              <w:bottom w:w="28" w:type="dxa"/>
            </w:tcMar>
            <w:vAlign w:val="center"/>
          </w:tcPr>
          <w:p>
            <w:pPr>
              <w:pStyle w:val="TableContents"/>
              <w:bidi w:val="0"/>
              <w:spacing w:before="0" w:after="283"/>
              <w:jc w:val="left"/>
              <w:rPr/>
            </w:pPr>
            <w:r>
              <w:rPr/>
              <w:t> </w:t>
            </w:r>
          </w:p>
        </w:tc>
        <w:tc>
          <w:tcPr>
            <w:tcW w:w="868" w:type="dxa"/>
            <w:tcBorders>
              <w:bottom w:val="single" w:sz="12" w:space="0" w:color="000000"/>
            </w:tcBorders>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(43,006</w:t>
            </w:r>
          </w:p>
        </w:tc>
        <w:tc>
          <w:tcPr>
            <w:tcW w:w="100"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75" w:type="dxa"/>
            <w:tcBorders/>
            <w:vAlign w:val="center"/>
          </w:tcPr>
          <w:p>
            <w:pPr>
              <w:pStyle w:val="TableContents"/>
              <w:bidi w:val="0"/>
              <w:spacing w:before="0" w:after="283"/>
              <w:jc w:val="left"/>
              <w:rPr/>
            </w:pPr>
            <w:r>
              <w:rPr/>
              <w:t> </w:t>
            </w:r>
          </w:p>
        </w:tc>
        <w:tc>
          <w:tcPr>
            <w:tcW w:w="156" w:type="dxa"/>
            <w:tcBorders>
              <w:bottom w:val="single" w:sz="12" w:space="0" w:color="000000"/>
            </w:tcBorders>
            <w:tcMar>
              <w:bottom w:w="28" w:type="dxa"/>
            </w:tcMar>
            <w:vAlign w:val="center"/>
          </w:tcPr>
          <w:p>
            <w:pPr>
              <w:pStyle w:val="TableContents"/>
              <w:bidi w:val="0"/>
              <w:spacing w:before="0" w:after="283"/>
              <w:jc w:val="left"/>
              <w:rPr/>
            </w:pPr>
            <w:r>
              <w:rPr/>
              <w:t> </w:t>
            </w:r>
          </w:p>
        </w:tc>
        <w:tc>
          <w:tcPr>
            <w:tcW w:w="943" w:type="dxa"/>
            <w:tcBorders>
              <w:bottom w:val="single" w:sz="12" w:space="0" w:color="000000"/>
            </w:tcBorders>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(64,195</w:t>
            </w:r>
          </w:p>
        </w:tc>
        <w:tc>
          <w:tcPr>
            <w:tcW w:w="95"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r>
      <w:tr>
        <w:trPr/>
        <w:tc>
          <w:tcPr>
            <w:tcW w:w="3215"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Balance, at end of the period</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959"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308,897</w:t>
            </w:r>
          </w:p>
        </w:tc>
        <w:tc>
          <w:tcPr>
            <w:tcW w:w="110"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1042"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397,564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 </w:t>
            </w:r>
          </w:p>
        </w:tc>
        <w:tc>
          <w:tcPr>
            <w:tcW w:w="868"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308,897</w:t>
            </w:r>
          </w:p>
        </w:tc>
        <w:tc>
          <w:tcPr>
            <w:tcW w:w="100"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 </w:t>
            </w:r>
          </w:p>
        </w:tc>
        <w:tc>
          <w:tcPr>
            <w:tcW w:w="943"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397,564</w:t>
            </w:r>
          </w:p>
        </w:tc>
        <w:tc>
          <w:tcPr>
            <w:tcW w:w="95" w:type="dxa"/>
            <w:tcBorders/>
            <w:shd w:fill="CCEEFF" w:val="clear"/>
            <w:vAlign w:val="center"/>
          </w:tcPr>
          <w:p>
            <w:pPr>
              <w:pStyle w:val="TableContents"/>
              <w:bidi w:val="0"/>
              <w:spacing w:before="0" w:after="283"/>
              <w:jc w:val="left"/>
              <w:rPr/>
            </w:pPr>
            <w:r>
              <w:rPr/>
              <w:t> </w:t>
            </w:r>
          </w:p>
        </w:tc>
      </w:tr>
      <w:tr>
        <w:trPr/>
        <w:tc>
          <w:tcPr>
            <w:tcW w:w="3215"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Less current portion</w:t>
            </w:r>
          </w:p>
        </w:tc>
        <w:tc>
          <w:tcPr>
            <w:tcW w:w="60" w:type="dxa"/>
            <w:tcBorders/>
            <w:vAlign w:val="center"/>
          </w:tcPr>
          <w:p>
            <w:pPr>
              <w:pStyle w:val="TableContents"/>
              <w:bidi w:val="0"/>
              <w:spacing w:before="0" w:after="283"/>
              <w:jc w:val="left"/>
              <w:rPr/>
            </w:pPr>
            <w:r>
              <w:rPr/>
              <w:t> </w:t>
            </w:r>
          </w:p>
        </w:tc>
        <w:tc>
          <w:tcPr>
            <w:tcW w:w="172" w:type="dxa"/>
            <w:tcBorders>
              <w:bottom w:val="single" w:sz="12" w:space="0" w:color="000000"/>
            </w:tcBorders>
            <w:tcMar>
              <w:bottom w:w="28" w:type="dxa"/>
            </w:tcMar>
            <w:vAlign w:val="center"/>
          </w:tcPr>
          <w:p>
            <w:pPr>
              <w:pStyle w:val="TableContents"/>
              <w:bidi w:val="0"/>
              <w:spacing w:before="0" w:after="283"/>
              <w:jc w:val="left"/>
              <w:rPr/>
            </w:pPr>
            <w:r>
              <w:rPr/>
              <w:t> </w:t>
            </w:r>
          </w:p>
        </w:tc>
        <w:tc>
          <w:tcPr>
            <w:tcW w:w="959" w:type="dxa"/>
            <w:tcBorders>
              <w:bottom w:val="single" w:sz="12" w:space="0" w:color="000000"/>
            </w:tcBorders>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(69,918</w:t>
            </w:r>
          </w:p>
        </w:tc>
        <w:tc>
          <w:tcPr>
            <w:tcW w:w="110"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82" w:type="dxa"/>
            <w:tcBorders/>
            <w:vAlign w:val="center"/>
          </w:tcPr>
          <w:p>
            <w:pPr>
              <w:pStyle w:val="TableContents"/>
              <w:bidi w:val="0"/>
              <w:spacing w:before="0" w:after="283"/>
              <w:jc w:val="left"/>
              <w:rPr/>
            </w:pPr>
            <w:r>
              <w:rPr/>
              <w:t> </w:t>
            </w:r>
          </w:p>
        </w:tc>
        <w:tc>
          <w:tcPr>
            <w:tcW w:w="172" w:type="dxa"/>
            <w:tcBorders>
              <w:bottom w:val="single" w:sz="12" w:space="0" w:color="000000"/>
            </w:tcBorders>
            <w:tcMar>
              <w:bottom w:w="28" w:type="dxa"/>
            </w:tcMar>
            <w:vAlign w:val="center"/>
          </w:tcPr>
          <w:p>
            <w:pPr>
              <w:pStyle w:val="TableContents"/>
              <w:bidi w:val="0"/>
              <w:spacing w:before="0" w:after="283"/>
              <w:jc w:val="left"/>
              <w:rPr/>
            </w:pPr>
            <w:r>
              <w:rPr/>
              <w:t> </w:t>
            </w:r>
          </w:p>
        </w:tc>
        <w:tc>
          <w:tcPr>
            <w:tcW w:w="1042" w:type="dxa"/>
            <w:tcBorders>
              <w:bottom w:val="single" w:sz="12" w:space="0" w:color="000000"/>
            </w:tcBorders>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(115,057</w:t>
            </w:r>
          </w:p>
        </w:tc>
        <w:tc>
          <w:tcPr>
            <w:tcW w:w="80"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vAlign w:val="center"/>
          </w:tcPr>
          <w:p>
            <w:pPr>
              <w:pStyle w:val="TableContents"/>
              <w:bidi w:val="0"/>
              <w:spacing w:before="0" w:after="283"/>
              <w:jc w:val="left"/>
              <w:rPr/>
            </w:pPr>
            <w:r>
              <w:rPr/>
              <w:t> </w:t>
            </w:r>
          </w:p>
        </w:tc>
        <w:tc>
          <w:tcPr>
            <w:tcW w:w="156" w:type="dxa"/>
            <w:tcBorders>
              <w:bottom w:val="single" w:sz="12" w:space="0" w:color="000000"/>
            </w:tcBorders>
            <w:tcMar>
              <w:bottom w:w="28" w:type="dxa"/>
            </w:tcMar>
            <w:vAlign w:val="center"/>
          </w:tcPr>
          <w:p>
            <w:pPr>
              <w:pStyle w:val="TableContents"/>
              <w:bidi w:val="0"/>
              <w:spacing w:before="0" w:after="283"/>
              <w:jc w:val="left"/>
              <w:rPr/>
            </w:pPr>
            <w:r>
              <w:rPr/>
              <w:t> </w:t>
            </w:r>
          </w:p>
        </w:tc>
        <w:tc>
          <w:tcPr>
            <w:tcW w:w="868" w:type="dxa"/>
            <w:tcBorders>
              <w:bottom w:val="single" w:sz="12" w:space="0" w:color="000000"/>
            </w:tcBorders>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(69,918</w:t>
            </w:r>
          </w:p>
        </w:tc>
        <w:tc>
          <w:tcPr>
            <w:tcW w:w="100"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75" w:type="dxa"/>
            <w:tcBorders/>
            <w:vAlign w:val="center"/>
          </w:tcPr>
          <w:p>
            <w:pPr>
              <w:pStyle w:val="TableContents"/>
              <w:bidi w:val="0"/>
              <w:spacing w:before="0" w:after="283"/>
              <w:jc w:val="left"/>
              <w:rPr/>
            </w:pPr>
            <w:r>
              <w:rPr/>
              <w:t> </w:t>
            </w:r>
          </w:p>
        </w:tc>
        <w:tc>
          <w:tcPr>
            <w:tcW w:w="156" w:type="dxa"/>
            <w:tcBorders>
              <w:bottom w:val="single" w:sz="12" w:space="0" w:color="000000"/>
            </w:tcBorders>
            <w:tcMar>
              <w:bottom w:w="28" w:type="dxa"/>
            </w:tcMar>
            <w:vAlign w:val="center"/>
          </w:tcPr>
          <w:p>
            <w:pPr>
              <w:pStyle w:val="TableContents"/>
              <w:bidi w:val="0"/>
              <w:spacing w:before="0" w:after="283"/>
              <w:jc w:val="left"/>
              <w:rPr/>
            </w:pPr>
            <w:r>
              <w:rPr/>
              <w:t> </w:t>
            </w:r>
          </w:p>
        </w:tc>
        <w:tc>
          <w:tcPr>
            <w:tcW w:w="943" w:type="dxa"/>
            <w:tcBorders>
              <w:bottom w:val="single" w:sz="12" w:space="0" w:color="000000"/>
            </w:tcBorders>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(115,057</w:t>
            </w:r>
          </w:p>
        </w:tc>
        <w:tc>
          <w:tcPr>
            <w:tcW w:w="95"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r>
      <w:tr>
        <w:trPr/>
        <w:tc>
          <w:tcPr>
            <w:tcW w:w="3215"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Long-term portion</w:t>
            </w:r>
          </w:p>
        </w:tc>
        <w:tc>
          <w:tcPr>
            <w:tcW w:w="60" w:type="dxa"/>
            <w:tcBorders/>
            <w:shd w:fill="CCEEFF" w:val="clear"/>
            <w:vAlign w:val="center"/>
          </w:tcPr>
          <w:p>
            <w:pPr>
              <w:pStyle w:val="TableContents"/>
              <w:bidi w:val="0"/>
              <w:spacing w:before="0" w:after="283"/>
              <w:jc w:val="left"/>
              <w:rPr/>
            </w:pPr>
            <w:r>
              <w:rPr/>
              <w:t> </w:t>
            </w:r>
          </w:p>
        </w:tc>
        <w:tc>
          <w:tcPr>
            <w:tcW w:w="172" w:type="dxa"/>
            <w:tcBorders>
              <w:bottom w:val="double" w:sz="8" w:space="0" w:color="000000"/>
            </w:tcBorders>
            <w:shd w:fill="CCEEFF" w:val="clear"/>
            <w:tcMar>
              <w:bottom w:w="28" w:type="dxa"/>
            </w:tcM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959" w:type="dxa"/>
            <w:tcBorders>
              <w:bottom w:val="double" w:sz="8" w:space="0" w:color="000000"/>
            </w:tcBorders>
            <w:shd w:fill="CCEEFF" w:val="clear"/>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238,979</w:t>
            </w:r>
          </w:p>
        </w:tc>
        <w:tc>
          <w:tcPr>
            <w:tcW w:w="110"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172" w:type="dxa"/>
            <w:tcBorders>
              <w:bottom w:val="double" w:sz="8" w:space="0" w:color="000000"/>
            </w:tcBorders>
            <w:shd w:fill="CCEEFF" w:val="clear"/>
            <w:tcMar>
              <w:bottom w:w="28" w:type="dxa"/>
            </w:tcM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1042" w:type="dxa"/>
            <w:tcBorders>
              <w:bottom w:val="double" w:sz="8" w:space="0" w:color="000000"/>
            </w:tcBorders>
            <w:shd w:fill="CCEEFF" w:val="clear"/>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282,507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6" w:type="dxa"/>
            <w:tcBorders>
              <w:bottom w:val="double" w:sz="8" w:space="0" w:color="000000"/>
            </w:tcBorders>
            <w:shd w:fill="CCEEFF" w:val="clear"/>
            <w:tcMar>
              <w:bottom w:w="28" w:type="dxa"/>
            </w:tcM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868" w:type="dxa"/>
            <w:tcBorders>
              <w:bottom w:val="double" w:sz="8" w:space="0" w:color="000000"/>
            </w:tcBorders>
            <w:shd w:fill="CCEEFF" w:val="clear"/>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238,979</w:t>
            </w:r>
          </w:p>
        </w:tc>
        <w:tc>
          <w:tcPr>
            <w:tcW w:w="100"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156" w:type="dxa"/>
            <w:tcBorders>
              <w:bottom w:val="double" w:sz="8" w:space="0" w:color="000000"/>
            </w:tcBorders>
            <w:shd w:fill="CCEEFF" w:val="clear"/>
            <w:tcMar>
              <w:bottom w:w="28" w:type="dxa"/>
            </w:tcM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943" w:type="dxa"/>
            <w:tcBorders>
              <w:bottom w:val="double" w:sz="8" w:space="0" w:color="000000"/>
            </w:tcBorders>
            <w:shd w:fill="CCEEFF" w:val="clear"/>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282,507</w:t>
            </w:r>
          </w:p>
        </w:tc>
        <w:tc>
          <w:tcPr>
            <w:tcW w:w="95" w:type="dxa"/>
            <w:tcBorders/>
            <w:shd w:fill="CCEEFF" w:val="clear"/>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200" w:after="283"/>
        <w:jc w:val="center"/>
        <w:rPr/>
      </w:pPr>
      <w:r>
        <w:rPr>
          <w:b w:val="false"/>
          <w:i w:val="false"/>
          <w:caps w:val="false"/>
          <w:smallCaps w:val="false"/>
        </w:rPr>
        <w:t xml:space="preserve">SOLAREDGE TECHNOLOGIES INC. | 2026 Form 10-Q | F - </w:t>
      </w:r>
      <w:r>
        <w:rPr>
          <w:rFonts w:ascii="Times New Roman;Times;serif" w:hAnsi="Times New Roman;Times;serif"/>
          <w:sz w:val="20"/>
        </w:rPr>
        <w:t>17</w:t>
      </w:r>
    </w:p>
    <w:p>
      <w:pPr>
        <w:pStyle w:val="HorizontalLine"/>
        <w:bidi w:val="0"/>
        <w:spacing w:before="0" w:after="0"/>
        <w:jc w:val="left"/>
        <w:rPr/>
      </w:pPr>
      <w:r>
        <w:rPr/>
      </w:r>
    </w:p>
    <w:p>
      <w:pPr>
        <w:pStyle w:val="TextBody"/>
        <w:bidi w:val="0"/>
        <w:spacing w:before="0" w:after="0"/>
        <w:jc w:val="left"/>
        <w:rPr/>
      </w:pPr>
      <w:r>
        <w:rPr/>
        <w:t> </w:t>
      </w:r>
    </w:p>
    <w:p>
      <w:pPr>
        <w:pStyle w:val="TextBody"/>
        <w:bidi w:val="0"/>
        <w:spacing w:lineRule="auto" w:line="300" w:before="0" w:after="0"/>
        <w:ind w:left="360" w:right="360" w:hanging="0"/>
        <w:jc w:val="center"/>
        <w:rPr>
          <w:b/>
        </w:rPr>
      </w:pPr>
      <w:r>
        <w:rPr>
          <w:b/>
        </w:rPr>
        <w:t>SOLAREDGE TECHNOLOGIES, INC.</w:t>
      </w:r>
    </w:p>
    <w:p>
      <w:pPr>
        <w:pStyle w:val="TextBody"/>
        <w:bidi w:val="0"/>
        <w:spacing w:lineRule="auto" w:line="300" w:before="0" w:after="0"/>
        <w:jc w:val="left"/>
        <w:rPr/>
      </w:pPr>
      <w:r>
        <w:rPr/>
        <w:t> </w:t>
      </w:r>
    </w:p>
    <w:p>
      <w:pPr>
        <w:pStyle w:val="TextBody"/>
        <w:bidi w:val="0"/>
        <w:spacing w:lineRule="auto" w:line="300" w:before="0" w:after="0"/>
        <w:ind w:left="360" w:right="360" w:hanging="0"/>
        <w:jc w:val="center"/>
        <w:rPr>
          <w:b/>
        </w:rPr>
      </w:pPr>
      <w:r>
        <w:rPr>
          <w:b/>
        </w:rPr>
        <w:t>NOTES TO CONDENSED CONSOLIDATED FINANCIAL STATEMENTS (Unaudited)</w:t>
      </w:r>
    </w:p>
    <w:p>
      <w:pPr>
        <w:pStyle w:val="TextBody"/>
        <w:bidi w:val="0"/>
        <w:spacing w:lineRule="auto" w:line="300" w:before="0" w:after="0"/>
        <w:jc w:val="left"/>
        <w:rPr/>
      </w:pPr>
      <w:r>
        <w:rPr/>
        <w:t> </w:t>
      </w:r>
    </w:p>
    <w:p>
      <w:pPr>
        <w:pStyle w:val="TextBody"/>
        <w:bidi w:val="0"/>
        <w:spacing w:lineRule="auto" w:line="300"/>
        <w:ind w:left="360" w:right="360" w:hanging="0"/>
        <w:jc w:val="center"/>
        <w:rPr/>
      </w:pPr>
      <w:r>
        <w:rPr>
          <w:b/>
        </w:rPr>
        <w:t>(in thousands, except per share data</w:t>
      </w:r>
      <w:r>
        <w:rPr/>
        <w:t>)</w:t>
      </w:r>
    </w:p>
    <w:p>
      <w:pPr>
        <w:pStyle w:val="TextBody"/>
        <w:bidi w:val="0"/>
        <w:spacing w:before="0" w:after="0"/>
        <w:jc w:val="left"/>
        <w:rPr/>
      </w:pPr>
      <w:r>
        <w:rPr/>
        <w:t> </w:t>
      </w:r>
    </w:p>
    <w:p>
      <w:pPr>
        <w:pStyle w:val="TextBody"/>
        <w:bidi w:val="0"/>
        <w:spacing w:lineRule="auto" w:line="300" w:before="0" w:after="0"/>
        <w:jc w:val="left"/>
        <w:rPr>
          <w:rFonts w:ascii="Times New Roman;Times;serif" w:hAnsi="Times New Roman;Times;serif"/>
          <w:b/>
          <w:sz w:val="20"/>
        </w:rPr>
      </w:pPr>
      <w:r>
        <w:rPr>
          <w:rFonts w:ascii="Times New Roman;Times;serif" w:hAnsi="Times New Roman;Times;serif"/>
          <w:b/>
          <w:sz w:val="20"/>
        </w:rPr>
        <w:t>NOTE 9:       DEFERRED REVENUES AND CUSTOMERS ADVANCES</w:t>
      </w:r>
    </w:p>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sz w:val="20"/>
        </w:rPr>
      </w:pPr>
      <w:r>
        <w:rPr>
          <w:rFonts w:ascii="Times New Roman;Times;serif" w:hAnsi="Times New Roman;Times;serif"/>
          <w:sz w:val="20"/>
        </w:rPr>
        <w:t>Deferred revenues and customer advances consist of deferred cloud-based monitoring services, communication services, warranty extension services and advance payments received from customers for the Company’s products and other services. Deferred revenues and customer advances are classified as short-term and long-term deferred revenues and customer advances based on the period in which revenues are expected to be recognized.</w:t>
      </w:r>
    </w:p>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sz w:val="20"/>
        </w:rPr>
      </w:pPr>
      <w:r>
        <w:rPr>
          <w:rFonts w:ascii="Times New Roman;Times;serif" w:hAnsi="Times New Roman;Times;serif"/>
          <w:sz w:val="20"/>
        </w:rPr>
        <w:t>Significant changes in the balances of deferred revenue and customer advances during the period are as follows:</w:t>
      </w:r>
    </w:p>
    <w:p>
      <w:pPr>
        <w:pStyle w:val="TextBody"/>
        <w:bidi w:val="0"/>
        <w:spacing w:lineRule="auto" w:line="300" w:before="0" w:after="0"/>
        <w:jc w:val="left"/>
        <w:rPr/>
      </w:pPr>
      <w:r>
        <w:rPr/>
        <w:t> </w:t>
      </w:r>
    </w:p>
    <w:tbl>
      <w:tblPr>
        <w:tblW w:w="9425" w:type="dxa"/>
        <w:jc w:val="left"/>
        <w:tblInd w:w="0" w:type="dxa"/>
        <w:tblLayout w:type="fixed"/>
        <w:tblCellMar>
          <w:top w:w="0" w:type="dxa"/>
          <w:left w:w="0" w:type="dxa"/>
          <w:bottom w:w="0" w:type="dxa"/>
          <w:right w:w="0" w:type="dxa"/>
        </w:tblCellMar>
      </w:tblPr>
      <w:tblGrid>
        <w:gridCol w:w="4295"/>
        <w:gridCol w:w="60"/>
        <w:gridCol w:w="178"/>
        <w:gridCol w:w="991"/>
        <w:gridCol w:w="114"/>
        <w:gridCol w:w="85"/>
        <w:gridCol w:w="178"/>
        <w:gridCol w:w="991"/>
        <w:gridCol w:w="80"/>
        <w:gridCol w:w="60"/>
        <w:gridCol w:w="156"/>
        <w:gridCol w:w="868"/>
        <w:gridCol w:w="100"/>
        <w:gridCol w:w="75"/>
        <w:gridCol w:w="156"/>
        <w:gridCol w:w="943"/>
        <w:gridCol w:w="95"/>
      </w:tblGrid>
      <w:tr>
        <w:trPr/>
        <w:tc>
          <w:tcPr>
            <w:tcW w:w="42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537" w:type="dxa"/>
            <w:gridSpan w:val="6"/>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Three Months Ended June 30,</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98" w:type="dxa"/>
            <w:gridSpan w:val="6"/>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Six Months Ended June 30,</w:t>
            </w:r>
          </w:p>
        </w:tc>
        <w:tc>
          <w:tcPr>
            <w:tcW w:w="95" w:type="dxa"/>
            <w:tcBorders/>
            <w:vAlign w:val="center"/>
          </w:tcPr>
          <w:p>
            <w:pPr>
              <w:pStyle w:val="TableContents"/>
              <w:bidi w:val="0"/>
              <w:spacing w:before="0" w:after="283"/>
              <w:jc w:val="left"/>
              <w:rPr/>
            </w:pPr>
            <w:r>
              <w:rPr/>
              <w:t> </w:t>
            </w:r>
          </w:p>
        </w:tc>
      </w:tr>
      <w:tr>
        <w:trPr/>
        <w:tc>
          <w:tcPr>
            <w:tcW w:w="42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9"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2026</w:t>
            </w:r>
          </w:p>
        </w:tc>
        <w:tc>
          <w:tcPr>
            <w:tcW w:w="114" w:type="dxa"/>
            <w:tcBorders/>
            <w:vAlign w:val="center"/>
          </w:tcPr>
          <w:p>
            <w:pPr>
              <w:pStyle w:val="TableContents"/>
              <w:bidi w:val="0"/>
              <w:spacing w:before="0" w:after="283"/>
              <w:jc w:val="left"/>
              <w:rPr/>
            </w:pPr>
            <w:r>
              <w:rPr/>
              <w:t> </w:t>
            </w:r>
          </w:p>
        </w:tc>
        <w:tc>
          <w:tcPr>
            <w:tcW w:w="85" w:type="dxa"/>
            <w:tcBorders/>
            <w:vAlign w:val="center"/>
          </w:tcPr>
          <w:p>
            <w:pPr>
              <w:pStyle w:val="TableContents"/>
              <w:bidi w:val="0"/>
              <w:spacing w:before="0" w:after="283"/>
              <w:jc w:val="left"/>
              <w:rPr/>
            </w:pPr>
            <w:r>
              <w:rPr/>
              <w:t> </w:t>
            </w:r>
          </w:p>
        </w:tc>
        <w:tc>
          <w:tcPr>
            <w:tcW w:w="1169"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2025</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24"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2026</w:t>
            </w:r>
          </w:p>
        </w:tc>
        <w:tc>
          <w:tcPr>
            <w:tcW w:w="10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c>
          <w:tcPr>
            <w:tcW w:w="1099"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2025</w:t>
            </w:r>
          </w:p>
        </w:tc>
        <w:tc>
          <w:tcPr>
            <w:tcW w:w="95" w:type="dxa"/>
            <w:tcBorders/>
            <w:vAlign w:val="center"/>
          </w:tcPr>
          <w:p>
            <w:pPr>
              <w:pStyle w:val="TableContents"/>
              <w:bidi w:val="0"/>
              <w:spacing w:before="0" w:after="283"/>
              <w:jc w:val="left"/>
              <w:rPr/>
            </w:pPr>
            <w:r>
              <w:rPr/>
              <w:t> </w:t>
            </w:r>
          </w:p>
        </w:tc>
      </w:tr>
      <w:tr>
        <w:trPr/>
        <w:tc>
          <w:tcPr>
            <w:tcW w:w="4295"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Balance, at the beginning of the period</w:t>
            </w:r>
          </w:p>
        </w:tc>
        <w:tc>
          <w:tcPr>
            <w:tcW w:w="6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991"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352,489</w:t>
            </w:r>
          </w:p>
        </w:tc>
        <w:tc>
          <w:tcPr>
            <w:tcW w:w="114"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991"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320,140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868"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363,699</w:t>
            </w:r>
          </w:p>
        </w:tc>
        <w:tc>
          <w:tcPr>
            <w:tcW w:w="100"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943"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371,919</w:t>
            </w:r>
          </w:p>
        </w:tc>
        <w:tc>
          <w:tcPr>
            <w:tcW w:w="95" w:type="dxa"/>
            <w:tcBorders/>
            <w:shd w:fill="CCEEFF" w:val="clear"/>
            <w:vAlign w:val="center"/>
          </w:tcPr>
          <w:p>
            <w:pPr>
              <w:pStyle w:val="TableContents"/>
              <w:bidi w:val="0"/>
              <w:spacing w:before="0" w:after="283"/>
              <w:jc w:val="left"/>
              <w:rPr/>
            </w:pPr>
            <w:r>
              <w:rPr/>
              <w:t> </w:t>
            </w:r>
          </w:p>
        </w:tc>
      </w:tr>
      <w:tr>
        <w:trPr/>
        <w:tc>
          <w:tcPr>
            <w:tcW w:w="4295"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Revenue recognized</w:t>
            </w:r>
          </w:p>
        </w:tc>
        <w:tc>
          <w:tcPr>
            <w:tcW w:w="60" w:type="dxa"/>
            <w:tcBorders/>
            <w:vAlign w:val="center"/>
          </w:tcPr>
          <w:p>
            <w:pPr>
              <w:pStyle w:val="TableContents"/>
              <w:bidi w:val="0"/>
              <w:spacing w:before="0" w:after="283"/>
              <w:jc w:val="left"/>
              <w:rPr/>
            </w:pPr>
            <w:r>
              <w:rPr/>
              <w:t> </w:t>
            </w:r>
          </w:p>
        </w:tc>
        <w:tc>
          <w:tcPr>
            <w:tcW w:w="178" w:type="dxa"/>
            <w:tcBorders/>
            <w:vAlign w:val="center"/>
          </w:tcPr>
          <w:p>
            <w:pPr>
              <w:pStyle w:val="TableContents"/>
              <w:bidi w:val="0"/>
              <w:spacing w:before="0" w:after="283"/>
              <w:jc w:val="left"/>
              <w:rPr/>
            </w:pPr>
            <w:r>
              <w:rPr/>
              <w:t> </w:t>
            </w:r>
          </w:p>
        </w:tc>
        <w:tc>
          <w:tcPr>
            <w:tcW w:w="991"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(26,777</w:t>
            </w:r>
          </w:p>
        </w:tc>
        <w:tc>
          <w:tcPr>
            <w:tcW w:w="114"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85" w:type="dxa"/>
            <w:tcBorders/>
            <w:vAlign w:val="center"/>
          </w:tcPr>
          <w:p>
            <w:pPr>
              <w:pStyle w:val="TableContents"/>
              <w:bidi w:val="0"/>
              <w:spacing w:before="0" w:after="283"/>
              <w:jc w:val="left"/>
              <w:rPr/>
            </w:pPr>
            <w:r>
              <w:rPr/>
              <w:t> </w:t>
            </w:r>
          </w:p>
        </w:tc>
        <w:tc>
          <w:tcPr>
            <w:tcW w:w="178" w:type="dxa"/>
            <w:tcBorders/>
            <w:vAlign w:val="center"/>
          </w:tcPr>
          <w:p>
            <w:pPr>
              <w:pStyle w:val="TableContents"/>
              <w:bidi w:val="0"/>
              <w:spacing w:before="0" w:after="283"/>
              <w:jc w:val="left"/>
              <w:rPr/>
            </w:pPr>
            <w:r>
              <w:rPr/>
              <w:t> </w:t>
            </w:r>
          </w:p>
        </w:tc>
        <w:tc>
          <w:tcPr>
            <w:tcW w:w="991"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(65,473</w:t>
            </w:r>
          </w:p>
        </w:tc>
        <w:tc>
          <w:tcPr>
            <w:tcW w:w="80"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vAlign w:val="center"/>
          </w:tcPr>
          <w:p>
            <w:pPr>
              <w:pStyle w:val="TableContents"/>
              <w:bidi w:val="0"/>
              <w:spacing w:before="0" w:after="283"/>
              <w:jc w:val="left"/>
              <w:rPr/>
            </w:pPr>
            <w:r>
              <w:rPr/>
              <w:t> </w:t>
            </w:r>
          </w:p>
        </w:tc>
        <w:tc>
          <w:tcPr>
            <w:tcW w:w="156" w:type="dxa"/>
            <w:tcBorders/>
            <w:vAlign w:val="center"/>
          </w:tcPr>
          <w:p>
            <w:pPr>
              <w:pStyle w:val="TableContents"/>
              <w:bidi w:val="0"/>
              <w:spacing w:before="0" w:after="283"/>
              <w:jc w:val="left"/>
              <w:rPr/>
            </w:pPr>
            <w:r>
              <w:rPr/>
              <w:t> </w:t>
            </w:r>
          </w:p>
        </w:tc>
        <w:tc>
          <w:tcPr>
            <w:tcW w:w="868"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(70,014</w:t>
            </w:r>
          </w:p>
        </w:tc>
        <w:tc>
          <w:tcPr>
            <w:tcW w:w="100"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75" w:type="dxa"/>
            <w:tcBorders/>
            <w:vAlign w:val="center"/>
          </w:tcPr>
          <w:p>
            <w:pPr>
              <w:pStyle w:val="TableContents"/>
              <w:bidi w:val="0"/>
              <w:spacing w:before="0" w:after="283"/>
              <w:jc w:val="left"/>
              <w:rPr/>
            </w:pPr>
            <w:r>
              <w:rPr/>
              <w:t> </w:t>
            </w:r>
          </w:p>
        </w:tc>
        <w:tc>
          <w:tcPr>
            <w:tcW w:w="156" w:type="dxa"/>
            <w:tcBorders/>
            <w:vAlign w:val="center"/>
          </w:tcPr>
          <w:p>
            <w:pPr>
              <w:pStyle w:val="TableContents"/>
              <w:bidi w:val="0"/>
              <w:spacing w:before="0" w:after="283"/>
              <w:jc w:val="left"/>
              <w:rPr/>
            </w:pPr>
            <w:r>
              <w:rPr/>
              <w:t> </w:t>
            </w:r>
          </w:p>
        </w:tc>
        <w:tc>
          <w:tcPr>
            <w:tcW w:w="943"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(133,914</w:t>
            </w:r>
          </w:p>
        </w:tc>
        <w:tc>
          <w:tcPr>
            <w:tcW w:w="95"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r>
      <w:tr>
        <w:trPr/>
        <w:tc>
          <w:tcPr>
            <w:tcW w:w="4295"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Increase in deferred revenues and customer advances</w:t>
            </w:r>
          </w:p>
        </w:tc>
        <w:tc>
          <w:tcPr>
            <w:tcW w:w="60" w:type="dxa"/>
            <w:tcBorders/>
            <w:shd w:fill="CCEEFF" w:val="clear"/>
            <w:vAlign w:val="center"/>
          </w:tcPr>
          <w:p>
            <w:pPr>
              <w:pStyle w:val="TableContents"/>
              <w:bidi w:val="0"/>
              <w:spacing w:before="0" w:after="283"/>
              <w:jc w:val="left"/>
              <w:rPr/>
            </w:pPr>
            <w:r>
              <w:rPr/>
              <w:t> </w:t>
            </w:r>
          </w:p>
        </w:tc>
        <w:tc>
          <w:tcPr>
            <w:tcW w:w="17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91" w:type="dxa"/>
            <w:tcBorders>
              <w:bottom w:val="single" w:sz="12" w:space="0" w:color="000000"/>
            </w:tcBorders>
            <w:shd w:fill="CCEEFF" w:val="clear"/>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51,298</w:t>
            </w:r>
          </w:p>
        </w:tc>
        <w:tc>
          <w:tcPr>
            <w:tcW w:w="114"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17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91" w:type="dxa"/>
            <w:tcBorders>
              <w:bottom w:val="single" w:sz="12" w:space="0" w:color="000000"/>
            </w:tcBorders>
            <w:shd w:fill="CCEEFF" w:val="clear"/>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31,238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68" w:type="dxa"/>
            <w:tcBorders>
              <w:bottom w:val="single" w:sz="12" w:space="0" w:color="000000"/>
            </w:tcBorders>
            <w:shd w:fill="CCEEFF" w:val="clear"/>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83,325</w:t>
            </w:r>
          </w:p>
        </w:tc>
        <w:tc>
          <w:tcPr>
            <w:tcW w:w="100"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15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43" w:type="dxa"/>
            <w:tcBorders>
              <w:bottom w:val="single" w:sz="12" w:space="0" w:color="000000"/>
            </w:tcBorders>
            <w:shd w:fill="CCEEFF" w:val="clear"/>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47,900</w:t>
            </w:r>
          </w:p>
        </w:tc>
        <w:tc>
          <w:tcPr>
            <w:tcW w:w="95" w:type="dxa"/>
            <w:tcBorders/>
            <w:shd w:fill="CCEEFF" w:val="clear"/>
            <w:vAlign w:val="center"/>
          </w:tcPr>
          <w:p>
            <w:pPr>
              <w:pStyle w:val="TableContents"/>
              <w:bidi w:val="0"/>
              <w:spacing w:before="0" w:after="283"/>
              <w:jc w:val="left"/>
              <w:rPr/>
            </w:pPr>
            <w:r>
              <w:rPr/>
              <w:t> </w:t>
            </w:r>
          </w:p>
        </w:tc>
      </w:tr>
      <w:tr>
        <w:trPr/>
        <w:tc>
          <w:tcPr>
            <w:tcW w:w="4295"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Balance, at the end of the period</w:t>
            </w:r>
          </w:p>
        </w:tc>
        <w:tc>
          <w:tcPr>
            <w:tcW w:w="60" w:type="dxa"/>
            <w:tcBorders/>
            <w:vAlign w:val="center"/>
          </w:tcPr>
          <w:p>
            <w:pPr>
              <w:pStyle w:val="TableContents"/>
              <w:bidi w:val="0"/>
              <w:spacing w:before="0" w:after="283"/>
              <w:jc w:val="left"/>
              <w:rPr/>
            </w:pPr>
            <w:r>
              <w:rPr/>
              <w:t> </w:t>
            </w:r>
          </w:p>
        </w:tc>
        <w:tc>
          <w:tcPr>
            <w:tcW w:w="178" w:type="dxa"/>
            <w:tcBorders/>
            <w:vAlign w:val="center"/>
          </w:tcPr>
          <w:p>
            <w:pPr>
              <w:pStyle w:val="TableContents"/>
              <w:bidi w:val="0"/>
              <w:spacing w:before="0" w:after="283"/>
              <w:jc w:val="left"/>
              <w:rPr/>
            </w:pPr>
            <w:r>
              <w:rPr/>
              <w:t> </w:t>
            </w:r>
          </w:p>
        </w:tc>
        <w:tc>
          <w:tcPr>
            <w:tcW w:w="991"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377,010</w:t>
            </w:r>
          </w:p>
        </w:tc>
        <w:tc>
          <w:tcPr>
            <w:tcW w:w="114" w:type="dxa"/>
            <w:tcBorders/>
            <w:vAlign w:val="center"/>
          </w:tcPr>
          <w:p>
            <w:pPr>
              <w:pStyle w:val="TableContents"/>
              <w:bidi w:val="0"/>
              <w:spacing w:before="0" w:after="283"/>
              <w:jc w:val="left"/>
              <w:rPr/>
            </w:pPr>
            <w:r>
              <w:rPr/>
              <w:t> </w:t>
            </w:r>
          </w:p>
        </w:tc>
        <w:tc>
          <w:tcPr>
            <w:tcW w:w="85" w:type="dxa"/>
            <w:tcBorders/>
            <w:vAlign w:val="center"/>
          </w:tcPr>
          <w:p>
            <w:pPr>
              <w:pStyle w:val="TableContents"/>
              <w:bidi w:val="0"/>
              <w:spacing w:before="0" w:after="283"/>
              <w:jc w:val="left"/>
              <w:rPr/>
            </w:pPr>
            <w:r>
              <w:rPr/>
              <w:t> </w:t>
            </w:r>
          </w:p>
        </w:tc>
        <w:tc>
          <w:tcPr>
            <w:tcW w:w="178" w:type="dxa"/>
            <w:tcBorders/>
            <w:vAlign w:val="center"/>
          </w:tcPr>
          <w:p>
            <w:pPr>
              <w:pStyle w:val="TableContents"/>
              <w:bidi w:val="0"/>
              <w:spacing w:before="0" w:after="283"/>
              <w:jc w:val="left"/>
              <w:rPr/>
            </w:pPr>
            <w:r>
              <w:rPr/>
              <w:t> </w:t>
            </w:r>
          </w:p>
        </w:tc>
        <w:tc>
          <w:tcPr>
            <w:tcW w:w="991"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285,905</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6" w:type="dxa"/>
            <w:tcBorders/>
            <w:vAlign w:val="center"/>
          </w:tcPr>
          <w:p>
            <w:pPr>
              <w:pStyle w:val="TableContents"/>
              <w:bidi w:val="0"/>
              <w:spacing w:before="0" w:after="283"/>
              <w:jc w:val="left"/>
              <w:rPr/>
            </w:pPr>
            <w:r>
              <w:rPr/>
              <w:t> </w:t>
            </w:r>
          </w:p>
        </w:tc>
        <w:tc>
          <w:tcPr>
            <w:tcW w:w="868"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377,010</w:t>
            </w:r>
          </w:p>
        </w:tc>
        <w:tc>
          <w:tcPr>
            <w:tcW w:w="10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c>
          <w:tcPr>
            <w:tcW w:w="156" w:type="dxa"/>
            <w:tcBorders/>
            <w:vAlign w:val="center"/>
          </w:tcPr>
          <w:p>
            <w:pPr>
              <w:pStyle w:val="TableContents"/>
              <w:bidi w:val="0"/>
              <w:spacing w:before="0" w:after="283"/>
              <w:jc w:val="left"/>
              <w:rPr/>
            </w:pPr>
            <w:r>
              <w:rPr/>
              <w:t> </w:t>
            </w:r>
          </w:p>
        </w:tc>
        <w:tc>
          <w:tcPr>
            <w:tcW w:w="943"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285,905</w:t>
            </w:r>
          </w:p>
        </w:tc>
        <w:tc>
          <w:tcPr>
            <w:tcW w:w="95" w:type="dxa"/>
            <w:tcBorders/>
            <w:vAlign w:val="center"/>
          </w:tcPr>
          <w:p>
            <w:pPr>
              <w:pStyle w:val="TableContents"/>
              <w:bidi w:val="0"/>
              <w:spacing w:before="0" w:after="283"/>
              <w:jc w:val="left"/>
              <w:rPr/>
            </w:pPr>
            <w:r>
              <w:rPr/>
              <w:t> </w:t>
            </w:r>
          </w:p>
        </w:tc>
      </w:tr>
      <w:tr>
        <w:trPr/>
        <w:tc>
          <w:tcPr>
            <w:tcW w:w="4295"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Less current portion</w:t>
            </w:r>
          </w:p>
        </w:tc>
        <w:tc>
          <w:tcPr>
            <w:tcW w:w="60" w:type="dxa"/>
            <w:tcBorders/>
            <w:shd w:fill="CCEEFF" w:val="clear"/>
            <w:vAlign w:val="center"/>
          </w:tcPr>
          <w:p>
            <w:pPr>
              <w:pStyle w:val="TableContents"/>
              <w:bidi w:val="0"/>
              <w:spacing w:before="0" w:after="283"/>
              <w:jc w:val="left"/>
              <w:rPr/>
            </w:pPr>
            <w:r>
              <w:rPr/>
              <w:t> </w:t>
            </w:r>
          </w:p>
        </w:tc>
        <w:tc>
          <w:tcPr>
            <w:tcW w:w="17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91" w:type="dxa"/>
            <w:tcBorders>
              <w:bottom w:val="single" w:sz="12" w:space="0" w:color="000000"/>
            </w:tcBorders>
            <w:shd w:fill="CCEEFF" w:val="clear"/>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(49,326</w:t>
            </w:r>
          </w:p>
        </w:tc>
        <w:tc>
          <w:tcPr>
            <w:tcW w:w="114"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85" w:type="dxa"/>
            <w:tcBorders/>
            <w:shd w:fill="CCEEFF" w:val="clear"/>
            <w:vAlign w:val="center"/>
          </w:tcPr>
          <w:p>
            <w:pPr>
              <w:pStyle w:val="TableContents"/>
              <w:bidi w:val="0"/>
              <w:spacing w:before="0" w:after="283"/>
              <w:jc w:val="left"/>
              <w:rPr/>
            </w:pPr>
            <w:r>
              <w:rPr/>
              <w:t> </w:t>
            </w:r>
          </w:p>
        </w:tc>
        <w:tc>
          <w:tcPr>
            <w:tcW w:w="17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91" w:type="dxa"/>
            <w:tcBorders>
              <w:bottom w:val="single" w:sz="12" w:space="0" w:color="000000"/>
            </w:tcBorders>
            <w:shd w:fill="CCEEFF" w:val="clear"/>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(37,174</w:t>
            </w:r>
          </w:p>
        </w:tc>
        <w:tc>
          <w:tcPr>
            <w:tcW w:w="80"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5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68" w:type="dxa"/>
            <w:tcBorders>
              <w:bottom w:val="single" w:sz="12" w:space="0" w:color="000000"/>
            </w:tcBorders>
            <w:shd w:fill="CCEEFF" w:val="clear"/>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(49,326</w:t>
            </w:r>
          </w:p>
        </w:tc>
        <w:tc>
          <w:tcPr>
            <w:tcW w:w="100"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75" w:type="dxa"/>
            <w:tcBorders/>
            <w:shd w:fill="CCEEFF" w:val="clear"/>
            <w:vAlign w:val="center"/>
          </w:tcPr>
          <w:p>
            <w:pPr>
              <w:pStyle w:val="TableContents"/>
              <w:bidi w:val="0"/>
              <w:spacing w:before="0" w:after="283"/>
              <w:jc w:val="left"/>
              <w:rPr/>
            </w:pPr>
            <w:r>
              <w:rPr/>
              <w:t> </w:t>
            </w:r>
          </w:p>
        </w:tc>
        <w:tc>
          <w:tcPr>
            <w:tcW w:w="15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43" w:type="dxa"/>
            <w:tcBorders>
              <w:bottom w:val="single" w:sz="12" w:space="0" w:color="000000"/>
            </w:tcBorders>
            <w:shd w:fill="CCEEFF" w:val="clear"/>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(37,174</w:t>
            </w:r>
          </w:p>
        </w:tc>
        <w:tc>
          <w:tcPr>
            <w:tcW w:w="95"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r>
      <w:tr>
        <w:trPr/>
        <w:tc>
          <w:tcPr>
            <w:tcW w:w="4295"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Long-term portion</w:t>
            </w:r>
          </w:p>
        </w:tc>
        <w:tc>
          <w:tcPr>
            <w:tcW w:w="60" w:type="dxa"/>
            <w:tcBorders/>
            <w:vAlign w:val="center"/>
          </w:tcPr>
          <w:p>
            <w:pPr>
              <w:pStyle w:val="TableContents"/>
              <w:bidi w:val="0"/>
              <w:spacing w:before="0" w:after="283"/>
              <w:jc w:val="left"/>
              <w:rPr/>
            </w:pPr>
            <w:r>
              <w:rPr/>
              <w:t> </w:t>
            </w:r>
          </w:p>
        </w:tc>
        <w:tc>
          <w:tcPr>
            <w:tcW w:w="178" w:type="dxa"/>
            <w:tcBorders>
              <w:bottom w:val="double" w:sz="8" w:space="0" w:color="000000"/>
            </w:tcBorders>
            <w:tcMar>
              <w:bottom w:w="28" w:type="dxa"/>
            </w:tcM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991" w:type="dxa"/>
            <w:tcBorders>
              <w:bottom w:val="double" w:sz="8" w:space="0" w:color="000000"/>
            </w:tcBorders>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327,684</w:t>
            </w:r>
          </w:p>
        </w:tc>
        <w:tc>
          <w:tcPr>
            <w:tcW w:w="114" w:type="dxa"/>
            <w:tcBorders/>
            <w:vAlign w:val="center"/>
          </w:tcPr>
          <w:p>
            <w:pPr>
              <w:pStyle w:val="TableContents"/>
              <w:bidi w:val="0"/>
              <w:spacing w:before="0" w:after="283"/>
              <w:jc w:val="left"/>
              <w:rPr/>
            </w:pPr>
            <w:r>
              <w:rPr/>
              <w:t> </w:t>
            </w:r>
          </w:p>
        </w:tc>
        <w:tc>
          <w:tcPr>
            <w:tcW w:w="85" w:type="dxa"/>
            <w:tcBorders/>
            <w:vAlign w:val="center"/>
          </w:tcPr>
          <w:p>
            <w:pPr>
              <w:pStyle w:val="TableContents"/>
              <w:bidi w:val="0"/>
              <w:spacing w:before="0" w:after="283"/>
              <w:jc w:val="left"/>
              <w:rPr/>
            </w:pPr>
            <w:r>
              <w:rPr/>
              <w:t> </w:t>
            </w:r>
          </w:p>
        </w:tc>
        <w:tc>
          <w:tcPr>
            <w:tcW w:w="178" w:type="dxa"/>
            <w:tcBorders>
              <w:bottom w:val="double" w:sz="8" w:space="0" w:color="000000"/>
            </w:tcBorders>
            <w:tcMar>
              <w:bottom w:w="28" w:type="dxa"/>
            </w:tcM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991" w:type="dxa"/>
            <w:tcBorders>
              <w:bottom w:val="double" w:sz="8" w:space="0" w:color="000000"/>
            </w:tcBorders>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248,731</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6" w:type="dxa"/>
            <w:tcBorders>
              <w:bottom w:val="double" w:sz="8" w:space="0" w:color="000000"/>
            </w:tcBorders>
            <w:tcMar>
              <w:bottom w:w="28" w:type="dxa"/>
            </w:tcM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868" w:type="dxa"/>
            <w:tcBorders>
              <w:bottom w:val="double" w:sz="8" w:space="0" w:color="000000"/>
            </w:tcBorders>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327,684</w:t>
            </w:r>
          </w:p>
        </w:tc>
        <w:tc>
          <w:tcPr>
            <w:tcW w:w="10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c>
          <w:tcPr>
            <w:tcW w:w="156" w:type="dxa"/>
            <w:tcBorders>
              <w:bottom w:val="double" w:sz="8" w:space="0" w:color="000000"/>
            </w:tcBorders>
            <w:tcMar>
              <w:bottom w:w="28" w:type="dxa"/>
            </w:tcM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943" w:type="dxa"/>
            <w:tcBorders>
              <w:bottom w:val="double" w:sz="8" w:space="0" w:color="000000"/>
            </w:tcBorders>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248,731</w:t>
            </w:r>
          </w:p>
        </w:tc>
        <w:tc>
          <w:tcPr>
            <w:tcW w:w="95" w:type="dxa"/>
            <w:tcBorders/>
            <w:vAlign w:val="center"/>
          </w:tcPr>
          <w:p>
            <w:pPr>
              <w:pStyle w:val="TableContents"/>
              <w:bidi w:val="0"/>
              <w:spacing w:before="0" w:after="283"/>
              <w:jc w:val="left"/>
              <w:rPr/>
            </w:pPr>
            <w:r>
              <w:rPr/>
              <w:t> </w:t>
            </w:r>
          </w:p>
        </w:tc>
      </w:tr>
    </w:tbl>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sz w:val="20"/>
        </w:rPr>
      </w:pPr>
      <w:r>
        <w:rPr>
          <w:rFonts w:ascii="Times New Roman;Times;serif" w:hAnsi="Times New Roman;Times;serif"/>
          <w:sz w:val="20"/>
        </w:rPr>
        <w:t>The following table includes estimated revenues that the Company expects to be recognized in the future, related to performance obligations that are unsatisfied (or partially unsatisfied) as of June 30, 2026:</w:t>
      </w:r>
    </w:p>
    <w:p>
      <w:pPr>
        <w:pStyle w:val="TextBody"/>
        <w:bidi w:val="0"/>
        <w:spacing w:lineRule="auto" w:line="300" w:before="0" w:after="0"/>
        <w:jc w:val="left"/>
        <w:rPr/>
      </w:pPr>
      <w:r>
        <w:rPr/>
        <w:t> </w:t>
      </w:r>
    </w:p>
    <w:tbl>
      <w:tblPr>
        <w:tblW w:w="2895" w:type="dxa"/>
        <w:jc w:val="left"/>
        <w:tblInd w:w="0" w:type="dxa"/>
        <w:tblLayout w:type="fixed"/>
        <w:tblCellMar>
          <w:top w:w="0" w:type="dxa"/>
          <w:left w:w="0" w:type="dxa"/>
          <w:bottom w:w="0" w:type="dxa"/>
          <w:right w:w="0" w:type="dxa"/>
        </w:tblCellMar>
      </w:tblPr>
      <w:tblGrid>
        <w:gridCol w:w="1940"/>
        <w:gridCol w:w="60"/>
        <w:gridCol w:w="125"/>
        <w:gridCol w:w="695"/>
        <w:gridCol w:w="75"/>
      </w:tblGrid>
      <w:tr>
        <w:trPr/>
        <w:tc>
          <w:tcPr>
            <w:tcW w:w="1940"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2026</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45,006</w:t>
            </w:r>
          </w:p>
        </w:tc>
        <w:tc>
          <w:tcPr>
            <w:tcW w:w="75" w:type="dxa"/>
            <w:tcBorders/>
            <w:shd w:fill="CCEEFF" w:val="clear"/>
            <w:vAlign w:val="center"/>
          </w:tcPr>
          <w:p>
            <w:pPr>
              <w:pStyle w:val="TableContents"/>
              <w:bidi w:val="0"/>
              <w:spacing w:before="0" w:after="283"/>
              <w:jc w:val="left"/>
              <w:rPr/>
            </w:pPr>
            <w:r>
              <w:rPr/>
              <w:t> </w:t>
            </w:r>
          </w:p>
        </w:tc>
      </w:tr>
      <w:tr>
        <w:trPr/>
        <w:tc>
          <w:tcPr>
            <w:tcW w:w="1940"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2027</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29,808</w:t>
            </w:r>
          </w:p>
        </w:tc>
        <w:tc>
          <w:tcPr>
            <w:tcW w:w="75" w:type="dxa"/>
            <w:tcBorders/>
            <w:vAlign w:val="center"/>
          </w:tcPr>
          <w:p>
            <w:pPr>
              <w:pStyle w:val="TableContents"/>
              <w:bidi w:val="0"/>
              <w:spacing w:before="0" w:after="283"/>
              <w:jc w:val="left"/>
              <w:rPr/>
            </w:pPr>
            <w:r>
              <w:rPr/>
              <w:t> </w:t>
            </w:r>
          </w:p>
        </w:tc>
      </w:tr>
      <w:tr>
        <w:trPr/>
        <w:tc>
          <w:tcPr>
            <w:tcW w:w="1940"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2028</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31,858</w:t>
            </w:r>
          </w:p>
        </w:tc>
        <w:tc>
          <w:tcPr>
            <w:tcW w:w="75" w:type="dxa"/>
            <w:tcBorders/>
            <w:shd w:fill="CCEEFF" w:val="clear"/>
            <w:vAlign w:val="center"/>
          </w:tcPr>
          <w:p>
            <w:pPr>
              <w:pStyle w:val="TableContents"/>
              <w:bidi w:val="0"/>
              <w:spacing w:before="0" w:after="283"/>
              <w:jc w:val="left"/>
              <w:rPr/>
            </w:pPr>
            <w:r>
              <w:rPr/>
              <w:t> </w:t>
            </w:r>
          </w:p>
        </w:tc>
      </w:tr>
      <w:tr>
        <w:trPr/>
        <w:tc>
          <w:tcPr>
            <w:tcW w:w="1940"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2029</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27,460</w:t>
            </w:r>
          </w:p>
        </w:tc>
        <w:tc>
          <w:tcPr>
            <w:tcW w:w="75" w:type="dxa"/>
            <w:tcBorders/>
            <w:vAlign w:val="center"/>
          </w:tcPr>
          <w:p>
            <w:pPr>
              <w:pStyle w:val="TableContents"/>
              <w:bidi w:val="0"/>
              <w:spacing w:before="0" w:after="283"/>
              <w:jc w:val="left"/>
              <w:rPr/>
            </w:pPr>
            <w:r>
              <w:rPr/>
              <w:t> </w:t>
            </w:r>
          </w:p>
        </w:tc>
      </w:tr>
      <w:tr>
        <w:trPr/>
        <w:tc>
          <w:tcPr>
            <w:tcW w:w="1940"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2030</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17,744</w:t>
            </w:r>
          </w:p>
        </w:tc>
        <w:tc>
          <w:tcPr>
            <w:tcW w:w="75" w:type="dxa"/>
            <w:tcBorders/>
            <w:shd w:fill="CCEEFF" w:val="clear"/>
            <w:vAlign w:val="center"/>
          </w:tcPr>
          <w:p>
            <w:pPr>
              <w:pStyle w:val="TableContents"/>
              <w:bidi w:val="0"/>
              <w:spacing w:before="0" w:after="283"/>
              <w:jc w:val="left"/>
              <w:rPr/>
            </w:pPr>
            <w:r>
              <w:rPr/>
              <w:t> </w:t>
            </w:r>
          </w:p>
        </w:tc>
      </w:tr>
      <w:tr>
        <w:trPr/>
        <w:tc>
          <w:tcPr>
            <w:tcW w:w="1940"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Thereafter</w:t>
            </w:r>
          </w:p>
        </w:tc>
        <w:tc>
          <w:tcPr>
            <w:tcW w:w="60" w:type="dxa"/>
            <w:tcBorders/>
            <w:vAlign w:val="center"/>
          </w:tcPr>
          <w:p>
            <w:pPr>
              <w:pStyle w:val="TableContents"/>
              <w:bidi w:val="0"/>
              <w:spacing w:before="0" w:after="283"/>
              <w:jc w:val="left"/>
              <w:rPr/>
            </w:pPr>
            <w:r>
              <w:rPr/>
              <w:t> </w:t>
            </w:r>
          </w:p>
        </w:tc>
        <w:tc>
          <w:tcPr>
            <w:tcW w:w="125" w:type="dxa"/>
            <w:tcBorders>
              <w:bottom w:val="single" w:sz="12" w:space="0" w:color="000000"/>
            </w:tcBorders>
            <w:tcMar>
              <w:bottom w:w="28" w:type="dxa"/>
            </w:tcMar>
            <w:vAlign w:val="center"/>
          </w:tcPr>
          <w:p>
            <w:pPr>
              <w:pStyle w:val="TableContents"/>
              <w:bidi w:val="0"/>
              <w:spacing w:before="0" w:after="283"/>
              <w:jc w:val="left"/>
              <w:rPr/>
            </w:pPr>
            <w:r>
              <w:rPr/>
              <w:t> </w:t>
            </w:r>
          </w:p>
        </w:tc>
        <w:tc>
          <w:tcPr>
            <w:tcW w:w="695" w:type="dxa"/>
            <w:tcBorders>
              <w:bottom w:val="single" w:sz="12" w:space="0" w:color="000000"/>
            </w:tcBorders>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225,134</w:t>
            </w:r>
          </w:p>
        </w:tc>
        <w:tc>
          <w:tcPr>
            <w:tcW w:w="75" w:type="dxa"/>
            <w:tcBorders/>
            <w:vAlign w:val="center"/>
          </w:tcPr>
          <w:p>
            <w:pPr>
              <w:pStyle w:val="TableContents"/>
              <w:bidi w:val="0"/>
              <w:spacing w:before="0" w:after="283"/>
              <w:jc w:val="left"/>
              <w:rPr/>
            </w:pPr>
            <w:r>
              <w:rPr/>
              <w:t> </w:t>
            </w:r>
          </w:p>
        </w:tc>
      </w:tr>
      <w:tr>
        <w:trPr/>
        <w:tc>
          <w:tcPr>
            <w:tcW w:w="1940"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Total deferred revenues</w:t>
            </w:r>
          </w:p>
        </w:tc>
        <w:tc>
          <w:tcPr>
            <w:tcW w:w="60" w:type="dxa"/>
            <w:tcBorders/>
            <w:shd w:fill="CCEEFF" w:val="clear"/>
            <w:vAlign w:val="center"/>
          </w:tcPr>
          <w:p>
            <w:pPr>
              <w:pStyle w:val="TableContents"/>
              <w:bidi w:val="0"/>
              <w:spacing w:before="0" w:after="283"/>
              <w:jc w:val="left"/>
              <w:rPr/>
            </w:pPr>
            <w:r>
              <w:rPr/>
              <w:t> </w:t>
            </w:r>
          </w:p>
        </w:tc>
        <w:tc>
          <w:tcPr>
            <w:tcW w:w="125" w:type="dxa"/>
            <w:tcBorders>
              <w:bottom w:val="double" w:sz="8" w:space="0" w:color="000000"/>
            </w:tcBorders>
            <w:shd w:fill="CCEEFF" w:val="clear"/>
            <w:tcMar>
              <w:bottom w:w="28" w:type="dxa"/>
            </w:tcM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8" w:space="0" w:color="000000"/>
            </w:tcBorders>
            <w:shd w:fill="CCEEFF" w:val="clear"/>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377,010</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lineRule="auto" w:line="300" w:before="0" w:after="0"/>
        <w:jc w:val="left"/>
        <w:rPr>
          <w:rFonts w:ascii="Times New Roman;Times;serif" w:hAnsi="Times New Roman;Times;serif"/>
          <w:b/>
          <w:sz w:val="20"/>
        </w:rPr>
      </w:pPr>
      <w:r>
        <w:rPr>
          <w:rFonts w:ascii="Times New Roman;Times;serif" w:hAnsi="Times New Roman;Times;serif"/>
          <w:b/>
          <w:sz w:val="20"/>
        </w:rPr>
        <w:t>NOTE 10:     ACCRUED EXPENSES AND OTHER CURRENT LIABILITIES</w:t>
      </w:r>
    </w:p>
    <w:p>
      <w:pPr>
        <w:pStyle w:val="TextBody"/>
        <w:bidi w:val="0"/>
        <w:spacing w:lineRule="auto" w:line="300" w:before="0" w:after="0"/>
        <w:jc w:val="left"/>
        <w:rPr/>
      </w:pPr>
      <w:r>
        <w:rPr/>
        <w:t> </w:t>
      </w:r>
    </w:p>
    <w:tbl>
      <w:tblPr>
        <w:tblW w:w="6424" w:type="dxa"/>
        <w:jc w:val="left"/>
        <w:tblInd w:w="0" w:type="dxa"/>
        <w:tblLayout w:type="fixed"/>
        <w:tblCellMar>
          <w:top w:w="0" w:type="dxa"/>
          <w:left w:w="0" w:type="dxa"/>
          <w:bottom w:w="0" w:type="dxa"/>
          <w:right w:w="0" w:type="dxa"/>
        </w:tblCellMar>
      </w:tblPr>
      <w:tblGrid>
        <w:gridCol w:w="4175"/>
        <w:gridCol w:w="60"/>
        <w:gridCol w:w="125"/>
        <w:gridCol w:w="695"/>
        <w:gridCol w:w="60"/>
        <w:gridCol w:w="60"/>
        <w:gridCol w:w="178"/>
        <w:gridCol w:w="996"/>
        <w:gridCol w:w="75"/>
      </w:tblGrid>
      <w:tr>
        <w:trPr/>
        <w:tc>
          <w:tcPr>
            <w:tcW w:w="41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0"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June 30,</w:t>
            </w:r>
          </w:p>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4"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December 31,</w:t>
            </w:r>
          </w:p>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2025</w:t>
            </w:r>
          </w:p>
        </w:tc>
        <w:tc>
          <w:tcPr>
            <w:tcW w:w="75" w:type="dxa"/>
            <w:tcBorders/>
            <w:vAlign w:val="center"/>
          </w:tcPr>
          <w:p>
            <w:pPr>
              <w:pStyle w:val="TableContents"/>
              <w:bidi w:val="0"/>
              <w:spacing w:before="0" w:after="283"/>
              <w:jc w:val="left"/>
              <w:rPr/>
            </w:pPr>
            <w:r>
              <w:rPr/>
              <w:t> </w:t>
            </w:r>
          </w:p>
        </w:tc>
      </w:tr>
      <w:tr>
        <w:trPr/>
        <w:tc>
          <w:tcPr>
            <w:tcW w:w="4175"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Accrued expenses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154,537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996"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211,136</w:t>
            </w:r>
          </w:p>
        </w:tc>
        <w:tc>
          <w:tcPr>
            <w:tcW w:w="75" w:type="dxa"/>
            <w:tcBorders/>
            <w:shd w:fill="CCEEFF" w:val="clear"/>
            <w:vAlign w:val="center"/>
          </w:tcPr>
          <w:p>
            <w:pPr>
              <w:pStyle w:val="TableContents"/>
              <w:bidi w:val="0"/>
              <w:spacing w:before="0" w:after="283"/>
              <w:jc w:val="left"/>
              <w:rPr/>
            </w:pPr>
            <w:r>
              <w:rPr/>
              <w:t> </w:t>
            </w:r>
          </w:p>
        </w:tc>
      </w:tr>
      <w:tr>
        <w:trPr/>
        <w:tc>
          <w:tcPr>
            <w:tcW w:w="4175"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Government authorities</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16,008</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8" w:type="dxa"/>
            <w:tcBorders/>
            <w:vAlign w:val="center"/>
          </w:tcPr>
          <w:p>
            <w:pPr>
              <w:pStyle w:val="TableContents"/>
              <w:bidi w:val="0"/>
              <w:spacing w:before="0" w:after="283"/>
              <w:jc w:val="left"/>
              <w:rPr/>
            </w:pPr>
            <w:r>
              <w:rPr/>
              <w:t> </w:t>
            </w:r>
          </w:p>
        </w:tc>
        <w:tc>
          <w:tcPr>
            <w:tcW w:w="996"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20,493</w:t>
            </w:r>
          </w:p>
        </w:tc>
        <w:tc>
          <w:tcPr>
            <w:tcW w:w="75" w:type="dxa"/>
            <w:tcBorders/>
            <w:vAlign w:val="center"/>
          </w:tcPr>
          <w:p>
            <w:pPr>
              <w:pStyle w:val="TableContents"/>
              <w:bidi w:val="0"/>
              <w:spacing w:before="0" w:after="283"/>
              <w:jc w:val="left"/>
              <w:rPr/>
            </w:pPr>
            <w:r>
              <w:rPr/>
              <w:t> </w:t>
            </w:r>
          </w:p>
        </w:tc>
      </w:tr>
      <w:tr>
        <w:trPr/>
        <w:tc>
          <w:tcPr>
            <w:tcW w:w="4175"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Operating lease liabilities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13,473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996"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15,959</w:t>
            </w:r>
          </w:p>
        </w:tc>
        <w:tc>
          <w:tcPr>
            <w:tcW w:w="75" w:type="dxa"/>
            <w:tcBorders/>
            <w:shd w:fill="CCEEFF" w:val="clear"/>
            <w:vAlign w:val="center"/>
          </w:tcPr>
          <w:p>
            <w:pPr>
              <w:pStyle w:val="TableContents"/>
              <w:bidi w:val="0"/>
              <w:spacing w:before="0" w:after="283"/>
              <w:jc w:val="left"/>
              <w:rPr/>
            </w:pPr>
            <w:r>
              <w:rPr/>
              <w:t> </w:t>
            </w:r>
          </w:p>
        </w:tc>
      </w:tr>
      <w:tr>
        <w:trPr/>
        <w:tc>
          <w:tcPr>
            <w:tcW w:w="4175"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Accrual for sales incentives</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16,632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8" w:type="dxa"/>
            <w:tcBorders/>
            <w:vAlign w:val="center"/>
          </w:tcPr>
          <w:p>
            <w:pPr>
              <w:pStyle w:val="TableContents"/>
              <w:bidi w:val="0"/>
              <w:spacing w:before="0" w:after="283"/>
              <w:jc w:val="left"/>
              <w:rPr/>
            </w:pPr>
            <w:r>
              <w:rPr/>
              <w:t> </w:t>
            </w:r>
          </w:p>
        </w:tc>
        <w:tc>
          <w:tcPr>
            <w:tcW w:w="996"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24,102</w:t>
            </w:r>
          </w:p>
        </w:tc>
        <w:tc>
          <w:tcPr>
            <w:tcW w:w="75" w:type="dxa"/>
            <w:tcBorders/>
            <w:vAlign w:val="center"/>
          </w:tcPr>
          <w:p>
            <w:pPr>
              <w:pStyle w:val="TableContents"/>
              <w:bidi w:val="0"/>
              <w:spacing w:before="0" w:after="283"/>
              <w:jc w:val="left"/>
              <w:rPr/>
            </w:pPr>
            <w:r>
              <w:rPr/>
              <w:t> </w:t>
            </w:r>
          </w:p>
        </w:tc>
      </w:tr>
      <w:tr>
        <w:trPr/>
        <w:tc>
          <w:tcPr>
            <w:tcW w:w="4175"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Provision for legal claims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68,749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996"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13,199</w:t>
            </w:r>
          </w:p>
        </w:tc>
        <w:tc>
          <w:tcPr>
            <w:tcW w:w="75" w:type="dxa"/>
            <w:tcBorders/>
            <w:shd w:fill="CCEEFF" w:val="clear"/>
            <w:vAlign w:val="center"/>
          </w:tcPr>
          <w:p>
            <w:pPr>
              <w:pStyle w:val="TableContents"/>
              <w:bidi w:val="0"/>
              <w:spacing w:before="0" w:after="283"/>
              <w:jc w:val="left"/>
              <w:rPr/>
            </w:pPr>
            <w:r>
              <w:rPr/>
              <w:t> </w:t>
            </w:r>
          </w:p>
        </w:tc>
      </w:tr>
      <w:tr>
        <w:trPr/>
        <w:tc>
          <w:tcPr>
            <w:tcW w:w="4175"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Liabilities held-for-sale</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8" w:type="dxa"/>
            <w:tcBorders/>
            <w:vAlign w:val="center"/>
          </w:tcPr>
          <w:p>
            <w:pPr>
              <w:pStyle w:val="TableContents"/>
              <w:bidi w:val="0"/>
              <w:spacing w:before="0" w:after="283"/>
              <w:jc w:val="left"/>
              <w:rPr/>
            </w:pPr>
            <w:r>
              <w:rPr/>
              <w:t> </w:t>
            </w:r>
          </w:p>
        </w:tc>
        <w:tc>
          <w:tcPr>
            <w:tcW w:w="996"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7,592</w:t>
            </w:r>
          </w:p>
        </w:tc>
        <w:tc>
          <w:tcPr>
            <w:tcW w:w="75" w:type="dxa"/>
            <w:tcBorders/>
            <w:vAlign w:val="center"/>
          </w:tcPr>
          <w:p>
            <w:pPr>
              <w:pStyle w:val="TableContents"/>
              <w:bidi w:val="0"/>
              <w:spacing w:before="0" w:after="283"/>
              <w:jc w:val="left"/>
              <w:rPr/>
            </w:pPr>
            <w:r>
              <w:rPr/>
              <w:t> </w:t>
            </w:r>
          </w:p>
        </w:tc>
      </w:tr>
      <w:tr>
        <w:trPr/>
        <w:tc>
          <w:tcPr>
            <w:tcW w:w="4175"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Other</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95" w:type="dxa"/>
            <w:tcBorders>
              <w:bottom w:val="single" w:sz="12" w:space="0" w:color="000000"/>
            </w:tcBorders>
            <w:shd w:fill="CCEEFF" w:val="clear"/>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5,443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96" w:type="dxa"/>
            <w:tcBorders>
              <w:bottom w:val="single" w:sz="12" w:space="0" w:color="000000"/>
            </w:tcBorders>
            <w:shd w:fill="CCEEFF" w:val="clear"/>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5,338</w:t>
            </w:r>
          </w:p>
        </w:tc>
        <w:tc>
          <w:tcPr>
            <w:tcW w:w="75" w:type="dxa"/>
            <w:tcBorders/>
            <w:shd w:fill="CCEEFF" w:val="clear"/>
            <w:vAlign w:val="center"/>
          </w:tcPr>
          <w:p>
            <w:pPr>
              <w:pStyle w:val="TableContents"/>
              <w:bidi w:val="0"/>
              <w:spacing w:before="0" w:after="283"/>
              <w:jc w:val="left"/>
              <w:rPr/>
            </w:pPr>
            <w:r>
              <w:rPr/>
              <w:t> </w:t>
            </w:r>
          </w:p>
        </w:tc>
      </w:tr>
      <w:tr>
        <w:trPr/>
        <w:tc>
          <w:tcPr>
            <w:tcW w:w="4175"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Total accrued expenses and other current liabilities</w:t>
            </w:r>
          </w:p>
        </w:tc>
        <w:tc>
          <w:tcPr>
            <w:tcW w:w="60" w:type="dxa"/>
            <w:tcBorders/>
            <w:vAlign w:val="center"/>
          </w:tcPr>
          <w:p>
            <w:pPr>
              <w:pStyle w:val="TableContents"/>
              <w:bidi w:val="0"/>
              <w:spacing w:before="0" w:after="283"/>
              <w:jc w:val="left"/>
              <w:rPr/>
            </w:pPr>
            <w:r>
              <w:rPr/>
              <w:t> </w:t>
            </w:r>
          </w:p>
        </w:tc>
        <w:tc>
          <w:tcPr>
            <w:tcW w:w="125" w:type="dxa"/>
            <w:tcBorders>
              <w:bottom w:val="double" w:sz="8" w:space="0" w:color="000000"/>
            </w:tcBorders>
            <w:tcMar>
              <w:bottom w:w="28" w:type="dxa"/>
            </w:tcM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8" w:space="0" w:color="000000"/>
            </w:tcBorders>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274,842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8" w:type="dxa"/>
            <w:tcBorders>
              <w:bottom w:val="double" w:sz="8" w:space="0" w:color="000000"/>
            </w:tcBorders>
            <w:tcMar>
              <w:bottom w:w="28" w:type="dxa"/>
            </w:tcM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996" w:type="dxa"/>
            <w:tcBorders>
              <w:bottom w:val="double" w:sz="8" w:space="0" w:color="000000"/>
            </w:tcBorders>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297,819</w:t>
            </w:r>
          </w:p>
        </w:tc>
        <w:tc>
          <w:tcPr>
            <w:tcW w:w="75"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200" w:after="283"/>
        <w:jc w:val="center"/>
        <w:rPr/>
      </w:pPr>
      <w:r>
        <w:rPr>
          <w:b w:val="false"/>
          <w:i w:val="false"/>
          <w:caps w:val="false"/>
          <w:smallCaps w:val="false"/>
        </w:rPr>
        <w:t xml:space="preserve">SOLAREDGE TECHNOLOGIES INC. | 2026 Form 10-Q | F - </w:t>
      </w:r>
      <w:r>
        <w:rPr>
          <w:rFonts w:ascii="Times New Roman;Times;serif" w:hAnsi="Times New Roman;Times;serif"/>
          <w:sz w:val="20"/>
        </w:rPr>
        <w:t>18</w:t>
      </w:r>
    </w:p>
    <w:p>
      <w:pPr>
        <w:pStyle w:val="HorizontalLine"/>
        <w:bidi w:val="0"/>
        <w:spacing w:before="0" w:after="0"/>
        <w:jc w:val="left"/>
        <w:rPr/>
      </w:pPr>
      <w:r>
        <w:rPr/>
      </w:r>
    </w:p>
    <w:p>
      <w:pPr>
        <w:pStyle w:val="TextBody"/>
        <w:bidi w:val="0"/>
        <w:spacing w:before="0" w:after="0"/>
        <w:jc w:val="left"/>
        <w:rPr/>
      </w:pPr>
      <w:r>
        <w:rPr/>
        <w:t> </w:t>
      </w:r>
    </w:p>
    <w:p>
      <w:pPr>
        <w:pStyle w:val="TextBody"/>
        <w:bidi w:val="0"/>
        <w:spacing w:lineRule="auto" w:line="300" w:before="0" w:after="0"/>
        <w:ind w:left="360" w:right="360" w:hanging="0"/>
        <w:jc w:val="center"/>
        <w:rPr>
          <w:b/>
        </w:rPr>
      </w:pPr>
      <w:r>
        <w:rPr>
          <w:b/>
        </w:rPr>
        <w:t>SOLAREDGE TECHNOLOGIES, INC.</w:t>
      </w:r>
    </w:p>
    <w:p>
      <w:pPr>
        <w:pStyle w:val="TextBody"/>
        <w:bidi w:val="0"/>
        <w:spacing w:lineRule="auto" w:line="300" w:before="0" w:after="0"/>
        <w:jc w:val="left"/>
        <w:rPr/>
      </w:pPr>
      <w:r>
        <w:rPr/>
        <w:t> </w:t>
      </w:r>
    </w:p>
    <w:p>
      <w:pPr>
        <w:pStyle w:val="TextBody"/>
        <w:bidi w:val="0"/>
        <w:spacing w:lineRule="auto" w:line="300" w:before="0" w:after="0"/>
        <w:ind w:left="360" w:right="360" w:hanging="0"/>
        <w:jc w:val="center"/>
        <w:rPr>
          <w:b/>
        </w:rPr>
      </w:pPr>
      <w:r>
        <w:rPr>
          <w:b/>
        </w:rPr>
        <w:t>NOTES TO CONDENSED CONSOLIDATED FINANCIAL STATEMENTS (Unaudited)</w:t>
      </w:r>
    </w:p>
    <w:p>
      <w:pPr>
        <w:pStyle w:val="TextBody"/>
        <w:bidi w:val="0"/>
        <w:spacing w:lineRule="auto" w:line="300" w:before="0" w:after="0"/>
        <w:jc w:val="left"/>
        <w:rPr/>
      </w:pPr>
      <w:r>
        <w:rPr/>
        <w:t> </w:t>
      </w:r>
    </w:p>
    <w:p>
      <w:pPr>
        <w:pStyle w:val="TextBody"/>
        <w:bidi w:val="0"/>
        <w:spacing w:lineRule="auto" w:line="300"/>
        <w:ind w:left="360" w:right="360" w:hanging="0"/>
        <w:jc w:val="center"/>
        <w:rPr/>
      </w:pPr>
      <w:r>
        <w:rPr>
          <w:b/>
        </w:rPr>
        <w:t>(in thousands, except per share data</w:t>
      </w:r>
      <w:r>
        <w:rPr/>
        <w:t>)</w:t>
      </w:r>
    </w:p>
    <w:p>
      <w:pPr>
        <w:pStyle w:val="TextBody"/>
        <w:bidi w:val="0"/>
        <w:spacing w:before="0" w:after="0"/>
        <w:jc w:val="left"/>
        <w:rPr/>
      </w:pPr>
      <w:r>
        <w:rPr/>
        <w:t> </w:t>
      </w:r>
    </w:p>
    <w:p>
      <w:pPr>
        <w:pStyle w:val="TextBody"/>
        <w:bidi w:val="0"/>
        <w:spacing w:lineRule="auto" w:line="300" w:before="0" w:after="0"/>
        <w:jc w:val="left"/>
        <w:rPr/>
      </w:pPr>
      <w:r>
        <w:rPr/>
        <w:t> </w:t>
      </w:r>
      <w:r>
        <w:rPr>
          <w:rFonts w:ascii="Times New Roman;Times;serif" w:hAnsi="Times New Roman;Times;serif"/>
          <w:b/>
          <w:sz w:val="20"/>
        </w:rPr>
        <w:t>NOTE 11:       CONVERTIBLE SENIOR NOTES</w:t>
      </w:r>
    </w:p>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sz w:val="20"/>
        </w:rPr>
      </w:pPr>
      <w:r>
        <w:rPr>
          <w:rFonts w:ascii="Times New Roman;Times;serif" w:hAnsi="Times New Roman;Times;serif"/>
          <w:sz w:val="20"/>
        </w:rPr>
        <w:t>On September 25, 2020, the Company sold an aggregate principal amount of $632,500 of its 0.00% convertible senior notes due 2025 (the “Notes 2025”). The Notes 2025 were sold pursuant to an indenture, dated September 25, 2020 (the “Indenture”), between the Company and U.S. Bank National Association, as trustee. The Notes 2025 did not bear regular interest and matured on September 15, 2025. The Notes 2025 were general senior unsecured obligations of the Company. The initial conversion rate for the Notes 2025 was 3.5997 shares of common stock per $1,000 principal amount of Notes 2025, which was equivalent to an initial conversion price of approximately $277.80 per share of common stock, subject to adjustment upon the occurrence of certain specified events as set forth in the Indenture. In March 2025 the Company repurchased $5,250 principal amount of its Notes 2025. The Company recorded a net gain of $146, under other income, net, from the repurchase. The Company repaid all of the remaining Notes 2025 on their scheduled maturity of September 15, 2025. At maturity, the Company paid $342,250 in cash towards the principal amount of the Notes 2025 and no shares were issued in connection with the settlement as the conversion value was less than the principal amount of the Notes 2025.</w:t>
      </w:r>
    </w:p>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sz w:val="20"/>
        </w:rPr>
      </w:pPr>
      <w:r>
        <w:rPr>
          <w:rFonts w:ascii="Times New Roman;Times;serif" w:hAnsi="Times New Roman;Times;serif"/>
          <w:sz w:val="20"/>
        </w:rPr>
        <w:t>On June 28, 2024, the Company sold an aggregate principal amount of $300,000 of its 2.25% convertible senior notes, due in 2029 (the “Notes 2029”). The Notes 2029 were sold pursuant to an indenture, dated June 28, 2024 (the “Indenture 2029”), between the Company and U.S. Bank National Association, as trustee. The Notes 2029 will bear interest at a rate of 2.25% per year, payable semiannually in arrears on January 1 and July 1 of each year, beginning on January 1, 2025. The Notes 2029 mature on July 1, 2029, unless repurchased, redeemed or converted in accordance with their terms prior to such date. The Notes 2029 are general senior unsecured obligations of the Company. Holders may convert their Notes 2029 at any time prior to the close of business on the business day immediately preceding April 1, 2029 in multiples of $1,000 principal amount, only under the following circumstances: (1) during any calendar quarter commencing after the calendar quarter ending on September 30, 2024 (and only during such calendar quarter), if the last reported sale price of the common stock for at least 20 trading days (whether or not consecutive) during the period of 30 consecutive trading days ending on, and including, the last trading day of the immediately preceding calendar quarter is greater than or equal to 130% of the conversion price on each applicable trading day; (2) during the five business day period after any five consecutive trading day period in which the trading price per $1,000 principal amount of the Notes 2029 for each trading day of that five consecutive trading day period was less than 98% of the product of the last reported sale price of the common stock and the conversion rate on each such trading day; or (3) upon the occurrence of specified corporate events or if the Company provides a notice of redemption as described in the Indenture 2029. During the quarter ended June 30, 2026, the last reported sale price condition described above was satisfied. Accordingly, the Notes 2029 are convertible at the option of the holders during the quarter ending September 30, 2026. The Company will continue to assess the conversion conditions on a quarterly basis in accordance with the terms of the Indenture 2029.</w:t>
      </w:r>
    </w:p>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sz w:val="20"/>
        </w:rPr>
      </w:pPr>
      <w:r>
        <w:rPr>
          <w:rFonts w:ascii="Times New Roman;Times;serif" w:hAnsi="Times New Roman;Times;serif"/>
          <w:sz w:val="20"/>
        </w:rPr>
        <w:t>In addition, holders may convert their Notes 2029, in multiples of $1,000 principal amount, at their option at any time beginning on or after April 1, 2029, and prior to the close of business on the second scheduled trading day immediately preceding the stated maturity date of the Notes 2029, without regard to the foregoing circumstances. The initial conversion rate for the Notes 2029 is 29.1375 shares of common stock per $1,000 principal amount of Notes 2029, which is equivalent to an initial conversion price of approximately $34.32 per share of common stock, subject to adjustment upon the occurrence of certain specified events as set forth in the Indenture 2029.</w:t>
      </w:r>
    </w:p>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sz w:val="20"/>
        </w:rPr>
      </w:pPr>
      <w:r>
        <w:rPr>
          <w:rFonts w:ascii="Times New Roman;Times;serif" w:hAnsi="Times New Roman;Times;serif"/>
          <w:sz w:val="20"/>
        </w:rPr>
        <w:t>Upon conversion of the Notes 2029, the Company may choose to pay or deliver, as the case may be, cash, shares of common stock or a combination of cash and shares of common stock.</w:t>
      </w:r>
    </w:p>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sz w:val="20"/>
        </w:rPr>
      </w:pPr>
      <w:r>
        <w:rPr>
          <w:rFonts w:ascii="Times New Roman;Times;serif" w:hAnsi="Times New Roman;Times;serif"/>
          <w:sz w:val="20"/>
        </w:rPr>
        <w:t>In addition, upon the occurrence of a fundamental change (as defined in the Indenture 2029), holders of the Notes 2029 may require the Company to repurchase all or a portion of their Notes 2029, in multiples of $1,000 principal amounts, at a repurchase price of 100% of the principal amount of the Notes 2029, plus any accrued and unpaid interest, if any, up to, but not including, the repurchase date. If certain fundamental changes referred to as make-whole fundamental changes occur, the conversion rate for the Notes 2029 may be increased.</w:t>
      </w:r>
    </w:p>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sz w:val="20"/>
        </w:rPr>
      </w:pPr>
      <w:r>
        <w:rPr>
          <w:rFonts w:ascii="Times New Roman;Times;serif" w:hAnsi="Times New Roman;Times;serif"/>
          <w:sz w:val="20"/>
        </w:rPr>
        <w:t>The Notes 2029 are not redeemable prior to July 6, 2027. On or after July 6, 2027, the Company may redeem the Notes 2029 at its option if the last reported sale price of the common stock has been at least 130% of the conversion price, then in effect, for at least 20 trading days (whether or not consecutive) during any 30 consecutive trading day period (including the last trading day of such period) ending on and including the trading day immediately preceding the date on which the Company provides notice of redemption, at a redemption price equal to 100% of the principal amount of the Notes 2029 to be redeemed, plus accrued and unpaid interest, if any, up to, but excluding, the redemption date.</w:t>
      </w:r>
    </w:p>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sz w:val="20"/>
        </w:rPr>
      </w:pPr>
      <w:r>
        <w:rPr>
          <w:rFonts w:ascii="Times New Roman;Times;serif" w:hAnsi="Times New Roman;Times;serif"/>
          <w:sz w:val="20"/>
        </w:rPr>
        <w:t>The net proceeds from the offering of the Notes 2029 were approximately $293,200, after deducting fees and estimated expenses. Concurrently, the Company has entered into capped call transactions (as detailed below). The Company used approximately $25,230 of the net proceeds from this offering to pay the cost of the capped call transactions. The Company also used approximately $267,900 of the net proceeds, from this offering, to repurchase $285,000 principal amount of its Notes 2025. In June 2024, the Company recorded under other income, net a gain of $15,456 from the repurchase of Notes 2025.</w:t>
      </w:r>
    </w:p>
    <w:p>
      <w:pPr>
        <w:pStyle w:val="TextBody"/>
        <w:bidi w:val="0"/>
        <w:spacing w:lineRule="auto" w:line="300" w:before="0" w:after="0"/>
        <w:jc w:val="both"/>
        <w:rPr/>
      </w:pPr>
      <w:r>
        <w:rPr/>
        <w:t> </w:t>
      </w:r>
    </w:p>
    <w:p>
      <w:pPr>
        <w:pStyle w:val="TextBody"/>
        <w:bidi w:val="0"/>
        <w:spacing w:lineRule="auto" w:line="300" w:before="200" w:after="283"/>
        <w:jc w:val="center"/>
        <w:rPr/>
      </w:pPr>
      <w:r>
        <w:rPr>
          <w:b w:val="false"/>
          <w:i w:val="false"/>
          <w:caps w:val="false"/>
          <w:smallCaps w:val="false"/>
        </w:rPr>
        <w:t xml:space="preserve">SOLAREDGE TECHNOLOGIES INC. | 2026 Form 10-Q | F - </w:t>
      </w:r>
      <w:r>
        <w:rPr>
          <w:rFonts w:ascii="Times New Roman;Times;serif" w:hAnsi="Times New Roman;Times;serif"/>
          <w:sz w:val="20"/>
        </w:rPr>
        <w:t>19</w:t>
      </w:r>
    </w:p>
    <w:p>
      <w:pPr>
        <w:pStyle w:val="HorizontalLine"/>
        <w:bidi w:val="0"/>
        <w:spacing w:lineRule="auto" w:line="300" w:before="0" w:after="0"/>
        <w:jc w:val="left"/>
        <w:rPr/>
      </w:pPr>
      <w:r>
        <w:rPr/>
      </w:r>
    </w:p>
    <w:p>
      <w:pPr>
        <w:pStyle w:val="TextBody"/>
        <w:bidi w:val="0"/>
        <w:spacing w:lineRule="auto" w:line="300" w:before="0" w:after="0"/>
        <w:jc w:val="left"/>
        <w:rPr/>
      </w:pPr>
      <w:r>
        <w:rPr/>
        <w:t> </w:t>
      </w:r>
    </w:p>
    <w:p>
      <w:pPr>
        <w:pStyle w:val="TextBody"/>
        <w:bidi w:val="0"/>
        <w:spacing w:lineRule="auto" w:line="300" w:before="0" w:after="0"/>
        <w:ind w:left="360" w:right="360" w:hanging="0"/>
        <w:jc w:val="center"/>
        <w:rPr>
          <w:b/>
        </w:rPr>
      </w:pPr>
      <w:r>
        <w:rPr>
          <w:b/>
        </w:rPr>
        <w:t>SOLAREDGE TECHNOLOGIES, INC.</w:t>
      </w:r>
    </w:p>
    <w:p>
      <w:pPr>
        <w:pStyle w:val="TextBody"/>
        <w:bidi w:val="0"/>
        <w:spacing w:lineRule="auto" w:line="300" w:before="0" w:after="0"/>
        <w:jc w:val="left"/>
        <w:rPr/>
      </w:pPr>
      <w:r>
        <w:rPr/>
        <w:t> </w:t>
      </w:r>
    </w:p>
    <w:p>
      <w:pPr>
        <w:pStyle w:val="TextBody"/>
        <w:bidi w:val="0"/>
        <w:spacing w:lineRule="auto" w:line="300" w:before="0" w:after="0"/>
        <w:ind w:left="360" w:right="360" w:hanging="0"/>
        <w:jc w:val="center"/>
        <w:rPr>
          <w:b/>
        </w:rPr>
      </w:pPr>
      <w:r>
        <w:rPr>
          <w:b/>
        </w:rPr>
        <w:t>NOTES TO CONDENSED CONSOLIDATED FINANCIAL STATEMENTS (Unaudited)</w:t>
      </w:r>
    </w:p>
    <w:p>
      <w:pPr>
        <w:pStyle w:val="TextBody"/>
        <w:bidi w:val="0"/>
        <w:spacing w:lineRule="auto" w:line="300" w:before="0" w:after="0"/>
        <w:jc w:val="left"/>
        <w:rPr/>
      </w:pPr>
      <w:r>
        <w:rPr/>
        <w:t> </w:t>
      </w:r>
    </w:p>
    <w:p>
      <w:pPr>
        <w:pStyle w:val="TextBody"/>
        <w:bidi w:val="0"/>
        <w:spacing w:lineRule="auto" w:line="300"/>
        <w:ind w:left="360" w:right="360" w:hanging="0"/>
        <w:jc w:val="center"/>
        <w:rPr/>
      </w:pPr>
      <w:r>
        <w:rPr>
          <w:b/>
        </w:rPr>
        <w:t>(in thousands, except per share data</w:t>
      </w:r>
      <w:r>
        <w:rPr/>
        <w:t>)</w:t>
      </w:r>
    </w:p>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sz w:val="20"/>
        </w:rPr>
      </w:pPr>
      <w:r>
        <w:rPr>
          <w:rFonts w:ascii="Times New Roman;Times;serif" w:hAnsi="Times New Roman;Times;serif"/>
          <w:sz w:val="20"/>
        </w:rPr>
        <w:t>The Company accounts for the Notes 2029 at amortized cost, as a single unit of account on the balance sheet. The carrying value of the liability is represented by the face amount of the Notes 2029, less debt issuance costs, adjusted for any amortization of issuance costs. Issuance costs are being amortized as interest expense over the term of the Notes 2029, using the effective interest rate method.</w:t>
      </w:r>
    </w:p>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sz w:val="20"/>
        </w:rPr>
      </w:pPr>
      <w:r>
        <w:rPr>
          <w:rFonts w:ascii="Times New Roman;Times;serif" w:hAnsi="Times New Roman;Times;serif"/>
          <w:sz w:val="20"/>
        </w:rPr>
        <w:t>The capped call transactions are expected generally to reduce the potential dilution to the common stock upon any conversion of the Notes 2029 and/or offset any cash payments the Company is required to make in excess of the principal amount of converted Notes 2029, as the case may be, in the event that the market price per share of common stock, as measured under the terms of the capped call transactions, is greater than the strike price of the capped call transactions. The strike price initially corresponds to the conversion price of the Notes 2029 and is subject to customary anti-dilution adjustments. If, however, the market price per share of common stock exceeds $48.84, the initial cap price of the capped call transactions, there would nevertheless be unmitigated dilution and/or no offset of any cash payments, in each case, attributable to the amount by which the market price of the common stock exceeds the cap price. The cap price is subject to certain customary adjustments under the terms of the capped call transactions.</w:t>
      </w:r>
    </w:p>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sz w:val="20"/>
        </w:rPr>
      </w:pPr>
      <w:r>
        <w:rPr>
          <w:rFonts w:ascii="Times New Roman;Times;serif" w:hAnsi="Times New Roman;Times;serif"/>
          <w:sz w:val="20"/>
        </w:rPr>
        <w:t>The capped call transactions are considered a freestanding instrument as they were entered into separately and apart from Notes 2029. In addition, the conversion or redemption of the Notes 2029 would not automatically result in the exercise of the capped call.</w:t>
      </w:r>
    </w:p>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sz w:val="20"/>
        </w:rPr>
      </w:pPr>
      <w:r>
        <w:rPr>
          <w:rFonts w:ascii="Times New Roman;Times;serif" w:hAnsi="Times New Roman;Times;serif"/>
          <w:sz w:val="20"/>
        </w:rPr>
        <w:t>As the capped call transactions are indexed to the Company's common stock, they were recorded as a reduction of additional paid-in capital in the condensed consolidated balance sheets.</w:t>
      </w:r>
    </w:p>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sz w:val="20"/>
        </w:rPr>
      </w:pPr>
      <w:r>
        <w:rPr>
          <w:rFonts w:ascii="Times New Roman;Times;serif" w:hAnsi="Times New Roman;Times;serif"/>
          <w:sz w:val="20"/>
        </w:rPr>
        <w:t>On July 8, 2024, the Company sold to Goldman Sachs &amp; Co. LLC, as representative of the several initial purchasers (the “Initial Purchasers”), and the Initial Purchasers purchased from the Company, $37,000 aggregate principal amount of additional Notes 2029. The additional Notes 2029 were sold pursuant to the Initial Purchasers’ exercise of the option granted by the Company to the Initial Purchasers to purchase additional Notes 2029, solely to cover over-allotments, under the purchase agreement described in the Company's Form 8-K filed on June 28, 2024.</w:t>
      </w:r>
    </w:p>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sz w:val="20"/>
        </w:rPr>
      </w:pPr>
      <w:r>
        <w:rPr>
          <w:rFonts w:ascii="Times New Roman;Times;serif" w:hAnsi="Times New Roman;Times;serif"/>
          <w:sz w:val="20"/>
        </w:rPr>
        <w:t>The net proceeds from the exercise of the option granted by the Company to the Initial Purchasers of the Notes 2029 were approximately $36,237, after deducting fees and estimated expenses. Concurrently, the Company has entered into additional capped call transactions. The Company used approximately $3,111 of the net proceeds from this offering to pay the cost of the additional capped call transactions. The Company intends to use the remainder of the net proceeds from the offering for general corporate purposes.</w:t>
      </w:r>
    </w:p>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sz w:val="20"/>
        </w:rPr>
      </w:pPr>
      <w:r>
        <w:rPr>
          <w:rFonts w:ascii="Times New Roman;Times;serif" w:hAnsi="Times New Roman;Times;serif"/>
          <w:sz w:val="20"/>
        </w:rPr>
        <w:t>The Notes 2029 consisted of the following as of June 30, 2026 and December 31, 2025:</w:t>
      </w:r>
    </w:p>
    <w:p>
      <w:pPr>
        <w:pStyle w:val="TextBody"/>
        <w:bidi w:val="0"/>
        <w:spacing w:lineRule="auto" w:line="300" w:before="0" w:after="0"/>
        <w:jc w:val="left"/>
        <w:rPr/>
      </w:pPr>
      <w:r>
        <w:rPr/>
        <w:t> </w:t>
      </w:r>
    </w:p>
    <w:tbl>
      <w:tblPr>
        <w:tblW w:w="4604" w:type="dxa"/>
        <w:jc w:val="left"/>
        <w:tblInd w:w="0" w:type="dxa"/>
        <w:tblLayout w:type="fixed"/>
        <w:tblCellMar>
          <w:top w:w="0" w:type="dxa"/>
          <w:left w:w="0" w:type="dxa"/>
          <w:bottom w:w="0" w:type="dxa"/>
          <w:right w:w="0" w:type="dxa"/>
        </w:tblCellMar>
      </w:tblPr>
      <w:tblGrid>
        <w:gridCol w:w="2270"/>
        <w:gridCol w:w="60"/>
        <w:gridCol w:w="125"/>
        <w:gridCol w:w="695"/>
        <w:gridCol w:w="80"/>
        <w:gridCol w:w="60"/>
        <w:gridCol w:w="185"/>
        <w:gridCol w:w="1034"/>
        <w:gridCol w:w="95"/>
      </w:tblGrid>
      <w:tr>
        <w:trPr/>
        <w:tc>
          <w:tcPr>
            <w:tcW w:w="22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0"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June 30, </w:t>
            </w:r>
          </w:p>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2026</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19"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December 31, </w:t>
            </w:r>
          </w:p>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2025</w:t>
            </w:r>
          </w:p>
        </w:tc>
        <w:tc>
          <w:tcPr>
            <w:tcW w:w="95" w:type="dxa"/>
            <w:tcBorders/>
            <w:vAlign w:val="center"/>
          </w:tcPr>
          <w:p>
            <w:pPr>
              <w:pStyle w:val="TableContents"/>
              <w:bidi w:val="0"/>
              <w:spacing w:before="0" w:after="283"/>
              <w:jc w:val="left"/>
              <w:rPr/>
            </w:pPr>
            <w:r>
              <w:rPr/>
              <w:t> </w:t>
            </w:r>
          </w:p>
        </w:tc>
      </w:tr>
      <w:tr>
        <w:trPr/>
        <w:tc>
          <w:tcPr>
            <w:tcW w:w="2270"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Liability:</w:t>
            </w:r>
          </w:p>
        </w:tc>
        <w:tc>
          <w:tcPr>
            <w:tcW w:w="60" w:type="dxa"/>
            <w:tcBorders/>
            <w:shd w:fill="CCEEFF" w:val="clear"/>
            <w:vAlign w:val="center"/>
          </w:tcPr>
          <w:p>
            <w:pPr>
              <w:pStyle w:val="TableContents"/>
              <w:bidi w:val="0"/>
              <w:spacing w:before="0" w:after="283"/>
              <w:jc w:val="left"/>
              <w:rPr/>
            </w:pPr>
            <w:r>
              <w:rPr/>
              <w:t> </w:t>
            </w:r>
          </w:p>
        </w:tc>
        <w:tc>
          <w:tcPr>
            <w:tcW w:w="820" w:type="dxa"/>
            <w:gridSpan w:val="2"/>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19" w:type="dxa"/>
            <w:gridSpan w:val="2"/>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2270" w:type="dxa"/>
            <w:tcBorders/>
            <w:vAlign w:val="center"/>
          </w:tcPr>
          <w:p>
            <w:pPr>
              <w:pStyle w:val="TableContents"/>
              <w:bidi w:val="0"/>
              <w:spacing w:lineRule="auto" w:line="300" w:before="0" w:after="0"/>
              <w:ind w:left="270" w:right="0" w:hanging="0"/>
              <w:jc w:val="left"/>
              <w:rPr>
                <w:rFonts w:ascii="Times New Roman;Times;serif" w:hAnsi="Times New Roman;Times;serif"/>
                <w:sz w:val="20"/>
              </w:rPr>
            </w:pPr>
            <w:r>
              <w:rPr>
                <w:rFonts w:ascii="Times New Roman;Times;serif" w:hAnsi="Times New Roman;Times;serif"/>
                <w:sz w:val="20"/>
              </w:rPr>
              <w:t>Principal</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95"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337,000</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1034"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337,000</w:t>
            </w:r>
          </w:p>
        </w:tc>
        <w:tc>
          <w:tcPr>
            <w:tcW w:w="95" w:type="dxa"/>
            <w:tcBorders/>
            <w:vAlign w:val="center"/>
          </w:tcPr>
          <w:p>
            <w:pPr>
              <w:pStyle w:val="TableContents"/>
              <w:bidi w:val="0"/>
              <w:spacing w:before="0" w:after="283"/>
              <w:jc w:val="left"/>
              <w:rPr/>
            </w:pPr>
            <w:r>
              <w:rPr/>
              <w:t> </w:t>
            </w:r>
          </w:p>
        </w:tc>
      </w:tr>
      <w:tr>
        <w:trPr/>
        <w:tc>
          <w:tcPr>
            <w:tcW w:w="2270" w:type="dxa"/>
            <w:tcBorders/>
            <w:shd w:fill="CCEEFF" w:val="clear"/>
            <w:vAlign w:val="center"/>
          </w:tcPr>
          <w:p>
            <w:pPr>
              <w:pStyle w:val="TableContents"/>
              <w:bidi w:val="0"/>
              <w:spacing w:lineRule="auto" w:line="300" w:before="0" w:after="0"/>
              <w:ind w:left="270" w:right="0" w:hanging="0"/>
              <w:jc w:val="left"/>
              <w:rPr>
                <w:rFonts w:ascii="Times New Roman;Times;serif" w:hAnsi="Times New Roman;Times;serif"/>
                <w:sz w:val="20"/>
              </w:rPr>
            </w:pPr>
            <w:r>
              <w:rPr>
                <w:rFonts w:ascii="Times New Roman;Times;serif" w:hAnsi="Times New Roman;Times;serif"/>
                <w:sz w:val="20"/>
              </w:rPr>
              <w:t>Unamortized issuance costs</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95" w:type="dxa"/>
            <w:tcBorders>
              <w:bottom w:val="single" w:sz="12" w:space="0" w:color="000000"/>
            </w:tcBorders>
            <w:shd w:fill="CCEEFF" w:val="clear"/>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(4,668</w:t>
            </w:r>
          </w:p>
        </w:tc>
        <w:tc>
          <w:tcPr>
            <w:tcW w:w="80"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8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34" w:type="dxa"/>
            <w:tcBorders>
              <w:bottom w:val="single" w:sz="12" w:space="0" w:color="000000"/>
            </w:tcBorders>
            <w:shd w:fill="CCEEFF" w:val="clear"/>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(5,439</w:t>
            </w:r>
          </w:p>
        </w:tc>
        <w:tc>
          <w:tcPr>
            <w:tcW w:w="95"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r>
      <w:tr>
        <w:trPr/>
        <w:tc>
          <w:tcPr>
            <w:tcW w:w="2270"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Net carrying amount</w:t>
            </w:r>
          </w:p>
        </w:tc>
        <w:tc>
          <w:tcPr>
            <w:tcW w:w="60" w:type="dxa"/>
            <w:tcBorders/>
            <w:vAlign w:val="center"/>
          </w:tcPr>
          <w:p>
            <w:pPr>
              <w:pStyle w:val="TableContents"/>
              <w:bidi w:val="0"/>
              <w:spacing w:before="0" w:after="283"/>
              <w:jc w:val="left"/>
              <w:rPr/>
            </w:pPr>
            <w:r>
              <w:rPr/>
              <w:t> </w:t>
            </w:r>
          </w:p>
        </w:tc>
        <w:tc>
          <w:tcPr>
            <w:tcW w:w="125" w:type="dxa"/>
            <w:tcBorders>
              <w:bottom w:val="double" w:sz="8" w:space="0" w:color="000000"/>
            </w:tcBorders>
            <w:tcMar>
              <w:bottom w:w="28" w:type="dxa"/>
            </w:tcM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8" w:space="0" w:color="000000"/>
            </w:tcBorders>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332,332</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5" w:type="dxa"/>
            <w:tcBorders>
              <w:bottom w:val="double" w:sz="8" w:space="0" w:color="000000"/>
            </w:tcBorders>
            <w:tcMar>
              <w:bottom w:w="28" w:type="dxa"/>
            </w:tcM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1034" w:type="dxa"/>
            <w:tcBorders>
              <w:bottom w:val="double" w:sz="8" w:space="0" w:color="000000"/>
            </w:tcBorders>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331,561</w:t>
            </w:r>
          </w:p>
        </w:tc>
        <w:tc>
          <w:tcPr>
            <w:tcW w:w="95" w:type="dxa"/>
            <w:tcBorders/>
            <w:vAlign w:val="center"/>
          </w:tcPr>
          <w:p>
            <w:pPr>
              <w:pStyle w:val="TableContents"/>
              <w:bidi w:val="0"/>
              <w:spacing w:before="0" w:after="283"/>
              <w:jc w:val="left"/>
              <w:rPr/>
            </w:pPr>
            <w:r>
              <w:rPr/>
              <w:t> </w:t>
            </w:r>
          </w:p>
        </w:tc>
      </w:tr>
    </w:tbl>
    <w:p>
      <w:pPr>
        <w:pStyle w:val="TextBody"/>
        <w:bidi w:val="0"/>
        <w:spacing w:lineRule="auto" w:line="300" w:before="0" w:after="0"/>
        <w:jc w:val="left"/>
        <w:rPr/>
      </w:pPr>
      <w:r>
        <w:rPr/>
        <w:t> </w:t>
      </w:r>
    </w:p>
    <w:p>
      <w:pPr>
        <w:pStyle w:val="TextBody"/>
        <w:bidi w:val="0"/>
        <w:spacing w:lineRule="auto" w:line="300" w:before="200" w:after="283"/>
        <w:jc w:val="center"/>
        <w:rPr/>
      </w:pPr>
      <w:r>
        <w:rPr>
          <w:b w:val="false"/>
          <w:i w:val="false"/>
          <w:caps w:val="false"/>
          <w:smallCaps w:val="false"/>
        </w:rPr>
        <w:t xml:space="preserve">SOLAREDGE TECHNOLOGIES INC. | 2026 Form 10-Q | F - </w:t>
      </w:r>
      <w:r>
        <w:rPr>
          <w:rFonts w:ascii="Times New Roman;Times;serif" w:hAnsi="Times New Roman;Times;serif"/>
          <w:sz w:val="20"/>
        </w:rPr>
        <w:t>20</w:t>
      </w:r>
    </w:p>
    <w:p>
      <w:pPr>
        <w:pStyle w:val="HorizontalLine"/>
        <w:bidi w:val="0"/>
        <w:spacing w:lineRule="auto" w:line="300" w:before="0" w:after="0"/>
        <w:jc w:val="left"/>
        <w:rPr/>
      </w:pPr>
      <w:r>
        <w:rPr/>
      </w:r>
    </w:p>
    <w:p>
      <w:pPr>
        <w:pStyle w:val="TextBody"/>
        <w:bidi w:val="0"/>
        <w:spacing w:lineRule="auto" w:line="300" w:before="0" w:after="0"/>
        <w:jc w:val="left"/>
        <w:rPr/>
      </w:pPr>
      <w:r>
        <w:rPr/>
        <w:t> </w:t>
      </w:r>
    </w:p>
    <w:p>
      <w:pPr>
        <w:pStyle w:val="TextBody"/>
        <w:bidi w:val="0"/>
        <w:spacing w:lineRule="auto" w:line="300" w:before="0" w:after="0"/>
        <w:ind w:left="360" w:right="360" w:hanging="0"/>
        <w:jc w:val="center"/>
        <w:rPr>
          <w:b/>
        </w:rPr>
      </w:pPr>
      <w:r>
        <w:rPr>
          <w:b/>
        </w:rPr>
        <w:t>SOLAREDGE TECHNOLOGIES, INC.</w:t>
      </w:r>
    </w:p>
    <w:p>
      <w:pPr>
        <w:pStyle w:val="TextBody"/>
        <w:bidi w:val="0"/>
        <w:spacing w:lineRule="auto" w:line="300" w:before="0" w:after="0"/>
        <w:jc w:val="left"/>
        <w:rPr/>
      </w:pPr>
      <w:r>
        <w:rPr/>
        <w:t> </w:t>
      </w:r>
    </w:p>
    <w:p>
      <w:pPr>
        <w:pStyle w:val="TextBody"/>
        <w:bidi w:val="0"/>
        <w:spacing w:lineRule="auto" w:line="300" w:before="0" w:after="0"/>
        <w:ind w:left="360" w:right="360" w:hanging="0"/>
        <w:jc w:val="center"/>
        <w:rPr>
          <w:b/>
        </w:rPr>
      </w:pPr>
      <w:r>
        <w:rPr>
          <w:b/>
        </w:rPr>
        <w:t>NOTES TO CONDENSED CONSOLIDATED FINANCIAL STATEMENTS (Unaudited)</w:t>
      </w:r>
    </w:p>
    <w:p>
      <w:pPr>
        <w:pStyle w:val="TextBody"/>
        <w:bidi w:val="0"/>
        <w:spacing w:lineRule="auto" w:line="300" w:before="0" w:after="0"/>
        <w:jc w:val="left"/>
        <w:rPr/>
      </w:pPr>
      <w:r>
        <w:rPr/>
        <w:t> </w:t>
      </w:r>
    </w:p>
    <w:p>
      <w:pPr>
        <w:pStyle w:val="TextBody"/>
        <w:bidi w:val="0"/>
        <w:spacing w:lineRule="auto" w:line="300"/>
        <w:ind w:left="360" w:right="360" w:hanging="0"/>
        <w:jc w:val="center"/>
        <w:rPr/>
      </w:pPr>
      <w:r>
        <w:rPr>
          <w:b/>
        </w:rPr>
        <w:t>(in thousands, except per share data</w:t>
      </w:r>
      <w:r>
        <w:rPr/>
        <w:t>)</w:t>
      </w:r>
    </w:p>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sz w:val="20"/>
        </w:rPr>
      </w:pPr>
      <w:r>
        <w:rPr>
          <w:rFonts w:ascii="Times New Roman;Times;serif" w:hAnsi="Times New Roman;Times;serif"/>
          <w:sz w:val="20"/>
        </w:rPr>
        <w:t>Costs related to the Notes 2025 and the Notes 2029 for the three and six months ended June 30, 2026 and 2025 were as follows:</w:t>
      </w:r>
    </w:p>
    <w:p>
      <w:pPr>
        <w:pStyle w:val="TextBody"/>
        <w:bidi w:val="0"/>
        <w:spacing w:lineRule="auto" w:line="300" w:before="0" w:after="0"/>
        <w:jc w:val="left"/>
        <w:rPr/>
      </w:pPr>
      <w:r>
        <w:rPr/>
        <w:t> </w:t>
      </w:r>
    </w:p>
    <w:tbl>
      <w:tblPr>
        <w:tblW w:w="5934" w:type="dxa"/>
        <w:jc w:val="left"/>
        <w:tblInd w:w="0" w:type="dxa"/>
        <w:tblLayout w:type="fixed"/>
        <w:tblCellMar>
          <w:top w:w="0" w:type="dxa"/>
          <w:left w:w="0" w:type="dxa"/>
          <w:bottom w:w="0" w:type="dxa"/>
          <w:right w:w="0" w:type="dxa"/>
        </w:tblCellMar>
      </w:tblPr>
      <w:tblGrid>
        <w:gridCol w:w="2345"/>
        <w:gridCol w:w="60"/>
        <w:gridCol w:w="166"/>
        <w:gridCol w:w="647"/>
        <w:gridCol w:w="80"/>
        <w:gridCol w:w="80"/>
        <w:gridCol w:w="166"/>
        <w:gridCol w:w="647"/>
        <w:gridCol w:w="60"/>
        <w:gridCol w:w="60"/>
        <w:gridCol w:w="144"/>
        <w:gridCol w:w="561"/>
        <w:gridCol w:w="69"/>
        <w:gridCol w:w="69"/>
        <w:gridCol w:w="144"/>
        <w:gridCol w:w="561"/>
        <w:gridCol w:w="75"/>
      </w:tblGrid>
      <w:tr>
        <w:trPr/>
        <w:tc>
          <w:tcPr>
            <w:tcW w:w="23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86" w:type="dxa"/>
            <w:gridSpan w:val="6"/>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Three Months Ended</w:t>
            </w:r>
          </w:p>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June 30,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48" w:type="dxa"/>
            <w:gridSpan w:val="6"/>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Six Months Ended</w:t>
            </w:r>
          </w:p>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June 30,</w:t>
            </w:r>
          </w:p>
        </w:tc>
        <w:tc>
          <w:tcPr>
            <w:tcW w:w="75" w:type="dxa"/>
            <w:tcBorders/>
            <w:vAlign w:val="center"/>
          </w:tcPr>
          <w:p>
            <w:pPr>
              <w:pStyle w:val="TableContents"/>
              <w:bidi w:val="0"/>
              <w:spacing w:before="0" w:after="283"/>
              <w:jc w:val="left"/>
              <w:rPr/>
            </w:pPr>
            <w:r>
              <w:rPr/>
              <w:t> </w:t>
            </w:r>
          </w:p>
        </w:tc>
      </w:tr>
      <w:tr>
        <w:trPr/>
        <w:tc>
          <w:tcPr>
            <w:tcW w:w="23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3"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2026</w:t>
            </w:r>
          </w:p>
        </w:tc>
        <w:tc>
          <w:tcPr>
            <w:tcW w:w="8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813"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5"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2026</w:t>
            </w:r>
          </w:p>
        </w:tc>
        <w:tc>
          <w:tcPr>
            <w:tcW w:w="69" w:type="dxa"/>
            <w:tcBorders/>
            <w:vAlign w:val="center"/>
          </w:tcPr>
          <w:p>
            <w:pPr>
              <w:pStyle w:val="TableContents"/>
              <w:bidi w:val="0"/>
              <w:spacing w:before="0" w:after="283"/>
              <w:jc w:val="left"/>
              <w:rPr/>
            </w:pPr>
            <w:r>
              <w:rPr/>
              <w:t> </w:t>
            </w:r>
          </w:p>
        </w:tc>
        <w:tc>
          <w:tcPr>
            <w:tcW w:w="69" w:type="dxa"/>
            <w:tcBorders/>
            <w:vAlign w:val="center"/>
          </w:tcPr>
          <w:p>
            <w:pPr>
              <w:pStyle w:val="TableContents"/>
              <w:bidi w:val="0"/>
              <w:spacing w:before="0" w:after="283"/>
              <w:jc w:val="left"/>
              <w:rPr/>
            </w:pPr>
            <w:r>
              <w:rPr/>
              <w:t> </w:t>
            </w:r>
          </w:p>
        </w:tc>
        <w:tc>
          <w:tcPr>
            <w:tcW w:w="705"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2025</w:t>
            </w:r>
          </w:p>
        </w:tc>
        <w:tc>
          <w:tcPr>
            <w:tcW w:w="75" w:type="dxa"/>
            <w:tcBorders/>
            <w:vAlign w:val="center"/>
          </w:tcPr>
          <w:p>
            <w:pPr>
              <w:pStyle w:val="TableContents"/>
              <w:bidi w:val="0"/>
              <w:spacing w:before="0" w:after="283"/>
              <w:jc w:val="left"/>
              <w:rPr/>
            </w:pPr>
            <w:r>
              <w:rPr/>
              <w:t> </w:t>
            </w:r>
          </w:p>
        </w:tc>
      </w:tr>
      <w:tr>
        <w:trPr/>
        <w:tc>
          <w:tcPr>
            <w:tcW w:w="2345" w:type="dxa"/>
            <w:tcBorders/>
            <w:shd w:fill="CCEEFF" w:val="clear"/>
            <w:vAlign w:val="center"/>
          </w:tcPr>
          <w:p>
            <w:pPr>
              <w:pStyle w:val="TableContents"/>
              <w:bidi w:val="0"/>
              <w:spacing w:lineRule="auto" w:line="300" w:before="0" w:after="0"/>
              <w:jc w:val="left"/>
              <w:rPr>
                <w:rFonts w:ascii="Times New Roman;Times;serif" w:hAnsi="Times New Roman;Times;serif"/>
                <w:b/>
                <w:sz w:val="20"/>
              </w:rPr>
            </w:pPr>
            <w:r>
              <w:rPr>
                <w:rFonts w:ascii="Times New Roman;Times;serif" w:hAnsi="Times New Roman;Times;serif"/>
                <w:b/>
                <w:sz w:val="20"/>
              </w:rPr>
              <w:t>Notes 2025</w:t>
            </w:r>
          </w:p>
        </w:tc>
        <w:tc>
          <w:tcPr>
            <w:tcW w:w="60" w:type="dxa"/>
            <w:tcBorders/>
            <w:shd w:fill="CCEEFF" w:val="clear"/>
            <w:vAlign w:val="center"/>
          </w:tcPr>
          <w:p>
            <w:pPr>
              <w:pStyle w:val="TableContents"/>
              <w:bidi w:val="0"/>
              <w:spacing w:before="0" w:after="283"/>
              <w:jc w:val="left"/>
              <w:rPr/>
            </w:pPr>
            <w:r>
              <w:rPr/>
              <w:t> </w:t>
            </w:r>
          </w:p>
        </w:tc>
        <w:tc>
          <w:tcPr>
            <w:tcW w:w="813" w:type="dxa"/>
            <w:gridSpan w:val="2"/>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813" w:type="dxa"/>
            <w:gridSpan w:val="2"/>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5" w:type="dxa"/>
            <w:gridSpan w:val="2"/>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705" w:type="dxa"/>
            <w:gridSpan w:val="2"/>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2345" w:type="dxa"/>
            <w:tcBorders/>
            <w:vAlign w:val="center"/>
          </w:tcPr>
          <w:p>
            <w:pPr>
              <w:pStyle w:val="TableContents"/>
              <w:bidi w:val="0"/>
              <w:spacing w:lineRule="auto" w:line="300" w:before="0" w:after="0"/>
              <w:ind w:left="120" w:right="0" w:hanging="0"/>
              <w:jc w:val="left"/>
              <w:rPr>
                <w:rFonts w:ascii="Times New Roman;Times;serif" w:hAnsi="Times New Roman;Times;serif"/>
                <w:sz w:val="20"/>
              </w:rPr>
            </w:pPr>
            <w:r>
              <w:rPr>
                <w:rFonts w:ascii="Times New Roman;Times;serif" w:hAnsi="Times New Roman;Times;serif"/>
                <w:sz w:val="20"/>
              </w:rPr>
              <w:t>Debt issuance cost</w:t>
            </w:r>
          </w:p>
        </w:tc>
        <w:tc>
          <w:tcPr>
            <w:tcW w:w="6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47"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w:t>
            </w:r>
          </w:p>
        </w:tc>
        <w:tc>
          <w:tcPr>
            <w:tcW w:w="8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47"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395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4"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561"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w:t>
            </w:r>
          </w:p>
        </w:tc>
        <w:tc>
          <w:tcPr>
            <w:tcW w:w="69" w:type="dxa"/>
            <w:tcBorders/>
            <w:vAlign w:val="center"/>
          </w:tcPr>
          <w:p>
            <w:pPr>
              <w:pStyle w:val="TableContents"/>
              <w:bidi w:val="0"/>
              <w:spacing w:before="0" w:after="283"/>
              <w:jc w:val="left"/>
              <w:rPr/>
            </w:pPr>
            <w:r>
              <w:rPr/>
              <w:t> </w:t>
            </w:r>
          </w:p>
        </w:tc>
        <w:tc>
          <w:tcPr>
            <w:tcW w:w="69" w:type="dxa"/>
            <w:tcBorders/>
            <w:vAlign w:val="center"/>
          </w:tcPr>
          <w:p>
            <w:pPr>
              <w:pStyle w:val="TableContents"/>
              <w:bidi w:val="0"/>
              <w:spacing w:before="0" w:after="283"/>
              <w:jc w:val="left"/>
              <w:rPr/>
            </w:pPr>
            <w:r>
              <w:rPr/>
              <w:t> </w:t>
            </w:r>
          </w:p>
        </w:tc>
        <w:tc>
          <w:tcPr>
            <w:tcW w:w="144"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561"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800</w:t>
            </w:r>
          </w:p>
        </w:tc>
        <w:tc>
          <w:tcPr>
            <w:tcW w:w="75" w:type="dxa"/>
            <w:tcBorders/>
            <w:vAlign w:val="center"/>
          </w:tcPr>
          <w:p>
            <w:pPr>
              <w:pStyle w:val="TableContents"/>
              <w:bidi w:val="0"/>
              <w:spacing w:before="0" w:after="283"/>
              <w:jc w:val="left"/>
              <w:rPr/>
            </w:pPr>
            <w:r>
              <w:rPr/>
              <w:t> </w:t>
            </w:r>
          </w:p>
        </w:tc>
      </w:tr>
      <w:tr>
        <w:trPr/>
        <w:tc>
          <w:tcPr>
            <w:tcW w:w="2345" w:type="dxa"/>
            <w:tcBorders/>
            <w:shd w:fill="CCEEFF" w:val="clear"/>
            <w:vAlign w:val="center"/>
          </w:tcPr>
          <w:p>
            <w:pPr>
              <w:pStyle w:val="TableContents"/>
              <w:bidi w:val="0"/>
              <w:spacing w:lineRule="auto" w:line="300" w:before="0" w:after="0"/>
              <w:jc w:val="left"/>
              <w:rPr>
                <w:rFonts w:ascii="Times New Roman;Times;serif" w:hAnsi="Times New Roman;Times;serif"/>
                <w:b/>
                <w:sz w:val="20"/>
              </w:rPr>
            </w:pPr>
            <w:r>
              <w:rPr>
                <w:rFonts w:ascii="Times New Roman;Times;serif" w:hAnsi="Times New Roman;Times;serif"/>
                <w:b/>
                <w:sz w:val="20"/>
              </w:rPr>
              <w:t>Notes 2029</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647"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647"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561" w:type="dxa"/>
            <w:tcBorders/>
            <w:shd w:fill="CCEEFF" w:val="clear"/>
            <w:vAlign w:val="center"/>
          </w:tcPr>
          <w:p>
            <w:pPr>
              <w:pStyle w:val="TableContents"/>
              <w:bidi w:val="0"/>
              <w:spacing w:before="0" w:after="283"/>
              <w:jc w:val="right"/>
              <w:rPr/>
            </w:pPr>
            <w:r>
              <w:rPr/>
              <w:t> </w:t>
            </w:r>
          </w:p>
        </w:tc>
        <w:tc>
          <w:tcPr>
            <w:tcW w:w="69"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561"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2345" w:type="dxa"/>
            <w:tcBorders/>
            <w:vAlign w:val="center"/>
          </w:tcPr>
          <w:p>
            <w:pPr>
              <w:pStyle w:val="TableContents"/>
              <w:bidi w:val="0"/>
              <w:spacing w:lineRule="auto" w:line="300" w:before="0" w:after="0"/>
              <w:ind w:left="120" w:right="0" w:hanging="0"/>
              <w:jc w:val="left"/>
              <w:rPr>
                <w:rFonts w:ascii="Times New Roman;Times;serif" w:hAnsi="Times New Roman;Times;serif"/>
                <w:sz w:val="20"/>
              </w:rPr>
            </w:pPr>
            <w:r>
              <w:rPr>
                <w:rFonts w:ascii="Times New Roman;Times;serif" w:hAnsi="Times New Roman;Times;serif"/>
                <w:sz w:val="20"/>
              </w:rPr>
              <w:t>Debt issuance cost</w:t>
            </w:r>
          </w:p>
        </w:tc>
        <w:tc>
          <w:tcPr>
            <w:tcW w:w="6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47"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388</w:t>
            </w:r>
          </w:p>
        </w:tc>
        <w:tc>
          <w:tcPr>
            <w:tcW w:w="8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47"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388</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4"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561"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771</w:t>
            </w:r>
          </w:p>
        </w:tc>
        <w:tc>
          <w:tcPr>
            <w:tcW w:w="69" w:type="dxa"/>
            <w:tcBorders/>
            <w:vAlign w:val="center"/>
          </w:tcPr>
          <w:p>
            <w:pPr>
              <w:pStyle w:val="TableContents"/>
              <w:bidi w:val="0"/>
              <w:spacing w:before="0" w:after="283"/>
              <w:jc w:val="left"/>
              <w:rPr/>
            </w:pPr>
            <w:r>
              <w:rPr/>
              <w:t> </w:t>
            </w:r>
          </w:p>
        </w:tc>
        <w:tc>
          <w:tcPr>
            <w:tcW w:w="69" w:type="dxa"/>
            <w:tcBorders/>
            <w:vAlign w:val="center"/>
          </w:tcPr>
          <w:p>
            <w:pPr>
              <w:pStyle w:val="TableContents"/>
              <w:bidi w:val="0"/>
              <w:spacing w:before="0" w:after="283"/>
              <w:jc w:val="left"/>
              <w:rPr/>
            </w:pPr>
            <w:r>
              <w:rPr/>
              <w:t> </w:t>
            </w:r>
          </w:p>
        </w:tc>
        <w:tc>
          <w:tcPr>
            <w:tcW w:w="144"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561"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771</w:t>
            </w:r>
          </w:p>
        </w:tc>
        <w:tc>
          <w:tcPr>
            <w:tcW w:w="75" w:type="dxa"/>
            <w:tcBorders/>
            <w:vAlign w:val="center"/>
          </w:tcPr>
          <w:p>
            <w:pPr>
              <w:pStyle w:val="TableContents"/>
              <w:bidi w:val="0"/>
              <w:spacing w:before="0" w:after="283"/>
              <w:jc w:val="left"/>
              <w:rPr/>
            </w:pPr>
            <w:r>
              <w:rPr/>
              <w:t> </w:t>
            </w:r>
          </w:p>
        </w:tc>
      </w:tr>
      <w:tr>
        <w:trPr/>
        <w:tc>
          <w:tcPr>
            <w:tcW w:w="2345" w:type="dxa"/>
            <w:tcBorders/>
            <w:shd w:fill="CCEEFF" w:val="clear"/>
            <w:vAlign w:val="center"/>
          </w:tcPr>
          <w:p>
            <w:pPr>
              <w:pStyle w:val="TableContents"/>
              <w:bidi w:val="0"/>
              <w:spacing w:lineRule="auto" w:line="300" w:before="0" w:after="0"/>
              <w:ind w:left="120" w:right="0" w:hanging="0"/>
              <w:jc w:val="left"/>
              <w:rPr>
                <w:rFonts w:ascii="Times New Roman;Times;serif" w:hAnsi="Times New Roman;Times;serif"/>
                <w:sz w:val="20"/>
              </w:rPr>
            </w:pPr>
            <w:r>
              <w:rPr>
                <w:rFonts w:ascii="Times New Roman;Times;serif" w:hAnsi="Times New Roman;Times;serif"/>
                <w:sz w:val="20"/>
              </w:rPr>
              <w:t>Contractual interest expense</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47"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1,895</w:t>
            </w:r>
          </w:p>
        </w:tc>
        <w:tc>
          <w:tcPr>
            <w:tcW w:w="8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47"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1,895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561"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3,791</w:t>
            </w:r>
          </w:p>
        </w:tc>
        <w:tc>
          <w:tcPr>
            <w:tcW w:w="69"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561"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3,791</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sz w:val="20"/>
        </w:rPr>
      </w:pPr>
      <w:r>
        <w:rPr>
          <w:rFonts w:ascii="Times New Roman;Times;serif" w:hAnsi="Times New Roman;Times;serif"/>
          <w:sz w:val="20"/>
        </w:rPr>
        <w:t>As of June 30, 2026, the unamortized issuance costs of the Notes 2029 will be amortized over the remaining term of approximately 3 years.</w:t>
      </w:r>
    </w:p>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sz w:val="20"/>
        </w:rPr>
      </w:pPr>
      <w:r>
        <w:rPr>
          <w:rFonts w:ascii="Times New Roman;Times;serif" w:hAnsi="Times New Roman;Times;serif"/>
          <w:sz w:val="20"/>
        </w:rPr>
        <w:t>The annual effective interest rate of the Notes 2029 is 2.75%.</w:t>
      </w:r>
    </w:p>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sz w:val="20"/>
        </w:rPr>
      </w:pPr>
      <w:r>
        <w:rPr>
          <w:rFonts w:ascii="Times New Roman;Times;serif" w:hAnsi="Times New Roman;Times;serif"/>
          <w:sz w:val="20"/>
        </w:rPr>
        <w:t>As of June 30, 2026, the estimated fair value of the Notes 2029, which the Company has classified as Level 2 financial instruments, is $653,288. The estimated fair value was determined based on the quoted bid price of the Notes 2029 in an over-the-counter market on the last trading day of the reporting period.</w:t>
      </w:r>
    </w:p>
    <w:p>
      <w:pPr>
        <w:pStyle w:val="TextBody"/>
        <w:bidi w:val="0"/>
        <w:spacing w:lineRule="auto" w:line="300" w:before="0" w:after="0"/>
        <w:jc w:val="left"/>
        <w:rPr/>
      </w:pPr>
      <w:r>
        <w:rPr/>
        <w:t> </w:t>
      </w:r>
    </w:p>
    <w:p>
      <w:pPr>
        <w:pStyle w:val="TextBody"/>
        <w:bidi w:val="0"/>
        <w:spacing w:lineRule="auto" w:line="300"/>
        <w:jc w:val="both"/>
        <w:rPr>
          <w:rFonts w:ascii="Times New Roman;Times;serif" w:hAnsi="Times New Roman;Times;serif"/>
          <w:sz w:val="20"/>
        </w:rPr>
      </w:pPr>
      <w:r>
        <w:rPr>
          <w:rFonts w:ascii="Times New Roman;Times;serif" w:hAnsi="Times New Roman;Times;serif"/>
          <w:sz w:val="20"/>
        </w:rPr>
        <w:t>As of June 30, 2026, the if-converted value of the Notes 2029 exceeded the principal amount by $236,843.</w:t>
      </w:r>
    </w:p>
    <w:p>
      <w:pPr>
        <w:pStyle w:val="TextBody"/>
        <w:bidi w:val="0"/>
        <w:spacing w:before="0" w:after="0"/>
        <w:jc w:val="left"/>
        <w:rPr/>
      </w:pPr>
      <w:r>
        <w:rPr/>
        <w:t> </w:t>
      </w:r>
    </w:p>
    <w:p>
      <w:pPr>
        <w:pStyle w:val="TextBody"/>
        <w:bidi w:val="0"/>
        <w:spacing w:lineRule="auto" w:line="300" w:before="0" w:after="0"/>
        <w:jc w:val="left"/>
        <w:rPr>
          <w:rFonts w:ascii="Times New Roman;Times;serif" w:hAnsi="Times New Roman;Times;serif"/>
          <w:b/>
          <w:sz w:val="20"/>
        </w:rPr>
      </w:pPr>
      <w:r>
        <w:rPr>
          <w:rFonts w:ascii="Times New Roman;Times;serif" w:hAnsi="Times New Roman;Times;serif"/>
          <w:b/>
          <w:sz w:val="20"/>
        </w:rPr>
        <w:t>NOTE 12:     OTHER LONG-TERM LIABILITIES</w:t>
      </w:r>
    </w:p>
    <w:p>
      <w:pPr>
        <w:pStyle w:val="TextBody"/>
        <w:bidi w:val="0"/>
        <w:spacing w:lineRule="auto" w:line="300" w:before="0" w:after="0"/>
        <w:jc w:val="left"/>
        <w:rPr/>
      </w:pPr>
      <w:r>
        <w:rPr/>
        <w:t> </w:t>
      </w:r>
    </w:p>
    <w:tbl>
      <w:tblPr>
        <w:tblW w:w="4048" w:type="dxa"/>
        <w:jc w:val="left"/>
        <w:tblInd w:w="0" w:type="dxa"/>
        <w:tblLayout w:type="fixed"/>
        <w:tblCellMar>
          <w:top w:w="0" w:type="dxa"/>
          <w:left w:w="0" w:type="dxa"/>
          <w:bottom w:w="0" w:type="dxa"/>
          <w:right w:w="0" w:type="dxa"/>
        </w:tblCellMar>
      </w:tblPr>
      <w:tblGrid>
        <w:gridCol w:w="1895"/>
        <w:gridCol w:w="60"/>
        <w:gridCol w:w="126"/>
        <w:gridCol w:w="598"/>
        <w:gridCol w:w="60"/>
        <w:gridCol w:w="60"/>
        <w:gridCol w:w="240"/>
        <w:gridCol w:w="934"/>
        <w:gridCol w:w="75"/>
      </w:tblGrid>
      <w:tr>
        <w:trPr/>
        <w:tc>
          <w:tcPr>
            <w:tcW w:w="18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24"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June 30,</w:t>
            </w:r>
          </w:p>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4"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December 31,</w:t>
            </w:r>
          </w:p>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2025</w:t>
            </w:r>
          </w:p>
        </w:tc>
        <w:tc>
          <w:tcPr>
            <w:tcW w:w="75" w:type="dxa"/>
            <w:tcBorders/>
            <w:vAlign w:val="center"/>
          </w:tcPr>
          <w:p>
            <w:pPr>
              <w:pStyle w:val="TableContents"/>
              <w:bidi w:val="0"/>
              <w:spacing w:before="0" w:after="283"/>
              <w:jc w:val="left"/>
              <w:rPr/>
            </w:pPr>
            <w:r>
              <w:rPr/>
              <w:t> </w:t>
            </w:r>
          </w:p>
        </w:tc>
      </w:tr>
      <w:tr>
        <w:trPr/>
        <w:tc>
          <w:tcPr>
            <w:tcW w:w="1895"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Tax liabilities</w:t>
            </w:r>
          </w:p>
        </w:tc>
        <w:tc>
          <w:tcPr>
            <w:tcW w:w="60"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598"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8,395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0"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934"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w:t>
            </w:r>
          </w:p>
        </w:tc>
        <w:tc>
          <w:tcPr>
            <w:tcW w:w="75" w:type="dxa"/>
            <w:tcBorders/>
            <w:shd w:fill="CCEEFF" w:val="clear"/>
            <w:vAlign w:val="center"/>
          </w:tcPr>
          <w:p>
            <w:pPr>
              <w:pStyle w:val="TableContents"/>
              <w:bidi w:val="0"/>
              <w:spacing w:before="0" w:after="283"/>
              <w:jc w:val="left"/>
              <w:rPr/>
            </w:pPr>
            <w:r>
              <w:rPr/>
              <w:t> </w:t>
            </w:r>
          </w:p>
        </w:tc>
      </w:tr>
      <w:tr>
        <w:trPr/>
        <w:tc>
          <w:tcPr>
            <w:tcW w:w="1895"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Accrued severance pay</w:t>
            </w:r>
          </w:p>
        </w:tc>
        <w:tc>
          <w:tcPr>
            <w:tcW w:w="60" w:type="dxa"/>
            <w:tcBorders/>
            <w:vAlign w:val="center"/>
          </w:tcPr>
          <w:p>
            <w:pPr>
              <w:pStyle w:val="TableContents"/>
              <w:bidi w:val="0"/>
              <w:spacing w:before="0" w:after="283"/>
              <w:jc w:val="left"/>
              <w:rPr/>
            </w:pPr>
            <w:r>
              <w:rPr/>
              <w:t> </w:t>
            </w:r>
          </w:p>
        </w:tc>
        <w:tc>
          <w:tcPr>
            <w:tcW w:w="126" w:type="dxa"/>
            <w:tcBorders/>
            <w:vAlign w:val="center"/>
          </w:tcPr>
          <w:p>
            <w:pPr>
              <w:pStyle w:val="TableContents"/>
              <w:bidi w:val="0"/>
              <w:spacing w:before="0" w:after="283"/>
              <w:jc w:val="left"/>
              <w:rPr/>
            </w:pPr>
            <w:r>
              <w:rPr/>
              <w:t> </w:t>
            </w:r>
          </w:p>
        </w:tc>
        <w:tc>
          <w:tcPr>
            <w:tcW w:w="598"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1,646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0" w:type="dxa"/>
            <w:tcBorders/>
            <w:vAlign w:val="center"/>
          </w:tcPr>
          <w:p>
            <w:pPr>
              <w:pStyle w:val="TableContents"/>
              <w:bidi w:val="0"/>
              <w:spacing w:before="0" w:after="283"/>
              <w:jc w:val="left"/>
              <w:rPr/>
            </w:pPr>
            <w:r>
              <w:rPr/>
              <w:t> </w:t>
            </w:r>
          </w:p>
        </w:tc>
        <w:tc>
          <w:tcPr>
            <w:tcW w:w="934"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1,868</w:t>
            </w:r>
          </w:p>
        </w:tc>
        <w:tc>
          <w:tcPr>
            <w:tcW w:w="75" w:type="dxa"/>
            <w:tcBorders/>
            <w:vAlign w:val="center"/>
          </w:tcPr>
          <w:p>
            <w:pPr>
              <w:pStyle w:val="TableContents"/>
              <w:bidi w:val="0"/>
              <w:spacing w:before="0" w:after="283"/>
              <w:jc w:val="left"/>
              <w:rPr/>
            </w:pPr>
            <w:r>
              <w:rPr/>
              <w:t> </w:t>
            </w:r>
          </w:p>
        </w:tc>
      </w:tr>
      <w:tr>
        <w:trPr/>
        <w:tc>
          <w:tcPr>
            <w:tcW w:w="1895"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Other</w:t>
            </w:r>
          </w:p>
        </w:tc>
        <w:tc>
          <w:tcPr>
            <w:tcW w:w="60" w:type="dxa"/>
            <w:tcBorders/>
            <w:shd w:fill="CCEEFF" w:val="clear"/>
            <w:vAlign w:val="center"/>
          </w:tcPr>
          <w:p>
            <w:pPr>
              <w:pStyle w:val="TableContents"/>
              <w:bidi w:val="0"/>
              <w:spacing w:before="0" w:after="283"/>
              <w:jc w:val="left"/>
              <w:rPr/>
            </w:pPr>
            <w:r>
              <w:rPr/>
              <w:t> </w:t>
            </w:r>
          </w:p>
        </w:tc>
        <w:tc>
          <w:tcPr>
            <w:tcW w:w="12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598" w:type="dxa"/>
            <w:tcBorders>
              <w:bottom w:val="single" w:sz="12" w:space="0" w:color="000000"/>
            </w:tcBorders>
            <w:shd w:fill="CCEEFF" w:val="clear"/>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536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34" w:type="dxa"/>
            <w:tcBorders>
              <w:bottom w:val="single" w:sz="12" w:space="0" w:color="000000"/>
            </w:tcBorders>
            <w:shd w:fill="CCEEFF" w:val="clear"/>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713</w:t>
            </w:r>
          </w:p>
        </w:tc>
        <w:tc>
          <w:tcPr>
            <w:tcW w:w="75" w:type="dxa"/>
            <w:tcBorders/>
            <w:shd w:fill="CCEEFF" w:val="clear"/>
            <w:vAlign w:val="center"/>
          </w:tcPr>
          <w:p>
            <w:pPr>
              <w:pStyle w:val="TableContents"/>
              <w:bidi w:val="0"/>
              <w:spacing w:before="0" w:after="283"/>
              <w:jc w:val="left"/>
              <w:rPr/>
            </w:pPr>
            <w:r>
              <w:rPr/>
              <w:t> </w:t>
            </w:r>
          </w:p>
        </w:tc>
      </w:tr>
      <w:tr>
        <w:trPr/>
        <w:tc>
          <w:tcPr>
            <w:tcW w:w="18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6" w:type="dxa"/>
            <w:tcBorders>
              <w:bottom w:val="double" w:sz="8" w:space="0" w:color="000000"/>
            </w:tcBorders>
            <w:tcMar>
              <w:bottom w:w="28" w:type="dxa"/>
            </w:tcM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598" w:type="dxa"/>
            <w:tcBorders>
              <w:bottom w:val="double" w:sz="8" w:space="0" w:color="000000"/>
            </w:tcBorders>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10,577</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0" w:type="dxa"/>
            <w:tcBorders>
              <w:bottom w:val="double" w:sz="8" w:space="0" w:color="000000"/>
            </w:tcBorders>
            <w:tcMar>
              <w:bottom w:w="28" w:type="dxa"/>
            </w:tcM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934" w:type="dxa"/>
            <w:tcBorders>
              <w:bottom w:val="double" w:sz="8" w:space="0" w:color="000000"/>
            </w:tcBorders>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2,581</w:t>
            </w:r>
          </w:p>
        </w:tc>
        <w:tc>
          <w:tcPr>
            <w:tcW w:w="75"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200" w:after="283"/>
        <w:jc w:val="center"/>
        <w:rPr/>
      </w:pPr>
      <w:r>
        <w:rPr>
          <w:b w:val="false"/>
          <w:i w:val="false"/>
          <w:caps w:val="false"/>
          <w:smallCaps w:val="false"/>
        </w:rPr>
        <w:t xml:space="preserve">SOLAREDGE TECHNOLOGIES INC. | 2026 Form 10-Q | F - </w:t>
      </w:r>
      <w:r>
        <w:rPr>
          <w:rFonts w:ascii="Times New Roman;Times;serif" w:hAnsi="Times New Roman;Times;serif"/>
          <w:sz w:val="20"/>
        </w:rPr>
        <w:t>21</w:t>
      </w:r>
    </w:p>
    <w:p>
      <w:pPr>
        <w:pStyle w:val="HorizontalLine"/>
        <w:bidi w:val="0"/>
        <w:spacing w:before="0" w:after="0"/>
        <w:jc w:val="left"/>
        <w:rPr/>
      </w:pPr>
      <w:r>
        <w:rPr/>
      </w:r>
    </w:p>
    <w:p>
      <w:pPr>
        <w:pStyle w:val="TextBody"/>
        <w:bidi w:val="0"/>
        <w:spacing w:before="0" w:after="0"/>
        <w:jc w:val="left"/>
        <w:rPr/>
      </w:pPr>
      <w:r>
        <w:rPr/>
        <w:t> </w:t>
      </w:r>
    </w:p>
    <w:p>
      <w:pPr>
        <w:pStyle w:val="TextBody"/>
        <w:bidi w:val="0"/>
        <w:spacing w:lineRule="auto" w:line="300" w:before="0" w:after="0"/>
        <w:ind w:left="360" w:right="360" w:hanging="0"/>
        <w:jc w:val="center"/>
        <w:rPr>
          <w:b/>
        </w:rPr>
      </w:pPr>
      <w:r>
        <w:rPr>
          <w:b/>
        </w:rPr>
        <w:t>SOLAREDGE TECHNOLOGIES, INC.</w:t>
      </w:r>
    </w:p>
    <w:p>
      <w:pPr>
        <w:pStyle w:val="TextBody"/>
        <w:bidi w:val="0"/>
        <w:spacing w:lineRule="auto" w:line="300" w:before="0" w:after="0"/>
        <w:jc w:val="left"/>
        <w:rPr/>
      </w:pPr>
      <w:r>
        <w:rPr/>
        <w:t> </w:t>
      </w:r>
    </w:p>
    <w:p>
      <w:pPr>
        <w:pStyle w:val="TextBody"/>
        <w:bidi w:val="0"/>
        <w:spacing w:lineRule="auto" w:line="300" w:before="0" w:after="0"/>
        <w:ind w:left="360" w:right="360" w:hanging="0"/>
        <w:jc w:val="center"/>
        <w:rPr>
          <w:b/>
        </w:rPr>
      </w:pPr>
      <w:r>
        <w:rPr>
          <w:b/>
        </w:rPr>
        <w:t>NOTES TO CONDENSED CONSOLIDATED FINANCIAL STATEMENTS (Unaudited)</w:t>
      </w:r>
    </w:p>
    <w:p>
      <w:pPr>
        <w:pStyle w:val="TextBody"/>
        <w:bidi w:val="0"/>
        <w:spacing w:lineRule="auto" w:line="300" w:before="0" w:after="0"/>
        <w:jc w:val="left"/>
        <w:rPr/>
      </w:pPr>
      <w:r>
        <w:rPr/>
        <w:t> </w:t>
      </w:r>
    </w:p>
    <w:p>
      <w:pPr>
        <w:pStyle w:val="TextBody"/>
        <w:bidi w:val="0"/>
        <w:spacing w:lineRule="auto" w:line="300"/>
        <w:ind w:left="360" w:right="360" w:hanging="0"/>
        <w:jc w:val="center"/>
        <w:rPr/>
      </w:pPr>
      <w:r>
        <w:rPr>
          <w:b/>
        </w:rPr>
        <w:t>(in thousands, except per share data</w:t>
      </w:r>
      <w:r>
        <w:rPr/>
        <w:t>)</w:t>
      </w:r>
    </w:p>
    <w:p>
      <w:pPr>
        <w:pStyle w:val="TextBody"/>
        <w:bidi w:val="0"/>
        <w:spacing w:before="0" w:after="0"/>
        <w:jc w:val="left"/>
        <w:rPr/>
      </w:pPr>
      <w:r>
        <w:rPr/>
        <w:t> </w:t>
      </w:r>
    </w:p>
    <w:p>
      <w:pPr>
        <w:pStyle w:val="TextBody"/>
        <w:bidi w:val="0"/>
        <w:spacing w:lineRule="auto" w:line="300" w:before="0" w:after="0"/>
        <w:jc w:val="left"/>
        <w:rPr>
          <w:rFonts w:ascii="Times New Roman;Times;serif" w:hAnsi="Times New Roman;Times;serif"/>
          <w:b/>
          <w:sz w:val="20"/>
        </w:rPr>
      </w:pPr>
      <w:r>
        <w:rPr>
          <w:rFonts w:ascii="Times New Roman;Times;serif" w:hAnsi="Times New Roman;Times;serif"/>
          <w:b/>
          <w:sz w:val="20"/>
        </w:rPr>
        <w:t>NOTE 13:     STOCK CAPITAL</w:t>
      </w:r>
    </w:p>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sz w:val="20"/>
        </w:rPr>
      </w:pPr>
      <w:r>
        <w:rPr>
          <w:rFonts w:ascii="Times New Roman;Times;serif" w:hAnsi="Times New Roman;Times;serif"/>
          <w:sz w:val="20"/>
        </w:rPr>
        <w:t>a.            Common stock rights:</w:t>
      </w:r>
    </w:p>
    <w:p>
      <w:pPr>
        <w:pStyle w:val="TextBody"/>
        <w:bidi w:val="0"/>
        <w:spacing w:lineRule="auto" w:line="300" w:before="0" w:after="0"/>
        <w:jc w:val="left"/>
        <w:rPr/>
      </w:pPr>
      <w:r>
        <w:rPr/>
        <w:t> </w:t>
      </w:r>
    </w:p>
    <w:p>
      <w:pPr>
        <w:pStyle w:val="TextBody"/>
        <w:bidi w:val="0"/>
        <w:spacing w:lineRule="auto" w:line="300" w:before="0" w:after="0"/>
        <w:ind w:left="720" w:right="0" w:hanging="0"/>
        <w:jc w:val="both"/>
        <w:rPr>
          <w:rFonts w:ascii="Times New Roman;Times;serif" w:hAnsi="Times New Roman;Times;serif"/>
          <w:sz w:val="20"/>
        </w:rPr>
      </w:pPr>
      <w:r>
        <w:rPr>
          <w:rFonts w:ascii="Times New Roman;Times;serif" w:hAnsi="Times New Roman;Times;serif"/>
          <w:sz w:val="20"/>
        </w:rPr>
        <w:t>Common stock confers upon its holders the right to receive notice of, and to participate in, all general meetings of the Company, where each share of common stock shall have one vote for all purposes, to share equally, on a per share basis, in bonuses, profits, or distributions out of funds legally available therefor, and to participate in the distribution of the surplus assets of the Company in the event of liquidation of the Company.</w:t>
      </w:r>
    </w:p>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sz w:val="20"/>
        </w:rPr>
      </w:pPr>
      <w:r>
        <w:rPr>
          <w:rFonts w:ascii="Times New Roman;Times;serif" w:hAnsi="Times New Roman;Times;serif"/>
          <w:sz w:val="20"/>
        </w:rPr>
        <w:t>b.            Equity Incentive Plans:</w:t>
      </w:r>
    </w:p>
    <w:p>
      <w:pPr>
        <w:pStyle w:val="TextBody"/>
        <w:bidi w:val="0"/>
        <w:spacing w:lineRule="auto" w:line="300" w:before="0" w:after="0"/>
        <w:jc w:val="left"/>
        <w:rPr/>
      </w:pPr>
      <w:r>
        <w:rPr/>
        <w:t> </w:t>
      </w:r>
    </w:p>
    <w:p>
      <w:pPr>
        <w:pStyle w:val="TextBody"/>
        <w:bidi w:val="0"/>
        <w:spacing w:lineRule="auto" w:line="300" w:before="0" w:after="0"/>
        <w:ind w:left="720" w:right="0" w:hanging="0"/>
        <w:jc w:val="both"/>
        <w:rPr>
          <w:rFonts w:ascii="Times New Roman;Times;serif" w:hAnsi="Times New Roman;Times;serif"/>
          <w:sz w:val="20"/>
        </w:rPr>
      </w:pPr>
      <w:r>
        <w:rPr>
          <w:rFonts w:ascii="Times New Roman;Times;serif" w:hAnsi="Times New Roman;Times;serif"/>
          <w:sz w:val="20"/>
        </w:rPr>
        <w:t>The Company’s Amended and Restated 2015 Global Incentive Plan (the “2015 Plan”) became effective upon the consummation of the Company's initial public offering (the “IPO”). The 2015 Plan provided for the grant of options, restricted stock units (“RSU”), performance stock units (“PSU”), and other stock-based awards to directors, employees, officers, and non-employees of the Company. As of June 30, 2026, a total of 26,648,950 shares of common stock were reserved for issuance pursuant to stock awards under the 2015 Plan (the “Share Reserve”), an aggregate of 10,385,143 shares are still available for future grants.</w:t>
      </w:r>
    </w:p>
    <w:p>
      <w:pPr>
        <w:pStyle w:val="TextBody"/>
        <w:bidi w:val="0"/>
        <w:spacing w:lineRule="auto" w:line="300" w:before="0" w:after="0"/>
        <w:jc w:val="left"/>
        <w:rPr/>
      </w:pPr>
      <w:r>
        <w:rPr/>
        <w:t> </w:t>
      </w:r>
    </w:p>
    <w:p>
      <w:pPr>
        <w:pStyle w:val="TextBody"/>
        <w:bidi w:val="0"/>
        <w:spacing w:lineRule="auto" w:line="300" w:before="0" w:after="0"/>
        <w:ind w:left="720" w:right="0" w:hanging="0"/>
        <w:jc w:val="both"/>
        <w:rPr>
          <w:rFonts w:ascii="Times New Roman;Times;serif" w:hAnsi="Times New Roman;Times;serif"/>
          <w:sz w:val="20"/>
        </w:rPr>
      </w:pPr>
      <w:r>
        <w:rPr>
          <w:rFonts w:ascii="Times New Roman;Times;serif" w:hAnsi="Times New Roman;Times;serif"/>
          <w:sz w:val="20"/>
        </w:rPr>
        <w:t>Under its 2015 Plan, the Company granted PSU awards to certain employees and officers which vest upon the achievement of certain market conditions subject to their continued employment with the Company.</w:t>
      </w:r>
    </w:p>
    <w:p>
      <w:pPr>
        <w:pStyle w:val="TextBody"/>
        <w:bidi w:val="0"/>
        <w:spacing w:lineRule="auto" w:line="300" w:before="0" w:after="0"/>
        <w:jc w:val="left"/>
        <w:rPr/>
      </w:pPr>
      <w:r>
        <w:rPr/>
        <w:t> </w:t>
      </w:r>
    </w:p>
    <w:p>
      <w:pPr>
        <w:pStyle w:val="TextBody"/>
        <w:bidi w:val="0"/>
        <w:spacing w:lineRule="auto" w:line="300" w:before="0" w:after="0"/>
        <w:ind w:left="720" w:right="0" w:hanging="0"/>
        <w:jc w:val="both"/>
        <w:rPr>
          <w:rFonts w:ascii="Times New Roman;Times;serif" w:hAnsi="Times New Roman;Times;serif"/>
          <w:sz w:val="20"/>
        </w:rPr>
      </w:pPr>
      <w:r>
        <w:rPr>
          <w:rFonts w:ascii="Times New Roman;Times;serif" w:hAnsi="Times New Roman;Times;serif"/>
          <w:sz w:val="20"/>
        </w:rPr>
        <w:t>The market condition for the PSUs is based on either (a) the Company’s share price targets during a 30-day successive average trading price of the Company’s common stock over a three year performance period and subject to a minimum of a two year employment period following the grant date, or (b) the Company’s share price targets during a 20-day successive average trading price of the Company’s common stock over a four year performance period and subject to a minimum of a two year employment period following the grant date, or (c) total shareholder return (“TSR”) compared to the TSR of (i) for grants granted in 2024 companies listed in the S&amp;P 500 index, and (ii) for grants granted in 2026, companies listed in the Solar Index, in each case, over a two to three year performance period. The Company uses a Monte-Carlo simulation to determine the grant date fair value for these awards, which takes into consideration the market price of a share of the Company’s common stock on the date of grant less the present value of dividends expected during the requisite service period, as well as the possible outcomes pertaining to the TSR market condition. The Company recognizes such compensation expenses on an accelerated vesting method.</w:t>
      </w:r>
    </w:p>
    <w:p>
      <w:pPr>
        <w:pStyle w:val="TextBody"/>
        <w:bidi w:val="0"/>
        <w:spacing w:lineRule="auto" w:line="300" w:before="0" w:after="0"/>
        <w:jc w:val="left"/>
        <w:rPr/>
      </w:pPr>
      <w:r>
        <w:rPr/>
        <w:t> </w:t>
      </w:r>
    </w:p>
    <w:p>
      <w:pPr>
        <w:pStyle w:val="TextBody"/>
        <w:bidi w:val="0"/>
        <w:spacing w:lineRule="auto" w:line="300" w:before="0" w:after="0"/>
        <w:ind w:left="720" w:right="0" w:hanging="0"/>
        <w:jc w:val="both"/>
        <w:rPr>
          <w:rFonts w:ascii="Times New Roman;Times;serif" w:hAnsi="Times New Roman;Times;serif"/>
          <w:sz w:val="20"/>
        </w:rPr>
      </w:pPr>
      <w:r>
        <w:rPr>
          <w:rFonts w:ascii="Times New Roman;Times;serif" w:hAnsi="Times New Roman;Times;serif"/>
          <w:sz w:val="20"/>
        </w:rPr>
        <w:t>A summary of the activity in stock options and related information is as follows:</w:t>
      </w:r>
    </w:p>
    <w:p>
      <w:pPr>
        <w:pStyle w:val="TextBody"/>
        <w:bidi w:val="0"/>
        <w:spacing w:lineRule="auto" w:line="300" w:before="0" w:after="0"/>
        <w:ind w:left="720" w:right="0" w:hanging="0"/>
        <w:jc w:val="both"/>
        <w:rPr/>
      </w:pPr>
      <w:r>
        <w:rPr/>
        <w:t> </w:t>
      </w:r>
    </w:p>
    <w:tbl>
      <w:tblPr>
        <w:tblW w:w="9485" w:type="dxa"/>
        <w:jc w:val="left"/>
        <w:tblInd w:w="720" w:type="dxa"/>
        <w:tblLayout w:type="fixed"/>
        <w:tblCellMar>
          <w:top w:w="0" w:type="dxa"/>
          <w:left w:w="0" w:type="dxa"/>
          <w:bottom w:w="0" w:type="dxa"/>
          <w:right w:w="0" w:type="dxa"/>
        </w:tblCellMar>
      </w:tblPr>
      <w:tblGrid>
        <w:gridCol w:w="2264"/>
        <w:gridCol w:w="60"/>
        <w:gridCol w:w="80"/>
        <w:gridCol w:w="1074"/>
        <w:gridCol w:w="80"/>
        <w:gridCol w:w="60"/>
        <w:gridCol w:w="284"/>
        <w:gridCol w:w="1346"/>
        <w:gridCol w:w="60"/>
        <w:gridCol w:w="60"/>
        <w:gridCol w:w="300"/>
        <w:gridCol w:w="2211"/>
        <w:gridCol w:w="60"/>
        <w:gridCol w:w="60"/>
        <w:gridCol w:w="259"/>
        <w:gridCol w:w="1163"/>
        <w:gridCol w:w="64"/>
      </w:tblGrid>
      <w:tr>
        <w:trPr/>
        <w:tc>
          <w:tcPr>
            <w:tcW w:w="226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54"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Number of options</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30"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Weighted average exercise price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511"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Weighted average remaining contractual term in years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22"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Aggregate intrinsic value</w:t>
            </w:r>
          </w:p>
        </w:tc>
        <w:tc>
          <w:tcPr>
            <w:tcW w:w="64" w:type="dxa"/>
            <w:tcBorders/>
            <w:vAlign w:val="center"/>
          </w:tcPr>
          <w:p>
            <w:pPr>
              <w:pStyle w:val="TableContents"/>
              <w:bidi w:val="0"/>
              <w:spacing w:before="0" w:after="283"/>
              <w:jc w:val="left"/>
              <w:rPr/>
            </w:pPr>
            <w:r>
              <w:rPr/>
              <w:t> </w:t>
            </w:r>
          </w:p>
        </w:tc>
      </w:tr>
      <w:tr>
        <w:trPr/>
        <w:tc>
          <w:tcPr>
            <w:tcW w:w="2264"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Outstanding as of December 31, 2025</w:t>
            </w:r>
          </w:p>
        </w:tc>
        <w:tc>
          <w:tcPr>
            <w:tcW w:w="6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1074" w:type="dxa"/>
            <w:tcBorders/>
            <w:shd w:fill="CCEEFF" w:val="clear"/>
            <w:vAlign w:val="center"/>
          </w:tcPr>
          <w:p>
            <w:pPr>
              <w:pStyle w:val="TableContents"/>
              <w:bidi w:val="0"/>
              <w:spacing w:lineRule="auto" w:line="300" w:before="0" w:after="0"/>
              <w:jc w:val="right"/>
              <w:rPr/>
            </w:pPr>
            <w:r>
              <w:rPr/>
              <w:t>191,187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4"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1346" w:type="dxa"/>
            <w:tcBorders/>
            <w:shd w:fill="CCEEFF" w:val="clear"/>
            <w:vAlign w:val="center"/>
          </w:tcPr>
          <w:p>
            <w:pPr>
              <w:pStyle w:val="TableContents"/>
              <w:bidi w:val="0"/>
              <w:spacing w:lineRule="auto" w:line="300" w:before="0" w:after="0"/>
              <w:jc w:val="right"/>
              <w:rPr/>
            </w:pPr>
            <w:r>
              <w:rPr/>
              <w:t>49.37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0" w:type="dxa"/>
            <w:tcBorders/>
            <w:shd w:fill="CCEEFF" w:val="clear"/>
            <w:vAlign w:val="center"/>
          </w:tcPr>
          <w:p>
            <w:pPr>
              <w:pStyle w:val="TableContents"/>
              <w:bidi w:val="0"/>
              <w:spacing w:before="0" w:after="283"/>
              <w:jc w:val="left"/>
              <w:rPr/>
            </w:pPr>
            <w:r>
              <w:rPr/>
              <w:t> </w:t>
            </w:r>
          </w:p>
        </w:tc>
        <w:tc>
          <w:tcPr>
            <w:tcW w:w="2211" w:type="dxa"/>
            <w:tcBorders/>
            <w:shd w:fill="CCEEFF" w:val="clear"/>
            <w:vAlign w:val="center"/>
          </w:tcPr>
          <w:p>
            <w:pPr>
              <w:pStyle w:val="TableContents"/>
              <w:bidi w:val="0"/>
              <w:spacing w:lineRule="auto" w:line="300" w:before="0" w:after="0"/>
              <w:jc w:val="right"/>
              <w:rPr/>
            </w:pPr>
            <w:r>
              <w:rPr/>
              <w:t>1.40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9"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1163" w:type="dxa"/>
            <w:tcBorders/>
            <w:shd w:fill="CCEEFF" w:val="clear"/>
            <w:vAlign w:val="center"/>
          </w:tcPr>
          <w:p>
            <w:pPr>
              <w:pStyle w:val="TableContents"/>
              <w:bidi w:val="0"/>
              <w:spacing w:lineRule="auto" w:line="300" w:before="0" w:after="0"/>
              <w:jc w:val="right"/>
              <w:rPr/>
            </w:pPr>
            <w:r>
              <w:rPr/>
              <w:t>950</w:t>
            </w:r>
          </w:p>
        </w:tc>
        <w:tc>
          <w:tcPr>
            <w:tcW w:w="64" w:type="dxa"/>
            <w:tcBorders/>
            <w:shd w:fill="CCEEFF" w:val="clear"/>
            <w:vAlign w:val="center"/>
          </w:tcPr>
          <w:p>
            <w:pPr>
              <w:pStyle w:val="TableContents"/>
              <w:bidi w:val="0"/>
              <w:spacing w:before="0" w:after="283"/>
              <w:jc w:val="left"/>
              <w:rPr/>
            </w:pPr>
            <w:r>
              <w:rPr/>
              <w:t> </w:t>
            </w:r>
          </w:p>
        </w:tc>
      </w:tr>
      <w:tr>
        <w:trPr/>
        <w:tc>
          <w:tcPr>
            <w:tcW w:w="2264"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Exercised</w:t>
            </w:r>
          </w:p>
        </w:tc>
        <w:tc>
          <w:tcPr>
            <w:tcW w:w="6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1074"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(141,584</w:t>
            </w:r>
          </w:p>
        </w:tc>
        <w:tc>
          <w:tcPr>
            <w:tcW w:w="80"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vAlign w:val="center"/>
          </w:tcPr>
          <w:p>
            <w:pPr>
              <w:pStyle w:val="TableContents"/>
              <w:bidi w:val="0"/>
              <w:spacing w:before="0" w:after="283"/>
              <w:jc w:val="left"/>
              <w:rPr/>
            </w:pPr>
            <w:r>
              <w:rPr/>
              <w:t> </w:t>
            </w:r>
          </w:p>
        </w:tc>
        <w:tc>
          <w:tcPr>
            <w:tcW w:w="284" w:type="dxa"/>
            <w:tcBorders/>
            <w:vAlign w:val="center"/>
          </w:tcPr>
          <w:p>
            <w:pPr>
              <w:pStyle w:val="TableContents"/>
              <w:bidi w:val="0"/>
              <w:spacing w:before="0" w:after="283"/>
              <w:jc w:val="left"/>
              <w:rPr/>
            </w:pPr>
            <w:r>
              <w:rPr/>
              <w:t> </w:t>
            </w:r>
          </w:p>
        </w:tc>
        <w:tc>
          <w:tcPr>
            <w:tcW w:w="1346" w:type="dxa"/>
            <w:tcBorders/>
            <w:vAlign w:val="center"/>
          </w:tcPr>
          <w:p>
            <w:pPr>
              <w:pStyle w:val="TableContents"/>
              <w:bidi w:val="0"/>
              <w:spacing w:lineRule="auto" w:line="300" w:before="0" w:after="0"/>
              <w:jc w:val="right"/>
              <w:rPr/>
            </w:pPr>
            <w:r>
              <w:rPr/>
              <w:t>27.20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0" w:type="dxa"/>
            <w:tcBorders/>
            <w:vAlign w:val="center"/>
          </w:tcPr>
          <w:p>
            <w:pPr>
              <w:pStyle w:val="TableContents"/>
              <w:bidi w:val="0"/>
              <w:spacing w:before="0" w:after="283"/>
              <w:jc w:val="left"/>
              <w:rPr/>
            </w:pPr>
            <w:r>
              <w:rPr/>
              <w:t> </w:t>
            </w:r>
          </w:p>
        </w:tc>
        <w:tc>
          <w:tcPr>
            <w:tcW w:w="2211" w:type="dxa"/>
            <w:tcBorders/>
            <w:vAlign w:val="center"/>
          </w:tcPr>
          <w:p>
            <w:pPr>
              <w:pStyle w:val="TableContents"/>
              <w:bidi w:val="0"/>
              <w:spacing w:lineRule="auto" w:line="300" w:before="0" w:after="0"/>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59" w:type="dxa"/>
            <w:tcBorders/>
            <w:vAlign w:val="center"/>
          </w:tcPr>
          <w:p>
            <w:pPr>
              <w:pStyle w:val="TableContents"/>
              <w:bidi w:val="0"/>
              <w:spacing w:before="0" w:after="283"/>
              <w:jc w:val="left"/>
              <w:rPr/>
            </w:pPr>
            <w:r>
              <w:rPr/>
              <w:t> </w:t>
            </w:r>
          </w:p>
        </w:tc>
        <w:tc>
          <w:tcPr>
            <w:tcW w:w="1163" w:type="dxa"/>
            <w:tcBorders/>
            <w:vAlign w:val="center"/>
          </w:tcPr>
          <w:p>
            <w:pPr>
              <w:pStyle w:val="TableContents"/>
              <w:bidi w:val="0"/>
              <w:spacing w:lineRule="auto" w:line="300" w:before="0" w:after="0"/>
              <w:jc w:val="right"/>
              <w:rPr/>
            </w:pPr>
            <w:r>
              <w:rPr/>
              <w:t>1,769</w:t>
            </w:r>
          </w:p>
        </w:tc>
        <w:tc>
          <w:tcPr>
            <w:tcW w:w="64" w:type="dxa"/>
            <w:tcBorders/>
            <w:vAlign w:val="center"/>
          </w:tcPr>
          <w:p>
            <w:pPr>
              <w:pStyle w:val="TableContents"/>
              <w:bidi w:val="0"/>
              <w:spacing w:before="0" w:after="283"/>
              <w:jc w:val="left"/>
              <w:rPr/>
            </w:pPr>
            <w:r>
              <w:rPr/>
              <w:t> </w:t>
            </w:r>
          </w:p>
        </w:tc>
      </w:tr>
      <w:tr>
        <w:trPr/>
        <w:tc>
          <w:tcPr>
            <w:tcW w:w="2264"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Forfeited or expired</w:t>
            </w:r>
          </w:p>
        </w:tc>
        <w:tc>
          <w:tcPr>
            <w:tcW w:w="60" w:type="dxa"/>
            <w:tcBorders/>
            <w:shd w:fill="CCEEFF" w:val="clear"/>
            <w:vAlign w:val="center"/>
          </w:tcPr>
          <w:p>
            <w:pPr>
              <w:pStyle w:val="TableContents"/>
              <w:bidi w:val="0"/>
              <w:spacing w:before="0" w:after="283"/>
              <w:jc w:val="left"/>
              <w:rPr/>
            </w:pPr>
            <w:r>
              <w:rPr/>
              <w:t> </w:t>
            </w:r>
          </w:p>
        </w:tc>
        <w:tc>
          <w:tcPr>
            <w:tcW w:w="8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74" w:type="dxa"/>
            <w:tcBorders>
              <w:bottom w:val="single" w:sz="12" w:space="0" w:color="000000"/>
            </w:tcBorders>
            <w:shd w:fill="CCEEFF" w:val="clear"/>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(18,775</w:t>
            </w:r>
          </w:p>
        </w:tc>
        <w:tc>
          <w:tcPr>
            <w:tcW w:w="80"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284" w:type="dxa"/>
            <w:tcBorders/>
            <w:shd w:fill="CCEEFF" w:val="clear"/>
            <w:vAlign w:val="center"/>
          </w:tcPr>
          <w:p>
            <w:pPr>
              <w:pStyle w:val="TableContents"/>
              <w:bidi w:val="0"/>
              <w:spacing w:before="0" w:after="283"/>
              <w:jc w:val="left"/>
              <w:rPr/>
            </w:pPr>
            <w:r>
              <w:rPr/>
              <w:t> </w:t>
            </w:r>
          </w:p>
        </w:tc>
        <w:tc>
          <w:tcPr>
            <w:tcW w:w="1346"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149.39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0" w:type="dxa"/>
            <w:tcBorders/>
            <w:shd w:fill="CCEEFF" w:val="clear"/>
            <w:vAlign w:val="center"/>
          </w:tcPr>
          <w:p>
            <w:pPr>
              <w:pStyle w:val="TableContents"/>
              <w:bidi w:val="0"/>
              <w:spacing w:before="0" w:after="283"/>
              <w:jc w:val="left"/>
              <w:rPr/>
            </w:pPr>
            <w:r>
              <w:rPr/>
              <w:t> </w:t>
            </w:r>
          </w:p>
        </w:tc>
        <w:tc>
          <w:tcPr>
            <w:tcW w:w="2211" w:type="dxa"/>
            <w:tcBorders/>
            <w:shd w:fill="CCEEFF" w:val="clear"/>
            <w:vAlign w:val="center"/>
          </w:tcPr>
          <w:p>
            <w:pPr>
              <w:pStyle w:val="TableContents"/>
              <w:bidi w:val="0"/>
              <w:spacing w:lineRule="auto" w:line="300" w:before="0" w:after="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9" w:type="dxa"/>
            <w:tcBorders/>
            <w:shd w:fill="CCEEFF" w:val="clear"/>
            <w:vAlign w:val="center"/>
          </w:tcPr>
          <w:p>
            <w:pPr>
              <w:pStyle w:val="TableContents"/>
              <w:bidi w:val="0"/>
              <w:spacing w:before="0" w:after="283"/>
              <w:jc w:val="left"/>
              <w:rPr/>
            </w:pPr>
            <w:r>
              <w:rPr/>
              <w:t> </w:t>
            </w:r>
          </w:p>
        </w:tc>
        <w:tc>
          <w:tcPr>
            <w:tcW w:w="1163" w:type="dxa"/>
            <w:tcBorders/>
            <w:shd w:fill="CCEEFF" w:val="clear"/>
            <w:vAlign w:val="center"/>
          </w:tcPr>
          <w:p>
            <w:pPr>
              <w:pStyle w:val="TableContents"/>
              <w:bidi w:val="0"/>
              <w:spacing w:lineRule="auto" w:line="300" w:before="0" w:after="0"/>
              <w:jc w:val="right"/>
              <w:rPr/>
            </w:pPr>
            <w:r>
              <w:rPr/>
              <w:t>-</w:t>
            </w:r>
          </w:p>
        </w:tc>
        <w:tc>
          <w:tcPr>
            <w:tcW w:w="64" w:type="dxa"/>
            <w:tcBorders/>
            <w:shd w:fill="CCEEFF" w:val="clear"/>
            <w:vAlign w:val="center"/>
          </w:tcPr>
          <w:p>
            <w:pPr>
              <w:pStyle w:val="TableContents"/>
              <w:bidi w:val="0"/>
              <w:spacing w:before="0" w:after="283"/>
              <w:jc w:val="left"/>
              <w:rPr/>
            </w:pPr>
            <w:r>
              <w:rPr/>
              <w:t> </w:t>
            </w:r>
          </w:p>
        </w:tc>
      </w:tr>
      <w:tr>
        <w:trPr/>
        <w:tc>
          <w:tcPr>
            <w:tcW w:w="2264"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Outstanding as of June 30, 2026</w:t>
            </w:r>
          </w:p>
        </w:tc>
        <w:tc>
          <w:tcPr>
            <w:tcW w:w="60" w:type="dxa"/>
            <w:tcBorders/>
            <w:vAlign w:val="center"/>
          </w:tcPr>
          <w:p>
            <w:pPr>
              <w:pStyle w:val="TableContents"/>
              <w:bidi w:val="0"/>
              <w:spacing w:before="0" w:after="283"/>
              <w:jc w:val="left"/>
              <w:rPr/>
            </w:pPr>
            <w:r>
              <w:rPr/>
              <w:t> </w:t>
            </w:r>
          </w:p>
        </w:tc>
        <w:tc>
          <w:tcPr>
            <w:tcW w:w="80" w:type="dxa"/>
            <w:tcBorders>
              <w:bottom w:val="double" w:sz="8" w:space="0" w:color="000000"/>
            </w:tcBorders>
            <w:tcMar>
              <w:bottom w:w="28" w:type="dxa"/>
            </w:tcMar>
            <w:vAlign w:val="center"/>
          </w:tcPr>
          <w:p>
            <w:pPr>
              <w:pStyle w:val="TableContents"/>
              <w:bidi w:val="0"/>
              <w:spacing w:before="0" w:after="283"/>
              <w:jc w:val="left"/>
              <w:rPr/>
            </w:pPr>
            <w:r>
              <w:rPr/>
              <w:t> </w:t>
            </w:r>
          </w:p>
        </w:tc>
        <w:tc>
          <w:tcPr>
            <w:tcW w:w="1074" w:type="dxa"/>
            <w:tcBorders>
              <w:bottom w:val="double" w:sz="8" w:space="0" w:color="000000"/>
            </w:tcBorders>
            <w:tcMar>
              <w:bottom w:w="28" w:type="dxa"/>
            </w:tcMar>
            <w:vAlign w:val="center"/>
          </w:tcPr>
          <w:p>
            <w:pPr>
              <w:pStyle w:val="TableContents"/>
              <w:bidi w:val="0"/>
              <w:spacing w:lineRule="auto" w:line="300" w:before="0" w:after="0"/>
              <w:jc w:val="right"/>
              <w:rPr/>
            </w:pPr>
            <w:r>
              <w:rPr/>
              <w:t>30,828</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84" w:type="dxa"/>
            <w:tcBorders>
              <w:bottom w:val="double" w:sz="8" w:space="0" w:color="000000"/>
            </w:tcBorders>
            <w:tcMar>
              <w:bottom w:w="28" w:type="dxa"/>
            </w:tcM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1346" w:type="dxa"/>
            <w:tcBorders>
              <w:bottom w:val="double" w:sz="8" w:space="0" w:color="000000"/>
            </w:tcBorders>
            <w:tcMar>
              <w:bottom w:w="28" w:type="dxa"/>
            </w:tcMar>
            <w:vAlign w:val="center"/>
          </w:tcPr>
          <w:p>
            <w:pPr>
              <w:pStyle w:val="TableContents"/>
              <w:bidi w:val="0"/>
              <w:spacing w:lineRule="auto" w:line="300" w:before="0" w:after="0"/>
              <w:jc w:val="right"/>
              <w:rPr/>
            </w:pPr>
            <w:r>
              <w:rPr/>
              <w:t>90.30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0" w:type="dxa"/>
            <w:tcBorders>
              <w:bottom w:val="double" w:sz="8" w:space="0" w:color="000000"/>
            </w:tcBorders>
            <w:tcMar>
              <w:bottom w:w="28" w:type="dxa"/>
            </w:tcMar>
            <w:vAlign w:val="center"/>
          </w:tcPr>
          <w:p>
            <w:pPr>
              <w:pStyle w:val="TableContents"/>
              <w:bidi w:val="0"/>
              <w:spacing w:before="0" w:after="283"/>
              <w:jc w:val="left"/>
              <w:rPr/>
            </w:pPr>
            <w:r>
              <w:rPr/>
              <w:t> </w:t>
            </w:r>
          </w:p>
        </w:tc>
        <w:tc>
          <w:tcPr>
            <w:tcW w:w="2211" w:type="dxa"/>
            <w:tcBorders>
              <w:bottom w:val="double" w:sz="8" w:space="0" w:color="000000"/>
            </w:tcBorders>
            <w:tcMar>
              <w:bottom w:w="28" w:type="dxa"/>
            </w:tcMar>
            <w:vAlign w:val="center"/>
          </w:tcPr>
          <w:p>
            <w:pPr>
              <w:pStyle w:val="TableContents"/>
              <w:bidi w:val="0"/>
              <w:spacing w:lineRule="auto" w:line="300" w:before="0" w:after="0"/>
              <w:jc w:val="right"/>
              <w:rPr/>
            </w:pPr>
            <w:r>
              <w:rPr/>
              <w:t>2.64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59" w:type="dxa"/>
            <w:tcBorders>
              <w:bottom w:val="double" w:sz="8" w:space="0" w:color="000000"/>
            </w:tcBorders>
            <w:tcMar>
              <w:bottom w:w="28" w:type="dxa"/>
            </w:tcM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1163" w:type="dxa"/>
            <w:tcBorders>
              <w:bottom w:val="double" w:sz="8" w:space="0" w:color="000000"/>
            </w:tcBorders>
            <w:tcMar>
              <w:bottom w:w="28" w:type="dxa"/>
            </w:tcMar>
            <w:vAlign w:val="center"/>
          </w:tcPr>
          <w:p>
            <w:pPr>
              <w:pStyle w:val="TableContents"/>
              <w:bidi w:val="0"/>
              <w:spacing w:lineRule="auto" w:line="300" w:before="0" w:after="0"/>
              <w:jc w:val="right"/>
              <w:rPr/>
            </w:pPr>
            <w:r>
              <w:rPr/>
              <w:t>588</w:t>
            </w:r>
          </w:p>
        </w:tc>
        <w:tc>
          <w:tcPr>
            <w:tcW w:w="64" w:type="dxa"/>
            <w:tcBorders/>
            <w:vAlign w:val="center"/>
          </w:tcPr>
          <w:p>
            <w:pPr>
              <w:pStyle w:val="TableContents"/>
              <w:bidi w:val="0"/>
              <w:spacing w:before="0" w:after="283"/>
              <w:jc w:val="left"/>
              <w:rPr/>
            </w:pPr>
            <w:r>
              <w:rPr/>
              <w:t> </w:t>
            </w:r>
          </w:p>
        </w:tc>
      </w:tr>
      <w:tr>
        <w:trPr/>
        <w:tc>
          <w:tcPr>
            <w:tcW w:w="2264"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Vested and expected to vest as of June 30, 2026</w:t>
            </w:r>
          </w:p>
        </w:tc>
        <w:tc>
          <w:tcPr>
            <w:tcW w:w="60" w:type="dxa"/>
            <w:tcBorders/>
            <w:shd w:fill="CCEEFF" w:val="clear"/>
            <w:vAlign w:val="center"/>
          </w:tcPr>
          <w:p>
            <w:pPr>
              <w:pStyle w:val="TableContents"/>
              <w:bidi w:val="0"/>
              <w:spacing w:before="0" w:after="283"/>
              <w:jc w:val="left"/>
              <w:rPr/>
            </w:pPr>
            <w:r>
              <w:rPr/>
              <w:t> </w:t>
            </w:r>
          </w:p>
        </w:tc>
        <w:tc>
          <w:tcPr>
            <w:tcW w:w="80" w:type="dxa"/>
            <w:tcBorders>
              <w:bottom w:val="double" w:sz="8" w:space="0" w:color="000000"/>
            </w:tcBorders>
            <w:shd w:fill="CCEEFF" w:val="clear"/>
            <w:tcMar>
              <w:bottom w:w="28" w:type="dxa"/>
            </w:tcMar>
            <w:vAlign w:val="center"/>
          </w:tcPr>
          <w:p>
            <w:pPr>
              <w:pStyle w:val="TableContents"/>
              <w:bidi w:val="0"/>
              <w:spacing w:before="0" w:after="283"/>
              <w:jc w:val="left"/>
              <w:rPr/>
            </w:pPr>
            <w:r>
              <w:rPr/>
              <w:t> </w:t>
            </w:r>
          </w:p>
        </w:tc>
        <w:tc>
          <w:tcPr>
            <w:tcW w:w="1074" w:type="dxa"/>
            <w:tcBorders>
              <w:bottom w:val="double" w:sz="8" w:space="0" w:color="000000"/>
            </w:tcBorders>
            <w:shd w:fill="CCEEFF" w:val="clear"/>
            <w:tcMar>
              <w:bottom w:w="28" w:type="dxa"/>
            </w:tcMar>
            <w:vAlign w:val="center"/>
          </w:tcPr>
          <w:p>
            <w:pPr>
              <w:pStyle w:val="TableContents"/>
              <w:bidi w:val="0"/>
              <w:spacing w:lineRule="auto" w:line="300" w:before="0" w:after="0"/>
              <w:jc w:val="right"/>
              <w:rPr/>
            </w:pPr>
            <w:r>
              <w:rPr/>
              <w:t>30,828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4" w:type="dxa"/>
            <w:tcBorders>
              <w:bottom w:val="double" w:sz="8" w:space="0" w:color="000000"/>
            </w:tcBorders>
            <w:shd w:fill="CCEEFF" w:val="clear"/>
            <w:tcMar>
              <w:bottom w:w="28" w:type="dxa"/>
            </w:tcM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1346" w:type="dxa"/>
            <w:tcBorders>
              <w:bottom w:val="double" w:sz="8" w:space="0" w:color="000000"/>
            </w:tcBorders>
            <w:shd w:fill="CCEEFF" w:val="clear"/>
            <w:tcMar>
              <w:bottom w:w="28" w:type="dxa"/>
            </w:tcMar>
            <w:vAlign w:val="center"/>
          </w:tcPr>
          <w:p>
            <w:pPr>
              <w:pStyle w:val="TableContents"/>
              <w:bidi w:val="0"/>
              <w:spacing w:lineRule="auto" w:line="300" w:before="0" w:after="0"/>
              <w:jc w:val="right"/>
              <w:rPr/>
            </w:pPr>
            <w:r>
              <w:rPr/>
              <w:t>90.30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0" w:type="dxa"/>
            <w:tcBorders>
              <w:bottom w:val="double" w:sz="8" w:space="0" w:color="000000"/>
            </w:tcBorders>
            <w:shd w:fill="CCEEFF" w:val="clear"/>
            <w:tcMar>
              <w:bottom w:w="28" w:type="dxa"/>
            </w:tcMar>
            <w:vAlign w:val="center"/>
          </w:tcPr>
          <w:p>
            <w:pPr>
              <w:pStyle w:val="TableContents"/>
              <w:bidi w:val="0"/>
              <w:spacing w:before="0" w:after="283"/>
              <w:jc w:val="left"/>
              <w:rPr/>
            </w:pPr>
            <w:r>
              <w:rPr/>
              <w:t> </w:t>
            </w:r>
          </w:p>
        </w:tc>
        <w:tc>
          <w:tcPr>
            <w:tcW w:w="2211" w:type="dxa"/>
            <w:tcBorders>
              <w:bottom w:val="double" w:sz="8" w:space="0" w:color="000000"/>
            </w:tcBorders>
            <w:shd w:fill="CCEEFF" w:val="clear"/>
            <w:tcMar>
              <w:bottom w:w="28" w:type="dxa"/>
            </w:tcMar>
            <w:vAlign w:val="center"/>
          </w:tcPr>
          <w:p>
            <w:pPr>
              <w:pStyle w:val="TableContents"/>
              <w:bidi w:val="0"/>
              <w:spacing w:lineRule="auto" w:line="300" w:before="0" w:after="0"/>
              <w:jc w:val="right"/>
              <w:rPr/>
            </w:pPr>
            <w:r>
              <w:rPr/>
              <w:t>2.64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9" w:type="dxa"/>
            <w:tcBorders>
              <w:bottom w:val="double" w:sz="8" w:space="0" w:color="000000"/>
            </w:tcBorders>
            <w:shd w:fill="CCEEFF" w:val="clear"/>
            <w:tcMar>
              <w:bottom w:w="28" w:type="dxa"/>
            </w:tcM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1163" w:type="dxa"/>
            <w:tcBorders>
              <w:bottom w:val="double" w:sz="8" w:space="0" w:color="000000"/>
            </w:tcBorders>
            <w:shd w:fill="CCEEFF" w:val="clear"/>
            <w:tcMar>
              <w:bottom w:w="28" w:type="dxa"/>
            </w:tcMar>
            <w:vAlign w:val="center"/>
          </w:tcPr>
          <w:p>
            <w:pPr>
              <w:pStyle w:val="TableContents"/>
              <w:bidi w:val="0"/>
              <w:spacing w:lineRule="auto" w:line="300" w:before="0" w:after="0"/>
              <w:jc w:val="right"/>
              <w:rPr/>
            </w:pPr>
            <w:r>
              <w:rPr/>
              <w:t>588</w:t>
            </w:r>
          </w:p>
        </w:tc>
        <w:tc>
          <w:tcPr>
            <w:tcW w:w="64" w:type="dxa"/>
            <w:tcBorders/>
            <w:shd w:fill="CCEEFF" w:val="clear"/>
            <w:vAlign w:val="center"/>
          </w:tcPr>
          <w:p>
            <w:pPr>
              <w:pStyle w:val="TableContents"/>
              <w:bidi w:val="0"/>
              <w:spacing w:before="0" w:after="283"/>
              <w:jc w:val="left"/>
              <w:rPr/>
            </w:pPr>
            <w:r>
              <w:rPr/>
              <w:t> </w:t>
            </w:r>
          </w:p>
        </w:tc>
      </w:tr>
      <w:tr>
        <w:trPr/>
        <w:tc>
          <w:tcPr>
            <w:tcW w:w="2264"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Exercisable as of June 30, 2026</w:t>
            </w:r>
          </w:p>
        </w:tc>
        <w:tc>
          <w:tcPr>
            <w:tcW w:w="60" w:type="dxa"/>
            <w:tcBorders/>
            <w:vAlign w:val="center"/>
          </w:tcPr>
          <w:p>
            <w:pPr>
              <w:pStyle w:val="TableContents"/>
              <w:bidi w:val="0"/>
              <w:spacing w:before="0" w:after="283"/>
              <w:jc w:val="left"/>
              <w:rPr/>
            </w:pPr>
            <w:r>
              <w:rPr/>
              <w:t> </w:t>
            </w:r>
          </w:p>
        </w:tc>
        <w:tc>
          <w:tcPr>
            <w:tcW w:w="80" w:type="dxa"/>
            <w:tcBorders>
              <w:bottom w:val="double" w:sz="8" w:space="0" w:color="000000"/>
            </w:tcBorders>
            <w:tcMar>
              <w:bottom w:w="28" w:type="dxa"/>
            </w:tcMar>
            <w:vAlign w:val="center"/>
          </w:tcPr>
          <w:p>
            <w:pPr>
              <w:pStyle w:val="TableContents"/>
              <w:bidi w:val="0"/>
              <w:spacing w:before="0" w:after="283"/>
              <w:jc w:val="left"/>
              <w:rPr/>
            </w:pPr>
            <w:r>
              <w:rPr/>
              <w:t> </w:t>
            </w:r>
          </w:p>
        </w:tc>
        <w:tc>
          <w:tcPr>
            <w:tcW w:w="1074" w:type="dxa"/>
            <w:tcBorders>
              <w:bottom w:val="double" w:sz="8" w:space="0" w:color="000000"/>
            </w:tcBorders>
            <w:tcMar>
              <w:bottom w:w="28" w:type="dxa"/>
            </w:tcMar>
            <w:vAlign w:val="center"/>
          </w:tcPr>
          <w:p>
            <w:pPr>
              <w:pStyle w:val="TableContents"/>
              <w:bidi w:val="0"/>
              <w:spacing w:lineRule="auto" w:line="300" w:before="0" w:after="0"/>
              <w:jc w:val="right"/>
              <w:rPr/>
            </w:pPr>
            <w:r>
              <w:rPr/>
              <w:t>30,828</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84" w:type="dxa"/>
            <w:tcBorders>
              <w:bottom w:val="double" w:sz="8" w:space="0" w:color="000000"/>
            </w:tcBorders>
            <w:tcMar>
              <w:bottom w:w="28" w:type="dxa"/>
            </w:tcM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1346" w:type="dxa"/>
            <w:tcBorders>
              <w:bottom w:val="double" w:sz="8" w:space="0" w:color="000000"/>
            </w:tcBorders>
            <w:tcMar>
              <w:bottom w:w="28" w:type="dxa"/>
            </w:tcMar>
            <w:vAlign w:val="center"/>
          </w:tcPr>
          <w:p>
            <w:pPr>
              <w:pStyle w:val="TableContents"/>
              <w:bidi w:val="0"/>
              <w:spacing w:lineRule="auto" w:line="300" w:before="0" w:after="0"/>
              <w:jc w:val="right"/>
              <w:rPr/>
            </w:pPr>
            <w:r>
              <w:rPr/>
              <w:t>90.30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0" w:type="dxa"/>
            <w:tcBorders>
              <w:bottom w:val="double" w:sz="8" w:space="0" w:color="000000"/>
            </w:tcBorders>
            <w:tcMar>
              <w:bottom w:w="28" w:type="dxa"/>
            </w:tcMar>
            <w:vAlign w:val="center"/>
          </w:tcPr>
          <w:p>
            <w:pPr>
              <w:pStyle w:val="TableContents"/>
              <w:bidi w:val="0"/>
              <w:spacing w:before="0" w:after="283"/>
              <w:jc w:val="left"/>
              <w:rPr/>
            </w:pPr>
            <w:r>
              <w:rPr/>
              <w:t> </w:t>
            </w:r>
          </w:p>
        </w:tc>
        <w:tc>
          <w:tcPr>
            <w:tcW w:w="2211" w:type="dxa"/>
            <w:tcBorders>
              <w:bottom w:val="double" w:sz="8" w:space="0" w:color="000000"/>
            </w:tcBorders>
            <w:tcMar>
              <w:bottom w:w="28" w:type="dxa"/>
            </w:tcMar>
            <w:vAlign w:val="center"/>
          </w:tcPr>
          <w:p>
            <w:pPr>
              <w:pStyle w:val="TableContents"/>
              <w:bidi w:val="0"/>
              <w:spacing w:lineRule="auto" w:line="300" w:before="0" w:after="0"/>
              <w:jc w:val="right"/>
              <w:rPr/>
            </w:pPr>
            <w:r>
              <w:rPr/>
              <w:t>2.64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59" w:type="dxa"/>
            <w:tcBorders>
              <w:bottom w:val="double" w:sz="8" w:space="0" w:color="000000"/>
            </w:tcBorders>
            <w:tcMar>
              <w:bottom w:w="28" w:type="dxa"/>
            </w:tcM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1163" w:type="dxa"/>
            <w:tcBorders>
              <w:bottom w:val="double" w:sz="8" w:space="0" w:color="000000"/>
            </w:tcBorders>
            <w:tcMar>
              <w:bottom w:w="28" w:type="dxa"/>
            </w:tcMar>
            <w:vAlign w:val="center"/>
          </w:tcPr>
          <w:p>
            <w:pPr>
              <w:pStyle w:val="TableContents"/>
              <w:bidi w:val="0"/>
              <w:spacing w:lineRule="auto" w:line="300" w:before="0" w:after="0"/>
              <w:jc w:val="right"/>
              <w:rPr/>
            </w:pPr>
            <w:r>
              <w:rPr/>
              <w:t>588</w:t>
            </w:r>
          </w:p>
        </w:tc>
        <w:tc>
          <w:tcPr>
            <w:tcW w:w="64" w:type="dxa"/>
            <w:tcBorders/>
            <w:vAlign w:val="center"/>
          </w:tcPr>
          <w:p>
            <w:pPr>
              <w:pStyle w:val="TableContents"/>
              <w:bidi w:val="0"/>
              <w:spacing w:before="0" w:after="283"/>
              <w:jc w:val="left"/>
              <w:rPr/>
            </w:pPr>
            <w:r>
              <w:rPr/>
              <w:t> </w:t>
            </w:r>
          </w:p>
        </w:tc>
      </w:tr>
    </w:tbl>
    <w:p>
      <w:pPr>
        <w:pStyle w:val="TextBody"/>
        <w:bidi w:val="0"/>
        <w:spacing w:lineRule="auto" w:line="300" w:before="0" w:after="0"/>
        <w:ind w:left="720" w:right="0" w:hanging="0"/>
        <w:jc w:val="left"/>
        <w:rPr/>
      </w:pPr>
      <w:r>
        <w:rPr/>
        <w:t> </w:t>
      </w:r>
    </w:p>
    <w:p>
      <w:pPr>
        <w:pStyle w:val="TextBody"/>
        <w:bidi w:val="0"/>
        <w:spacing w:lineRule="auto" w:line="300" w:before="0" w:after="0"/>
        <w:ind w:left="720" w:right="0" w:hanging="0"/>
        <w:jc w:val="both"/>
        <w:rPr>
          <w:rFonts w:ascii="Times New Roman;Times;serif" w:hAnsi="Times New Roman;Times;serif"/>
          <w:sz w:val="20"/>
        </w:rPr>
      </w:pPr>
      <w:r>
        <w:rPr>
          <w:rFonts w:ascii="Times New Roman;Times;serif" w:hAnsi="Times New Roman;Times;serif"/>
          <w:sz w:val="20"/>
        </w:rPr>
        <w:t>The intrinsic value is the amount by which the closing price of the Company’s common stock on June 30, 2026, or the price on the day of exercise exceeds the exercise price of the stock options, multiplied by the number of in-the-money options.</w:t>
      </w:r>
    </w:p>
    <w:p>
      <w:pPr>
        <w:pStyle w:val="TextBody"/>
        <w:bidi w:val="0"/>
        <w:spacing w:lineRule="auto" w:line="300" w:before="0" w:after="0"/>
        <w:ind w:left="720" w:right="0" w:hanging="0"/>
        <w:jc w:val="both"/>
        <w:rPr/>
      </w:pPr>
      <w:r>
        <w:rPr/>
        <w:t> </w:t>
      </w:r>
    </w:p>
    <w:p>
      <w:pPr>
        <w:pStyle w:val="TextBody"/>
        <w:bidi w:val="0"/>
        <w:spacing w:lineRule="auto" w:line="300" w:before="200" w:after="283"/>
        <w:jc w:val="center"/>
        <w:rPr/>
      </w:pPr>
      <w:r>
        <w:rPr>
          <w:b w:val="false"/>
          <w:i w:val="false"/>
          <w:caps w:val="false"/>
          <w:smallCaps w:val="false"/>
        </w:rPr>
        <w:t xml:space="preserve">SOLAREDGE TECHNOLOGIES INC. | 2026 Form 10-Q | F - </w:t>
      </w:r>
      <w:r>
        <w:rPr>
          <w:rFonts w:ascii="Times New Roman;Times;serif" w:hAnsi="Times New Roman;Times;serif"/>
          <w:sz w:val="20"/>
        </w:rPr>
        <w:t>22</w:t>
      </w:r>
    </w:p>
    <w:p>
      <w:pPr>
        <w:pStyle w:val="HorizontalLine"/>
        <w:bidi w:val="0"/>
        <w:spacing w:lineRule="auto" w:line="300" w:before="0" w:after="0"/>
        <w:jc w:val="left"/>
        <w:rPr/>
      </w:pPr>
      <w:r>
        <w:rPr/>
      </w:r>
    </w:p>
    <w:p>
      <w:pPr>
        <w:pStyle w:val="TextBody"/>
        <w:bidi w:val="0"/>
        <w:spacing w:lineRule="auto" w:line="300" w:before="0" w:after="0"/>
        <w:jc w:val="left"/>
        <w:rPr/>
      </w:pPr>
      <w:r>
        <w:rPr/>
        <w:t> </w:t>
      </w:r>
    </w:p>
    <w:p>
      <w:pPr>
        <w:pStyle w:val="TextBody"/>
        <w:bidi w:val="0"/>
        <w:spacing w:lineRule="auto" w:line="300" w:before="0" w:after="0"/>
        <w:ind w:left="360" w:right="360" w:hanging="0"/>
        <w:jc w:val="center"/>
        <w:rPr>
          <w:b/>
        </w:rPr>
      </w:pPr>
      <w:r>
        <w:rPr>
          <w:b/>
        </w:rPr>
        <w:t>SOLAREDGE TECHNOLOGIES, INC.</w:t>
      </w:r>
    </w:p>
    <w:p>
      <w:pPr>
        <w:pStyle w:val="TextBody"/>
        <w:bidi w:val="0"/>
        <w:spacing w:lineRule="auto" w:line="300" w:before="0" w:after="0"/>
        <w:jc w:val="left"/>
        <w:rPr/>
      </w:pPr>
      <w:r>
        <w:rPr/>
        <w:t> </w:t>
      </w:r>
    </w:p>
    <w:p>
      <w:pPr>
        <w:pStyle w:val="TextBody"/>
        <w:bidi w:val="0"/>
        <w:spacing w:lineRule="auto" w:line="300" w:before="0" w:after="0"/>
        <w:ind w:left="360" w:right="360" w:hanging="0"/>
        <w:jc w:val="center"/>
        <w:rPr>
          <w:b/>
        </w:rPr>
      </w:pPr>
      <w:r>
        <w:rPr>
          <w:b/>
        </w:rPr>
        <w:t>NOTES TO CONDENSED CONSOLIDATED FINANCIAL STATEMENTS (Unaudited)</w:t>
      </w:r>
    </w:p>
    <w:p>
      <w:pPr>
        <w:pStyle w:val="TextBody"/>
        <w:bidi w:val="0"/>
        <w:spacing w:lineRule="auto" w:line="300" w:before="0" w:after="0"/>
        <w:jc w:val="left"/>
        <w:rPr/>
      </w:pPr>
      <w:r>
        <w:rPr/>
        <w:t> </w:t>
      </w:r>
    </w:p>
    <w:p>
      <w:pPr>
        <w:pStyle w:val="TextBody"/>
        <w:bidi w:val="0"/>
        <w:spacing w:lineRule="auto" w:line="300"/>
        <w:ind w:left="360" w:right="360" w:hanging="0"/>
        <w:jc w:val="center"/>
        <w:rPr/>
      </w:pPr>
      <w:r>
        <w:rPr>
          <w:b/>
        </w:rPr>
        <w:t>(in thousands, except per share data</w:t>
      </w:r>
      <w:r>
        <w:rPr/>
        <w:t>)</w:t>
      </w:r>
    </w:p>
    <w:p>
      <w:pPr>
        <w:pStyle w:val="TextBody"/>
        <w:bidi w:val="0"/>
        <w:spacing w:lineRule="auto" w:line="300" w:before="0" w:after="0"/>
        <w:jc w:val="left"/>
        <w:rPr/>
      </w:pPr>
      <w:r>
        <w:rPr/>
        <w:t> </w:t>
      </w:r>
    </w:p>
    <w:p>
      <w:pPr>
        <w:pStyle w:val="TextBody"/>
        <w:bidi w:val="0"/>
        <w:spacing w:lineRule="auto" w:line="300" w:before="0" w:after="0"/>
        <w:ind w:left="720" w:right="0" w:hanging="0"/>
        <w:jc w:val="both"/>
        <w:rPr>
          <w:rFonts w:ascii="Times New Roman;Times;serif" w:hAnsi="Times New Roman;Times;serif"/>
          <w:sz w:val="20"/>
        </w:rPr>
      </w:pPr>
      <w:r>
        <w:rPr>
          <w:rFonts w:ascii="Times New Roman;Times;serif" w:hAnsi="Times New Roman;Times;serif"/>
          <w:sz w:val="20"/>
        </w:rPr>
        <w:t>A summary of the activity in the RSUs and PSUs and related information is as follows:</w:t>
      </w:r>
    </w:p>
    <w:p>
      <w:pPr>
        <w:pStyle w:val="TextBody"/>
        <w:bidi w:val="0"/>
        <w:spacing w:lineRule="auto" w:line="300" w:before="0" w:after="0"/>
        <w:ind w:left="720" w:right="0" w:hanging="0"/>
        <w:jc w:val="both"/>
        <w:rPr/>
      </w:pPr>
      <w:r>
        <w:rPr/>
        <w:t> </w:t>
      </w:r>
    </w:p>
    <w:tbl>
      <w:tblPr>
        <w:tblW w:w="9485" w:type="dxa"/>
        <w:jc w:val="left"/>
        <w:tblInd w:w="720" w:type="dxa"/>
        <w:tblLayout w:type="fixed"/>
        <w:tblCellMar>
          <w:top w:w="0" w:type="dxa"/>
          <w:left w:w="0" w:type="dxa"/>
          <w:bottom w:w="0" w:type="dxa"/>
          <w:right w:w="0" w:type="dxa"/>
        </w:tblCellMar>
      </w:tblPr>
      <w:tblGrid>
        <w:gridCol w:w="2068"/>
        <w:gridCol w:w="60"/>
        <w:gridCol w:w="60"/>
        <w:gridCol w:w="995"/>
        <w:gridCol w:w="80"/>
        <w:gridCol w:w="60"/>
        <w:gridCol w:w="435"/>
        <w:gridCol w:w="1958"/>
        <w:gridCol w:w="60"/>
        <w:gridCol w:w="60"/>
        <w:gridCol w:w="60"/>
        <w:gridCol w:w="995"/>
        <w:gridCol w:w="80"/>
        <w:gridCol w:w="60"/>
        <w:gridCol w:w="435"/>
        <w:gridCol w:w="1958"/>
        <w:gridCol w:w="61"/>
      </w:tblGrid>
      <w:tr>
        <w:trPr/>
        <w:tc>
          <w:tcPr>
            <w:tcW w:w="206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588" w:type="dxa"/>
            <w:gridSpan w:val="6"/>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RSU</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588" w:type="dxa"/>
            <w:gridSpan w:val="6"/>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PSU</w:t>
            </w:r>
          </w:p>
        </w:tc>
        <w:tc>
          <w:tcPr>
            <w:tcW w:w="61" w:type="dxa"/>
            <w:tcBorders/>
            <w:vAlign w:val="center"/>
          </w:tcPr>
          <w:p>
            <w:pPr>
              <w:pStyle w:val="TableContents"/>
              <w:bidi w:val="0"/>
              <w:spacing w:before="0" w:after="283"/>
              <w:jc w:val="left"/>
              <w:rPr/>
            </w:pPr>
            <w:r>
              <w:rPr/>
              <w:t> </w:t>
            </w:r>
          </w:p>
        </w:tc>
      </w:tr>
      <w:tr>
        <w:trPr/>
        <w:tc>
          <w:tcPr>
            <w:tcW w:w="206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5"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Number of</w:t>
            </w:r>
          </w:p>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Shares</w:t>
            </w:r>
          </w:p>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Outstanding</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93"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Weighted average grant date fair value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5"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Number of</w:t>
            </w:r>
          </w:p>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Shares</w:t>
            </w:r>
          </w:p>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Outstanding</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93"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Weighted average grant date fair value</w:t>
            </w:r>
          </w:p>
        </w:tc>
        <w:tc>
          <w:tcPr>
            <w:tcW w:w="61" w:type="dxa"/>
            <w:tcBorders/>
            <w:vAlign w:val="center"/>
          </w:tcPr>
          <w:p>
            <w:pPr>
              <w:pStyle w:val="TableContents"/>
              <w:bidi w:val="0"/>
              <w:spacing w:before="0" w:after="283"/>
              <w:jc w:val="left"/>
              <w:rPr/>
            </w:pPr>
            <w:r>
              <w:rPr/>
              <w:t> </w:t>
            </w:r>
          </w:p>
        </w:tc>
      </w:tr>
      <w:tr>
        <w:trPr/>
        <w:tc>
          <w:tcPr>
            <w:tcW w:w="2068" w:type="dxa"/>
            <w:tcBorders/>
            <w:shd w:fill="CCEEFF" w:val="clear"/>
            <w:vAlign w:val="center"/>
          </w:tcPr>
          <w:p>
            <w:pPr>
              <w:pStyle w:val="TableContents"/>
              <w:bidi w:val="0"/>
              <w:spacing w:lineRule="auto" w:line="300" w:before="0" w:after="0"/>
              <w:jc w:val="both"/>
              <w:rPr>
                <w:rFonts w:ascii="Times New Roman;Times;serif" w:hAnsi="Times New Roman;Times;serif"/>
                <w:sz w:val="20"/>
              </w:rPr>
            </w:pPr>
            <w:r>
              <w:rPr>
                <w:rFonts w:ascii="Times New Roman;Times;serif" w:hAnsi="Times New Roman;Times;serif"/>
                <w:sz w:val="20"/>
              </w:rPr>
              <w:t>Unvested as of December 31, 2025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95" w:type="dxa"/>
            <w:tcBorders/>
            <w:shd w:fill="CCEEFF" w:val="clear"/>
            <w:vAlign w:val="center"/>
          </w:tcPr>
          <w:p>
            <w:pPr>
              <w:pStyle w:val="TableContents"/>
              <w:bidi w:val="0"/>
              <w:spacing w:lineRule="auto" w:line="300" w:before="0" w:after="0"/>
              <w:jc w:val="right"/>
              <w:rPr/>
            </w:pPr>
            <w:r>
              <w:rPr/>
              <w:t>3,824,774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35"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1958" w:type="dxa"/>
            <w:tcBorders/>
            <w:shd w:fill="CCEEFF" w:val="clear"/>
            <w:vAlign w:val="center"/>
          </w:tcPr>
          <w:p>
            <w:pPr>
              <w:pStyle w:val="TableContents"/>
              <w:bidi w:val="0"/>
              <w:spacing w:lineRule="auto" w:line="300" w:before="0" w:after="0"/>
              <w:jc w:val="right"/>
              <w:rPr/>
            </w:pPr>
            <w:r>
              <w:rPr/>
              <w:t>34.02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95" w:type="dxa"/>
            <w:tcBorders/>
            <w:shd w:fill="CCEEFF" w:val="clear"/>
            <w:vAlign w:val="center"/>
          </w:tcPr>
          <w:p>
            <w:pPr>
              <w:pStyle w:val="TableContents"/>
              <w:bidi w:val="0"/>
              <w:spacing w:lineRule="auto" w:line="300" w:before="0" w:after="0"/>
              <w:jc w:val="right"/>
              <w:rPr/>
            </w:pPr>
            <w:r>
              <w:rPr/>
              <w:t>841,487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35"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1958" w:type="dxa"/>
            <w:tcBorders/>
            <w:shd w:fill="CCEEFF" w:val="clear"/>
            <w:vAlign w:val="center"/>
          </w:tcPr>
          <w:p>
            <w:pPr>
              <w:pStyle w:val="TableContents"/>
              <w:bidi w:val="0"/>
              <w:spacing w:lineRule="auto" w:line="300" w:before="0" w:after="0"/>
              <w:jc w:val="right"/>
              <w:rPr/>
            </w:pPr>
            <w:r>
              <w:rPr/>
              <w:t>14.00</w:t>
            </w:r>
          </w:p>
        </w:tc>
        <w:tc>
          <w:tcPr>
            <w:tcW w:w="61" w:type="dxa"/>
            <w:tcBorders/>
            <w:shd w:fill="CCEEFF" w:val="clear"/>
            <w:vAlign w:val="center"/>
          </w:tcPr>
          <w:p>
            <w:pPr>
              <w:pStyle w:val="TableContents"/>
              <w:bidi w:val="0"/>
              <w:spacing w:before="0" w:after="283"/>
              <w:jc w:val="left"/>
              <w:rPr/>
            </w:pPr>
            <w:r>
              <w:rPr/>
              <w:t> </w:t>
            </w:r>
          </w:p>
        </w:tc>
      </w:tr>
      <w:tr>
        <w:trPr/>
        <w:tc>
          <w:tcPr>
            <w:tcW w:w="2068" w:type="dxa"/>
            <w:tcBorders/>
            <w:vAlign w:val="center"/>
          </w:tcPr>
          <w:p>
            <w:pPr>
              <w:pStyle w:val="TableContents"/>
              <w:bidi w:val="0"/>
              <w:spacing w:lineRule="auto" w:line="300" w:before="0" w:after="0"/>
              <w:jc w:val="both"/>
              <w:rPr>
                <w:rFonts w:ascii="Times New Roman;Times;serif" w:hAnsi="Times New Roman;Times;serif"/>
                <w:sz w:val="20"/>
              </w:rPr>
            </w:pPr>
            <w:r>
              <w:rPr>
                <w:rFonts w:ascii="Times New Roman;Times;serif" w:hAnsi="Times New Roman;Times;serif"/>
                <w:sz w:val="20"/>
              </w:rPr>
              <w:t>Granted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95" w:type="dxa"/>
            <w:tcBorders/>
            <w:vAlign w:val="center"/>
          </w:tcPr>
          <w:p>
            <w:pPr>
              <w:pStyle w:val="TableContents"/>
              <w:bidi w:val="0"/>
              <w:spacing w:lineRule="auto" w:line="300" w:before="0" w:after="0"/>
              <w:jc w:val="right"/>
              <w:rPr/>
            </w:pPr>
            <w:r>
              <w:rPr/>
              <w:t>1,560,078</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35" w:type="dxa"/>
            <w:tcBorders/>
            <w:vAlign w:val="center"/>
          </w:tcPr>
          <w:p>
            <w:pPr>
              <w:pStyle w:val="TableContents"/>
              <w:bidi w:val="0"/>
              <w:spacing w:before="0" w:after="283"/>
              <w:jc w:val="left"/>
              <w:rPr/>
            </w:pPr>
            <w:r>
              <w:rPr/>
              <w:t> </w:t>
            </w:r>
          </w:p>
        </w:tc>
        <w:tc>
          <w:tcPr>
            <w:tcW w:w="1958" w:type="dxa"/>
            <w:tcBorders/>
            <w:vAlign w:val="center"/>
          </w:tcPr>
          <w:p>
            <w:pPr>
              <w:pStyle w:val="TableContents"/>
              <w:bidi w:val="0"/>
              <w:spacing w:lineRule="auto" w:line="300" w:before="0" w:after="0"/>
              <w:jc w:val="right"/>
              <w:rPr/>
            </w:pPr>
            <w:r>
              <w:rPr/>
              <w:t>65.80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95" w:type="dxa"/>
            <w:tcBorders/>
            <w:vAlign w:val="center"/>
          </w:tcPr>
          <w:p>
            <w:pPr>
              <w:pStyle w:val="TableContents"/>
              <w:bidi w:val="0"/>
              <w:spacing w:lineRule="auto" w:line="300" w:before="0" w:after="0"/>
              <w:jc w:val="right"/>
              <w:rPr/>
            </w:pPr>
            <w:r>
              <w:rPr/>
              <w:t>646,138</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35" w:type="dxa"/>
            <w:tcBorders/>
            <w:vAlign w:val="center"/>
          </w:tcPr>
          <w:p>
            <w:pPr>
              <w:pStyle w:val="TableContents"/>
              <w:bidi w:val="0"/>
              <w:spacing w:before="0" w:after="283"/>
              <w:jc w:val="left"/>
              <w:rPr/>
            </w:pPr>
            <w:r>
              <w:rPr/>
              <w:t> </w:t>
            </w:r>
          </w:p>
        </w:tc>
        <w:tc>
          <w:tcPr>
            <w:tcW w:w="1958" w:type="dxa"/>
            <w:tcBorders/>
            <w:vAlign w:val="center"/>
          </w:tcPr>
          <w:p>
            <w:pPr>
              <w:pStyle w:val="TableContents"/>
              <w:bidi w:val="0"/>
              <w:spacing w:lineRule="auto" w:line="300" w:before="0" w:after="0"/>
              <w:jc w:val="right"/>
              <w:rPr/>
            </w:pPr>
            <w:r>
              <w:rPr/>
              <w:t>26.48</w:t>
            </w:r>
          </w:p>
        </w:tc>
        <w:tc>
          <w:tcPr>
            <w:tcW w:w="61" w:type="dxa"/>
            <w:tcBorders/>
            <w:vAlign w:val="center"/>
          </w:tcPr>
          <w:p>
            <w:pPr>
              <w:pStyle w:val="TableContents"/>
              <w:bidi w:val="0"/>
              <w:spacing w:before="0" w:after="283"/>
              <w:jc w:val="left"/>
              <w:rPr/>
            </w:pPr>
            <w:r>
              <w:rPr/>
              <w:t> </w:t>
            </w:r>
          </w:p>
        </w:tc>
      </w:tr>
      <w:tr>
        <w:trPr/>
        <w:tc>
          <w:tcPr>
            <w:tcW w:w="2068" w:type="dxa"/>
            <w:tcBorders/>
            <w:shd w:fill="CCEEFF" w:val="clear"/>
            <w:vAlign w:val="center"/>
          </w:tcPr>
          <w:p>
            <w:pPr>
              <w:pStyle w:val="TableContents"/>
              <w:bidi w:val="0"/>
              <w:spacing w:lineRule="auto" w:line="300" w:before="0" w:after="0"/>
              <w:jc w:val="both"/>
              <w:rPr>
                <w:rFonts w:ascii="Times New Roman;Times;serif" w:hAnsi="Times New Roman;Times;serif"/>
                <w:sz w:val="20"/>
              </w:rPr>
            </w:pPr>
            <w:r>
              <w:rPr>
                <w:rFonts w:ascii="Times New Roman;Times;serif" w:hAnsi="Times New Roman;Times;serif"/>
                <w:sz w:val="20"/>
              </w:rPr>
              <w:t>Vested</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95" w:type="dxa"/>
            <w:tcBorders/>
            <w:shd w:fill="CCEEFF" w:val="clear"/>
            <w:vAlign w:val="center"/>
          </w:tcPr>
          <w:p>
            <w:pPr>
              <w:pStyle w:val="TableContents"/>
              <w:bidi w:val="0"/>
              <w:spacing w:lineRule="auto" w:line="300" w:before="0" w:after="0"/>
              <w:jc w:val="right"/>
              <w:rPr/>
            </w:pPr>
            <w:r>
              <w:rPr/>
              <w:t>(716,695</w:t>
            </w:r>
          </w:p>
        </w:tc>
        <w:tc>
          <w:tcPr>
            <w:tcW w:w="80"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435" w:type="dxa"/>
            <w:tcBorders/>
            <w:shd w:fill="CCEEFF" w:val="clear"/>
            <w:vAlign w:val="center"/>
          </w:tcPr>
          <w:p>
            <w:pPr>
              <w:pStyle w:val="TableContents"/>
              <w:bidi w:val="0"/>
              <w:spacing w:before="0" w:after="283"/>
              <w:jc w:val="left"/>
              <w:rPr/>
            </w:pPr>
            <w:r>
              <w:rPr/>
              <w:t> </w:t>
            </w:r>
          </w:p>
        </w:tc>
        <w:tc>
          <w:tcPr>
            <w:tcW w:w="1958" w:type="dxa"/>
            <w:tcBorders/>
            <w:shd w:fill="CCEEFF" w:val="clear"/>
            <w:vAlign w:val="center"/>
          </w:tcPr>
          <w:p>
            <w:pPr>
              <w:pStyle w:val="TableContents"/>
              <w:bidi w:val="0"/>
              <w:spacing w:lineRule="auto" w:line="300" w:before="0" w:after="0"/>
              <w:jc w:val="right"/>
              <w:rPr/>
            </w:pPr>
            <w:r>
              <w:rPr/>
              <w:t>43.85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95" w:type="dxa"/>
            <w:tcBorders/>
            <w:shd w:fill="CCEEFF" w:val="clear"/>
            <w:vAlign w:val="center"/>
          </w:tcPr>
          <w:p>
            <w:pPr>
              <w:pStyle w:val="TableContents"/>
              <w:bidi w:val="0"/>
              <w:spacing w:lineRule="auto" w:line="300" w:before="0" w:after="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35" w:type="dxa"/>
            <w:tcBorders/>
            <w:shd w:fill="CCEEFF" w:val="clear"/>
            <w:vAlign w:val="center"/>
          </w:tcPr>
          <w:p>
            <w:pPr>
              <w:pStyle w:val="TableContents"/>
              <w:bidi w:val="0"/>
              <w:spacing w:before="0" w:after="283"/>
              <w:jc w:val="left"/>
              <w:rPr/>
            </w:pPr>
            <w:r>
              <w:rPr/>
              <w:t> </w:t>
            </w:r>
          </w:p>
        </w:tc>
        <w:tc>
          <w:tcPr>
            <w:tcW w:w="1958" w:type="dxa"/>
            <w:tcBorders/>
            <w:shd w:fill="CCEEFF" w:val="clear"/>
            <w:vAlign w:val="center"/>
          </w:tcPr>
          <w:p>
            <w:pPr>
              <w:pStyle w:val="TableContents"/>
              <w:bidi w:val="0"/>
              <w:spacing w:lineRule="auto" w:line="300" w:before="0" w:after="0"/>
              <w:jc w:val="right"/>
              <w:rPr/>
            </w:pPr>
            <w:r>
              <w:rPr/>
              <w:t>-</w:t>
            </w:r>
          </w:p>
        </w:tc>
        <w:tc>
          <w:tcPr>
            <w:tcW w:w="61" w:type="dxa"/>
            <w:tcBorders/>
            <w:shd w:fill="CCEEFF" w:val="clear"/>
            <w:vAlign w:val="center"/>
          </w:tcPr>
          <w:p>
            <w:pPr>
              <w:pStyle w:val="TableContents"/>
              <w:bidi w:val="0"/>
              <w:spacing w:before="0" w:after="283"/>
              <w:jc w:val="left"/>
              <w:rPr/>
            </w:pPr>
            <w:r>
              <w:rPr/>
              <w:t> </w:t>
            </w:r>
          </w:p>
        </w:tc>
      </w:tr>
      <w:tr>
        <w:trPr/>
        <w:tc>
          <w:tcPr>
            <w:tcW w:w="2068" w:type="dxa"/>
            <w:tcBorders/>
            <w:vAlign w:val="center"/>
          </w:tcPr>
          <w:p>
            <w:pPr>
              <w:pStyle w:val="TableContents"/>
              <w:bidi w:val="0"/>
              <w:spacing w:lineRule="auto" w:line="300" w:before="0" w:after="0"/>
              <w:jc w:val="both"/>
              <w:rPr>
                <w:rFonts w:ascii="Times New Roman;Times;serif" w:hAnsi="Times New Roman;Times;serif"/>
                <w:sz w:val="20"/>
              </w:rPr>
            </w:pPr>
            <w:r>
              <w:rPr>
                <w:rFonts w:ascii="Times New Roman;Times;serif" w:hAnsi="Times New Roman;Times;serif"/>
                <w:sz w:val="20"/>
              </w:rPr>
              <w:t>Forfeited</w:t>
            </w:r>
          </w:p>
        </w:tc>
        <w:tc>
          <w:tcPr>
            <w:tcW w:w="60" w:type="dxa"/>
            <w:tcBorders/>
            <w:vAlign w:val="center"/>
          </w:tcPr>
          <w:p>
            <w:pPr>
              <w:pStyle w:val="TableContents"/>
              <w:bidi w:val="0"/>
              <w:spacing w:before="0" w:after="283"/>
              <w:jc w:val="left"/>
              <w:rPr/>
            </w:pPr>
            <w:r>
              <w:rPr/>
              <w:t> </w:t>
            </w:r>
          </w:p>
        </w:tc>
        <w:tc>
          <w:tcPr>
            <w:tcW w:w="60" w:type="dxa"/>
            <w:tcBorders>
              <w:bottom w:val="single" w:sz="12" w:space="0" w:color="000000"/>
            </w:tcBorders>
            <w:tcMar>
              <w:bottom w:w="28" w:type="dxa"/>
            </w:tcMar>
            <w:vAlign w:val="center"/>
          </w:tcPr>
          <w:p>
            <w:pPr>
              <w:pStyle w:val="TableContents"/>
              <w:bidi w:val="0"/>
              <w:spacing w:before="0" w:after="283"/>
              <w:jc w:val="left"/>
              <w:rPr/>
            </w:pPr>
            <w:r>
              <w:rPr/>
              <w:t> </w:t>
            </w:r>
          </w:p>
        </w:tc>
        <w:tc>
          <w:tcPr>
            <w:tcW w:w="995" w:type="dxa"/>
            <w:tcBorders>
              <w:bottom w:val="single" w:sz="12" w:space="0" w:color="000000"/>
            </w:tcBorders>
            <w:tcMar>
              <w:bottom w:w="28" w:type="dxa"/>
            </w:tcMar>
            <w:vAlign w:val="center"/>
          </w:tcPr>
          <w:p>
            <w:pPr>
              <w:pStyle w:val="TableContents"/>
              <w:bidi w:val="0"/>
              <w:spacing w:lineRule="auto" w:line="300" w:before="0" w:after="0"/>
              <w:jc w:val="right"/>
              <w:rPr/>
            </w:pPr>
            <w:r>
              <w:rPr/>
              <w:t>(353,124</w:t>
            </w:r>
          </w:p>
        </w:tc>
        <w:tc>
          <w:tcPr>
            <w:tcW w:w="80"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vAlign w:val="center"/>
          </w:tcPr>
          <w:p>
            <w:pPr>
              <w:pStyle w:val="TableContents"/>
              <w:bidi w:val="0"/>
              <w:spacing w:before="0" w:after="283"/>
              <w:jc w:val="left"/>
              <w:rPr/>
            </w:pPr>
            <w:r>
              <w:rPr/>
              <w:t> </w:t>
            </w:r>
          </w:p>
        </w:tc>
        <w:tc>
          <w:tcPr>
            <w:tcW w:w="435" w:type="dxa"/>
            <w:tcBorders>
              <w:bottom w:val="single" w:sz="12" w:space="0" w:color="000000"/>
            </w:tcBorders>
            <w:tcMar>
              <w:bottom w:w="28" w:type="dxa"/>
            </w:tcMar>
            <w:vAlign w:val="center"/>
          </w:tcPr>
          <w:p>
            <w:pPr>
              <w:pStyle w:val="TableContents"/>
              <w:bidi w:val="0"/>
              <w:spacing w:before="0" w:after="283"/>
              <w:jc w:val="left"/>
              <w:rPr/>
            </w:pPr>
            <w:r>
              <w:rPr/>
              <w:t> </w:t>
            </w:r>
          </w:p>
        </w:tc>
        <w:tc>
          <w:tcPr>
            <w:tcW w:w="1958" w:type="dxa"/>
            <w:tcBorders>
              <w:bottom w:val="single" w:sz="12" w:space="0" w:color="000000"/>
            </w:tcBorders>
            <w:tcMar>
              <w:bottom w:w="28" w:type="dxa"/>
            </w:tcMar>
            <w:vAlign w:val="center"/>
          </w:tcPr>
          <w:p>
            <w:pPr>
              <w:pStyle w:val="TableContents"/>
              <w:bidi w:val="0"/>
              <w:spacing w:lineRule="auto" w:line="300" w:before="0" w:after="0"/>
              <w:jc w:val="right"/>
              <w:rPr/>
            </w:pPr>
            <w:r>
              <w:rPr/>
              <w:t>36.43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bottom w:val="single" w:sz="12" w:space="0" w:color="000000"/>
            </w:tcBorders>
            <w:tcMar>
              <w:bottom w:w="28" w:type="dxa"/>
            </w:tcMar>
            <w:vAlign w:val="center"/>
          </w:tcPr>
          <w:p>
            <w:pPr>
              <w:pStyle w:val="TableContents"/>
              <w:bidi w:val="0"/>
              <w:spacing w:before="0" w:after="283"/>
              <w:jc w:val="left"/>
              <w:rPr/>
            </w:pPr>
            <w:r>
              <w:rPr/>
              <w:t> </w:t>
            </w:r>
          </w:p>
        </w:tc>
        <w:tc>
          <w:tcPr>
            <w:tcW w:w="995" w:type="dxa"/>
            <w:tcBorders>
              <w:bottom w:val="single" w:sz="12" w:space="0" w:color="000000"/>
            </w:tcBorders>
            <w:tcMar>
              <w:bottom w:w="28" w:type="dxa"/>
            </w:tcMar>
            <w:vAlign w:val="center"/>
          </w:tcPr>
          <w:p>
            <w:pPr>
              <w:pStyle w:val="TableContents"/>
              <w:bidi w:val="0"/>
              <w:spacing w:lineRule="auto" w:line="300" w:before="0" w:after="0"/>
              <w:jc w:val="right"/>
              <w:rPr/>
            </w:pPr>
            <w:r>
              <w:rPr/>
              <w:t>(121,883</w:t>
            </w:r>
          </w:p>
        </w:tc>
        <w:tc>
          <w:tcPr>
            <w:tcW w:w="80"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vAlign w:val="center"/>
          </w:tcPr>
          <w:p>
            <w:pPr>
              <w:pStyle w:val="TableContents"/>
              <w:bidi w:val="0"/>
              <w:spacing w:before="0" w:after="283"/>
              <w:jc w:val="left"/>
              <w:rPr/>
            </w:pPr>
            <w:r>
              <w:rPr/>
              <w:t> </w:t>
            </w:r>
          </w:p>
        </w:tc>
        <w:tc>
          <w:tcPr>
            <w:tcW w:w="435" w:type="dxa"/>
            <w:tcBorders>
              <w:bottom w:val="single" w:sz="12" w:space="0" w:color="000000"/>
            </w:tcBorders>
            <w:tcMar>
              <w:bottom w:w="28" w:type="dxa"/>
            </w:tcMar>
            <w:vAlign w:val="center"/>
          </w:tcPr>
          <w:p>
            <w:pPr>
              <w:pStyle w:val="TableContents"/>
              <w:bidi w:val="0"/>
              <w:spacing w:before="0" w:after="283"/>
              <w:jc w:val="left"/>
              <w:rPr/>
            </w:pPr>
            <w:r>
              <w:rPr/>
              <w:t> </w:t>
            </w:r>
          </w:p>
        </w:tc>
        <w:tc>
          <w:tcPr>
            <w:tcW w:w="1958" w:type="dxa"/>
            <w:tcBorders>
              <w:bottom w:val="single" w:sz="12" w:space="0" w:color="000000"/>
            </w:tcBorders>
            <w:tcMar>
              <w:bottom w:w="28" w:type="dxa"/>
            </w:tcMar>
            <w:vAlign w:val="center"/>
          </w:tcPr>
          <w:p>
            <w:pPr>
              <w:pStyle w:val="TableContents"/>
              <w:bidi w:val="0"/>
              <w:spacing w:lineRule="auto" w:line="300" w:before="0" w:after="0"/>
              <w:jc w:val="right"/>
              <w:rPr/>
            </w:pPr>
            <w:r>
              <w:rPr/>
              <w:t>49.24</w:t>
            </w:r>
          </w:p>
        </w:tc>
        <w:tc>
          <w:tcPr>
            <w:tcW w:w="61" w:type="dxa"/>
            <w:tcBorders/>
            <w:vAlign w:val="center"/>
          </w:tcPr>
          <w:p>
            <w:pPr>
              <w:pStyle w:val="TableContents"/>
              <w:bidi w:val="0"/>
              <w:spacing w:before="0" w:after="283"/>
              <w:jc w:val="left"/>
              <w:rPr/>
            </w:pPr>
            <w:r>
              <w:rPr/>
              <w:t> </w:t>
            </w:r>
          </w:p>
        </w:tc>
      </w:tr>
      <w:tr>
        <w:trPr/>
        <w:tc>
          <w:tcPr>
            <w:tcW w:w="2068" w:type="dxa"/>
            <w:tcBorders/>
            <w:shd w:fill="CCEEFF" w:val="clear"/>
            <w:vAlign w:val="center"/>
          </w:tcPr>
          <w:p>
            <w:pPr>
              <w:pStyle w:val="TableContents"/>
              <w:bidi w:val="0"/>
              <w:spacing w:lineRule="auto" w:line="300" w:before="0" w:after="0"/>
              <w:jc w:val="both"/>
              <w:rPr>
                <w:rFonts w:ascii="Times New Roman;Times;serif" w:hAnsi="Times New Roman;Times;serif"/>
                <w:sz w:val="20"/>
              </w:rPr>
            </w:pPr>
            <w:r>
              <w:rPr>
                <w:rFonts w:ascii="Times New Roman;Times;serif" w:hAnsi="Times New Roman;Times;serif"/>
                <w:sz w:val="20"/>
              </w:rPr>
              <w:t>Unvested as of June 30, 2026</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8" w:space="0" w:color="000000"/>
            </w:tcBorders>
            <w:shd w:fill="CCEEFF" w:val="clear"/>
            <w:tcMar>
              <w:bottom w:w="28" w:type="dxa"/>
            </w:tcMar>
            <w:vAlign w:val="center"/>
          </w:tcPr>
          <w:p>
            <w:pPr>
              <w:pStyle w:val="TableContents"/>
              <w:bidi w:val="0"/>
              <w:spacing w:before="0" w:after="283"/>
              <w:jc w:val="left"/>
              <w:rPr/>
            </w:pPr>
            <w:r>
              <w:rPr/>
              <w:t> </w:t>
            </w:r>
          </w:p>
        </w:tc>
        <w:tc>
          <w:tcPr>
            <w:tcW w:w="995" w:type="dxa"/>
            <w:tcBorders>
              <w:bottom w:val="double" w:sz="8" w:space="0" w:color="000000"/>
            </w:tcBorders>
            <w:shd w:fill="CCEEFF" w:val="clear"/>
            <w:tcMar>
              <w:bottom w:w="28" w:type="dxa"/>
            </w:tcMar>
            <w:vAlign w:val="center"/>
          </w:tcPr>
          <w:p>
            <w:pPr>
              <w:pStyle w:val="TableContents"/>
              <w:bidi w:val="0"/>
              <w:spacing w:lineRule="auto" w:line="300" w:before="0" w:after="0"/>
              <w:jc w:val="right"/>
              <w:rPr/>
            </w:pPr>
            <w:r>
              <w:rPr/>
              <w:t>4,315,033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35" w:type="dxa"/>
            <w:tcBorders>
              <w:bottom w:val="double" w:sz="8" w:space="0" w:color="000000"/>
            </w:tcBorders>
            <w:shd w:fill="CCEEFF" w:val="clear"/>
            <w:tcMar>
              <w:bottom w:w="28" w:type="dxa"/>
            </w:tcM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1958" w:type="dxa"/>
            <w:tcBorders>
              <w:bottom w:val="double" w:sz="8" w:space="0" w:color="000000"/>
            </w:tcBorders>
            <w:shd w:fill="CCEEFF" w:val="clear"/>
            <w:tcMar>
              <w:bottom w:w="28" w:type="dxa"/>
            </w:tcMar>
            <w:vAlign w:val="center"/>
          </w:tcPr>
          <w:p>
            <w:pPr>
              <w:pStyle w:val="TableContents"/>
              <w:bidi w:val="0"/>
              <w:spacing w:lineRule="auto" w:line="300" w:before="0" w:after="0"/>
              <w:jc w:val="right"/>
              <w:rPr/>
            </w:pPr>
            <w:r>
              <w:rPr/>
              <w:t>43.62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8" w:space="0" w:color="000000"/>
            </w:tcBorders>
            <w:shd w:fill="CCEEFF" w:val="clear"/>
            <w:tcMar>
              <w:bottom w:w="28" w:type="dxa"/>
            </w:tcMar>
            <w:vAlign w:val="center"/>
          </w:tcPr>
          <w:p>
            <w:pPr>
              <w:pStyle w:val="TableContents"/>
              <w:bidi w:val="0"/>
              <w:spacing w:before="0" w:after="283"/>
              <w:jc w:val="left"/>
              <w:rPr/>
            </w:pPr>
            <w:r>
              <w:rPr/>
              <w:t> </w:t>
            </w:r>
          </w:p>
        </w:tc>
        <w:tc>
          <w:tcPr>
            <w:tcW w:w="995" w:type="dxa"/>
            <w:tcBorders>
              <w:bottom w:val="double" w:sz="8" w:space="0" w:color="000000"/>
            </w:tcBorders>
            <w:shd w:fill="CCEEFF" w:val="clear"/>
            <w:tcMar>
              <w:bottom w:w="28" w:type="dxa"/>
            </w:tcMar>
            <w:vAlign w:val="center"/>
          </w:tcPr>
          <w:p>
            <w:pPr>
              <w:pStyle w:val="TableContents"/>
              <w:bidi w:val="0"/>
              <w:spacing w:lineRule="auto" w:line="300" w:before="0" w:after="0"/>
              <w:jc w:val="right"/>
              <w:rPr/>
            </w:pPr>
            <w:r>
              <w:rPr/>
              <w:t>1,365,742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35" w:type="dxa"/>
            <w:tcBorders>
              <w:bottom w:val="double" w:sz="8" w:space="0" w:color="000000"/>
            </w:tcBorders>
            <w:shd w:fill="CCEEFF" w:val="clear"/>
            <w:tcMar>
              <w:bottom w:w="28" w:type="dxa"/>
            </w:tcM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1958" w:type="dxa"/>
            <w:tcBorders>
              <w:bottom w:val="double" w:sz="8" w:space="0" w:color="000000"/>
            </w:tcBorders>
            <w:shd w:fill="CCEEFF" w:val="clear"/>
            <w:tcMar>
              <w:bottom w:w="28" w:type="dxa"/>
            </w:tcMar>
            <w:vAlign w:val="center"/>
          </w:tcPr>
          <w:p>
            <w:pPr>
              <w:pStyle w:val="TableContents"/>
              <w:bidi w:val="0"/>
              <w:spacing w:lineRule="auto" w:line="300" w:before="0" w:after="0"/>
              <w:jc w:val="right"/>
              <w:rPr/>
            </w:pPr>
            <w:r>
              <w:rPr/>
              <w:t>16.76</w:t>
            </w:r>
          </w:p>
        </w:tc>
        <w:tc>
          <w:tcPr>
            <w:tcW w:w="61" w:type="dxa"/>
            <w:tcBorders/>
            <w:shd w:fill="CCEEFF" w:val="clear"/>
            <w:vAlign w:val="center"/>
          </w:tcPr>
          <w:p>
            <w:pPr>
              <w:pStyle w:val="TableContents"/>
              <w:bidi w:val="0"/>
              <w:spacing w:before="0" w:after="283"/>
              <w:jc w:val="left"/>
              <w:rPr/>
            </w:pPr>
            <w:r>
              <w:rPr/>
              <w:t> </w:t>
            </w:r>
          </w:p>
        </w:tc>
      </w:tr>
    </w:tbl>
    <w:p>
      <w:pPr>
        <w:pStyle w:val="TextBody"/>
        <w:bidi w:val="0"/>
        <w:spacing w:lineRule="auto" w:line="300" w:before="0" w:after="0"/>
        <w:ind w:left="720" w:right="0" w:hanging="0"/>
        <w:jc w:val="left"/>
        <w:rPr/>
      </w:pPr>
      <w:r>
        <w:rPr/>
        <w:t> </w:t>
      </w:r>
    </w:p>
    <w:p>
      <w:pPr>
        <w:pStyle w:val="TextBody"/>
        <w:bidi w:val="0"/>
        <w:spacing w:lineRule="auto" w:line="300" w:before="0" w:after="0"/>
        <w:jc w:val="both"/>
        <w:rPr>
          <w:rFonts w:ascii="Times New Roman;Times;serif" w:hAnsi="Times New Roman;Times;serif"/>
          <w:sz w:val="20"/>
        </w:rPr>
      </w:pPr>
      <w:r>
        <w:rPr>
          <w:rFonts w:ascii="Times New Roman;Times;serif" w:hAnsi="Times New Roman;Times;serif"/>
          <w:sz w:val="20"/>
        </w:rPr>
        <w:t>c.            Employee Stock Purchase Plan (“ESPP”):</w:t>
      </w:r>
    </w:p>
    <w:p>
      <w:pPr>
        <w:pStyle w:val="TextBody"/>
        <w:bidi w:val="0"/>
        <w:spacing w:lineRule="auto" w:line="300" w:before="0" w:after="0"/>
        <w:jc w:val="left"/>
        <w:rPr/>
      </w:pPr>
      <w:r>
        <w:rPr/>
        <w:t> </w:t>
      </w:r>
    </w:p>
    <w:p>
      <w:pPr>
        <w:pStyle w:val="TextBody"/>
        <w:bidi w:val="0"/>
        <w:spacing w:lineRule="auto" w:line="300" w:before="0" w:after="0"/>
        <w:ind w:left="720" w:right="0" w:hanging="0"/>
        <w:jc w:val="both"/>
        <w:rPr>
          <w:rFonts w:ascii="Times New Roman;Times;serif" w:hAnsi="Times New Roman;Times;serif"/>
          <w:sz w:val="20"/>
        </w:rPr>
      </w:pPr>
      <w:r>
        <w:rPr>
          <w:rFonts w:ascii="Times New Roman;Times;serif" w:hAnsi="Times New Roman;Times;serif"/>
          <w:sz w:val="20"/>
        </w:rPr>
        <w:t>The Company adopted an ESPP effective upon the consummation of the IPO. As of June 30, 2026, a total of 5,125,666 shares were reserved for issuance under this plan.</w:t>
      </w:r>
    </w:p>
    <w:p>
      <w:pPr>
        <w:pStyle w:val="TextBody"/>
        <w:bidi w:val="0"/>
        <w:spacing w:lineRule="auto" w:line="300" w:before="0" w:after="0"/>
        <w:jc w:val="left"/>
        <w:rPr/>
      </w:pPr>
      <w:r>
        <w:rPr/>
        <w:t> </w:t>
      </w:r>
    </w:p>
    <w:p>
      <w:pPr>
        <w:pStyle w:val="TextBody"/>
        <w:bidi w:val="0"/>
        <w:spacing w:lineRule="auto" w:line="300" w:before="0" w:after="0"/>
        <w:ind w:left="720" w:right="0" w:hanging="0"/>
        <w:jc w:val="both"/>
        <w:rPr>
          <w:rFonts w:ascii="Times New Roman;Times;serif" w:hAnsi="Times New Roman;Times;serif"/>
          <w:sz w:val="20"/>
        </w:rPr>
      </w:pPr>
      <w:r>
        <w:rPr>
          <w:rFonts w:ascii="Times New Roman;Times;serif" w:hAnsi="Times New Roman;Times;serif"/>
          <w:sz w:val="20"/>
        </w:rPr>
        <w:t>The ESPP is implemented through an offering every six months. According to the ESPP, eligible employees may use the lesser of either up to 15% of their salaries or $15,000 per participant, to purchase common stock for every six month plan. The price of an ordinary share purchased under the ESPP is equal to 85% of the lower of the fair market value of the ordinary share on the subscription date of each offering period or on the purchase date.</w:t>
      </w:r>
    </w:p>
    <w:p>
      <w:pPr>
        <w:pStyle w:val="TextBody"/>
        <w:bidi w:val="0"/>
        <w:spacing w:lineRule="auto" w:line="300" w:before="0" w:after="0"/>
        <w:jc w:val="left"/>
        <w:rPr/>
      </w:pPr>
      <w:r>
        <w:rPr/>
        <w:t> </w:t>
      </w:r>
    </w:p>
    <w:p>
      <w:pPr>
        <w:pStyle w:val="TextBody"/>
        <w:bidi w:val="0"/>
        <w:spacing w:lineRule="auto" w:line="300" w:before="0" w:after="0"/>
        <w:ind w:left="720" w:right="0" w:hanging="0"/>
        <w:jc w:val="both"/>
        <w:rPr>
          <w:rFonts w:ascii="Times New Roman;Times;serif" w:hAnsi="Times New Roman;Times;serif"/>
          <w:sz w:val="20"/>
        </w:rPr>
      </w:pPr>
      <w:r>
        <w:rPr>
          <w:rFonts w:ascii="Times New Roman;Times;serif" w:hAnsi="Times New Roman;Times;serif"/>
          <w:sz w:val="20"/>
        </w:rPr>
        <w:t>As of June 30, 2026, 3,088,005 shares of common stock have been purchased under the ESPP.</w:t>
      </w:r>
    </w:p>
    <w:p>
      <w:pPr>
        <w:pStyle w:val="TextBody"/>
        <w:bidi w:val="0"/>
        <w:spacing w:lineRule="auto" w:line="300" w:before="0" w:after="0"/>
        <w:jc w:val="left"/>
        <w:rPr/>
      </w:pPr>
      <w:r>
        <w:rPr/>
        <w:t> </w:t>
      </w:r>
    </w:p>
    <w:p>
      <w:pPr>
        <w:pStyle w:val="TextBody"/>
        <w:bidi w:val="0"/>
        <w:spacing w:lineRule="auto" w:line="300" w:before="0" w:after="0"/>
        <w:ind w:left="720" w:right="0" w:hanging="0"/>
        <w:jc w:val="both"/>
        <w:rPr>
          <w:rFonts w:ascii="Times New Roman;Times;serif" w:hAnsi="Times New Roman;Times;serif"/>
          <w:sz w:val="20"/>
        </w:rPr>
      </w:pPr>
      <w:r>
        <w:rPr>
          <w:rFonts w:ascii="Times New Roman;Times;serif" w:hAnsi="Times New Roman;Times;serif"/>
          <w:sz w:val="20"/>
        </w:rPr>
        <w:t>As of June 30, 2026, 2,037,661 shares of common stock were available for future issuance under the ESPP.</w:t>
      </w:r>
    </w:p>
    <w:p>
      <w:pPr>
        <w:pStyle w:val="TextBody"/>
        <w:bidi w:val="0"/>
        <w:spacing w:lineRule="auto" w:line="300" w:before="0" w:after="0"/>
        <w:jc w:val="left"/>
        <w:rPr/>
      </w:pPr>
      <w:r>
        <w:rPr/>
        <w:t> </w:t>
      </w:r>
    </w:p>
    <w:p>
      <w:pPr>
        <w:pStyle w:val="TextBody"/>
        <w:bidi w:val="0"/>
        <w:spacing w:lineRule="auto" w:line="300" w:before="0" w:after="0"/>
        <w:ind w:left="720" w:right="0" w:hanging="0"/>
        <w:jc w:val="both"/>
        <w:rPr>
          <w:rFonts w:ascii="Times New Roman;Times;serif" w:hAnsi="Times New Roman;Times;serif"/>
          <w:sz w:val="20"/>
        </w:rPr>
      </w:pPr>
      <w:r>
        <w:rPr>
          <w:rFonts w:ascii="Times New Roman;Times;serif" w:hAnsi="Times New Roman;Times;serif"/>
          <w:sz w:val="20"/>
        </w:rPr>
        <w:t>In accordance with ASC 718, “Compensation – Stock Compensation,” the ESPP is compensatory and, as such, results in recognition of compensation cost.</w:t>
      </w:r>
    </w:p>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sz w:val="20"/>
        </w:rPr>
      </w:pPr>
      <w:r>
        <w:rPr>
          <w:rFonts w:ascii="Times New Roman;Times;serif" w:hAnsi="Times New Roman;Times;serif"/>
          <w:sz w:val="20"/>
        </w:rPr>
        <w:t>d.           Stock-based compensation expenses:</w:t>
      </w:r>
    </w:p>
    <w:p>
      <w:pPr>
        <w:pStyle w:val="TextBody"/>
        <w:bidi w:val="0"/>
        <w:spacing w:lineRule="auto" w:line="300" w:before="0" w:after="0"/>
        <w:jc w:val="left"/>
        <w:rPr/>
      </w:pPr>
      <w:r>
        <w:rPr/>
        <w:t> </w:t>
      </w:r>
    </w:p>
    <w:p>
      <w:pPr>
        <w:pStyle w:val="TextBody"/>
        <w:bidi w:val="0"/>
        <w:spacing w:lineRule="auto" w:line="300" w:before="0" w:after="0"/>
        <w:ind w:left="720" w:right="0" w:hanging="0"/>
        <w:jc w:val="both"/>
        <w:rPr>
          <w:rFonts w:ascii="Times New Roman;Times;serif" w:hAnsi="Times New Roman;Times;serif"/>
          <w:sz w:val="20"/>
        </w:rPr>
      </w:pPr>
      <w:r>
        <w:rPr>
          <w:rFonts w:ascii="Times New Roman;Times;serif" w:hAnsi="Times New Roman;Times;serif"/>
          <w:sz w:val="20"/>
        </w:rPr>
        <w:t>The Company recognized stock-based compensation expenses related to all stock-based awards in the consolidated statement of loss for the three and six months ended June 30, 2026 and 2025, as follows:</w:t>
      </w:r>
    </w:p>
    <w:tbl>
      <w:tblPr>
        <w:tblW w:w="7348" w:type="dxa"/>
        <w:jc w:val="left"/>
        <w:tblInd w:w="720" w:type="dxa"/>
        <w:tblLayout w:type="fixed"/>
        <w:tblCellMar>
          <w:top w:w="0" w:type="dxa"/>
          <w:left w:w="0" w:type="dxa"/>
          <w:bottom w:w="0" w:type="dxa"/>
          <w:right w:w="0" w:type="dxa"/>
        </w:tblCellMar>
      </w:tblPr>
      <w:tblGrid>
        <w:gridCol w:w="3590"/>
        <w:gridCol w:w="60"/>
        <w:gridCol w:w="144"/>
        <w:gridCol w:w="681"/>
        <w:gridCol w:w="69"/>
        <w:gridCol w:w="69"/>
        <w:gridCol w:w="144"/>
        <w:gridCol w:w="681"/>
        <w:gridCol w:w="60"/>
        <w:gridCol w:w="60"/>
        <w:gridCol w:w="125"/>
        <w:gridCol w:w="680"/>
        <w:gridCol w:w="60"/>
        <w:gridCol w:w="60"/>
        <w:gridCol w:w="125"/>
        <w:gridCol w:w="680"/>
        <w:gridCol w:w="60"/>
      </w:tblGrid>
      <w:tr>
        <w:trPr/>
        <w:tc>
          <w:tcPr>
            <w:tcW w:w="35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88" w:type="dxa"/>
            <w:gridSpan w:val="6"/>
            <w:tcBorders>
              <w:bottom w:val="single" w:sz="12" w:space="0" w:color="000000"/>
            </w:tcBorders>
            <w:tcMar>
              <w:bottom w:w="28" w:type="dxa"/>
            </w:tcMar>
            <w:vAlign w:val="center"/>
          </w:tcPr>
          <w:p>
            <w:pPr>
              <w:pStyle w:val="TableContents"/>
              <w:bidi w:val="0"/>
              <w:spacing w:lineRule="auto" w:line="300" w:before="0" w:after="0"/>
              <w:jc w:val="center"/>
              <w:rPr/>
            </w:pPr>
            <w:r>
              <w:rPr>
                <w:rStyle w:val="StrongEmphasis"/>
                <w:rFonts w:ascii="Times New Roman;Times;serif" w:hAnsi="Times New Roman;Times;serif"/>
                <w:b/>
                <w:sz w:val="20"/>
              </w:rPr>
              <w:t>Three Months Ended</w:t>
            </w:r>
          </w:p>
          <w:p>
            <w:pPr>
              <w:pStyle w:val="TableContents"/>
              <w:bidi w:val="0"/>
              <w:spacing w:lineRule="auto" w:line="300" w:before="0" w:after="0"/>
              <w:jc w:val="center"/>
              <w:rPr/>
            </w:pPr>
            <w:r>
              <w:rPr>
                <w:rStyle w:val="StrongEmphasis"/>
                <w:rFonts w:ascii="Times New Roman;Times;serif" w:hAnsi="Times New Roman;Times;serif"/>
                <w:b/>
                <w:sz w:val="20"/>
              </w:rPr>
              <w:t>June 30,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30" w:type="dxa"/>
            <w:gridSpan w:val="6"/>
            <w:tcBorders>
              <w:bottom w:val="single" w:sz="12" w:space="0" w:color="000000"/>
            </w:tcBorders>
            <w:tcMar>
              <w:bottom w:w="28" w:type="dxa"/>
            </w:tcMar>
            <w:vAlign w:val="center"/>
          </w:tcPr>
          <w:p>
            <w:pPr>
              <w:pStyle w:val="TableContents"/>
              <w:bidi w:val="0"/>
              <w:spacing w:lineRule="auto" w:line="300" w:before="0" w:after="0"/>
              <w:jc w:val="center"/>
              <w:rPr/>
            </w:pPr>
            <w:r>
              <w:rPr>
                <w:rStyle w:val="StrongEmphasis"/>
                <w:rFonts w:ascii="Times New Roman;Times;serif" w:hAnsi="Times New Roman;Times;serif"/>
                <w:b/>
                <w:sz w:val="20"/>
              </w:rPr>
              <w:t>Six Months Ended</w:t>
            </w:r>
          </w:p>
          <w:p>
            <w:pPr>
              <w:pStyle w:val="TableContents"/>
              <w:bidi w:val="0"/>
              <w:spacing w:lineRule="auto" w:line="300" w:before="0" w:after="0"/>
              <w:jc w:val="center"/>
              <w:rPr/>
            </w:pPr>
            <w:r>
              <w:rPr>
                <w:rStyle w:val="StrongEmphasis"/>
                <w:rFonts w:ascii="Times New Roman;Times;serif" w:hAnsi="Times New Roman;Times;serif"/>
                <w:b/>
                <w:sz w:val="20"/>
              </w:rPr>
              <w:t>June 30,</w:t>
            </w:r>
          </w:p>
        </w:tc>
        <w:tc>
          <w:tcPr>
            <w:tcW w:w="60" w:type="dxa"/>
            <w:tcBorders/>
            <w:vAlign w:val="center"/>
          </w:tcPr>
          <w:p>
            <w:pPr>
              <w:pStyle w:val="TableContents"/>
              <w:bidi w:val="0"/>
              <w:spacing w:before="0" w:after="283"/>
              <w:jc w:val="left"/>
              <w:rPr/>
            </w:pPr>
            <w:r>
              <w:rPr/>
              <w:t> </w:t>
            </w:r>
          </w:p>
        </w:tc>
      </w:tr>
      <w:tr>
        <w:trPr/>
        <w:tc>
          <w:tcPr>
            <w:tcW w:w="35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5"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2026</w:t>
            </w:r>
          </w:p>
        </w:tc>
        <w:tc>
          <w:tcPr>
            <w:tcW w:w="69" w:type="dxa"/>
            <w:tcBorders/>
            <w:vAlign w:val="center"/>
          </w:tcPr>
          <w:p>
            <w:pPr>
              <w:pStyle w:val="TableContents"/>
              <w:bidi w:val="0"/>
              <w:spacing w:before="0" w:after="283"/>
              <w:jc w:val="left"/>
              <w:rPr/>
            </w:pPr>
            <w:r>
              <w:rPr/>
              <w:t> </w:t>
            </w:r>
          </w:p>
        </w:tc>
        <w:tc>
          <w:tcPr>
            <w:tcW w:w="69" w:type="dxa"/>
            <w:tcBorders/>
            <w:vAlign w:val="center"/>
          </w:tcPr>
          <w:p>
            <w:pPr>
              <w:pStyle w:val="TableContents"/>
              <w:bidi w:val="0"/>
              <w:spacing w:before="0" w:after="283"/>
              <w:jc w:val="left"/>
              <w:rPr/>
            </w:pPr>
            <w:r>
              <w:rPr/>
              <w:t> </w:t>
            </w:r>
          </w:p>
        </w:tc>
        <w:tc>
          <w:tcPr>
            <w:tcW w:w="825"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5"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5"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2025</w:t>
            </w:r>
          </w:p>
        </w:tc>
        <w:tc>
          <w:tcPr>
            <w:tcW w:w="60" w:type="dxa"/>
            <w:tcBorders/>
            <w:vAlign w:val="center"/>
          </w:tcPr>
          <w:p>
            <w:pPr>
              <w:pStyle w:val="TableContents"/>
              <w:bidi w:val="0"/>
              <w:spacing w:before="0" w:after="283"/>
              <w:jc w:val="left"/>
              <w:rPr/>
            </w:pPr>
            <w:r>
              <w:rPr/>
              <w:t> </w:t>
            </w:r>
          </w:p>
        </w:tc>
      </w:tr>
      <w:tr>
        <w:trPr/>
        <w:tc>
          <w:tcPr>
            <w:tcW w:w="3590"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Stock-based compensation expenses:</w:t>
            </w:r>
          </w:p>
        </w:tc>
        <w:tc>
          <w:tcPr>
            <w:tcW w:w="60" w:type="dxa"/>
            <w:tcBorders/>
            <w:shd w:fill="CCEEFF" w:val="clear"/>
            <w:vAlign w:val="center"/>
          </w:tcPr>
          <w:p>
            <w:pPr>
              <w:pStyle w:val="TableContents"/>
              <w:bidi w:val="0"/>
              <w:spacing w:before="0" w:after="283"/>
              <w:jc w:val="left"/>
              <w:rPr/>
            </w:pPr>
            <w:r>
              <w:rPr/>
              <w:t> </w:t>
            </w:r>
          </w:p>
        </w:tc>
        <w:tc>
          <w:tcPr>
            <w:tcW w:w="825" w:type="dxa"/>
            <w:gridSpan w:val="2"/>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825" w:type="dxa"/>
            <w:gridSpan w:val="2"/>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5" w:type="dxa"/>
            <w:gridSpan w:val="2"/>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5" w:type="dxa"/>
            <w:gridSpan w:val="2"/>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3590" w:type="dxa"/>
            <w:tcBorders/>
            <w:vAlign w:val="center"/>
          </w:tcPr>
          <w:p>
            <w:pPr>
              <w:pStyle w:val="TableContents"/>
              <w:bidi w:val="0"/>
              <w:spacing w:lineRule="auto" w:line="300" w:before="0" w:after="0"/>
              <w:ind w:left="240" w:right="0" w:hanging="0"/>
              <w:jc w:val="left"/>
              <w:rPr>
                <w:rFonts w:ascii="Times New Roman;Times;serif" w:hAnsi="Times New Roman;Times;serif"/>
                <w:sz w:val="20"/>
              </w:rPr>
            </w:pPr>
            <w:r>
              <w:rPr>
                <w:rFonts w:ascii="Times New Roman;Times;serif" w:hAnsi="Times New Roman;Times;serif"/>
                <w:sz w:val="20"/>
              </w:rPr>
              <w:t>Cost of revenues</w:t>
            </w:r>
          </w:p>
        </w:tc>
        <w:tc>
          <w:tcPr>
            <w:tcW w:w="60" w:type="dxa"/>
            <w:tcBorders/>
            <w:vAlign w:val="center"/>
          </w:tcPr>
          <w:p>
            <w:pPr>
              <w:pStyle w:val="TableContents"/>
              <w:bidi w:val="0"/>
              <w:spacing w:before="0" w:after="283"/>
              <w:jc w:val="left"/>
              <w:rPr/>
            </w:pPr>
            <w:r>
              <w:rPr/>
              <w:t> </w:t>
            </w:r>
          </w:p>
        </w:tc>
        <w:tc>
          <w:tcPr>
            <w:tcW w:w="144"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81"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3,693</w:t>
            </w:r>
          </w:p>
        </w:tc>
        <w:tc>
          <w:tcPr>
            <w:tcW w:w="69" w:type="dxa"/>
            <w:tcBorders/>
            <w:vAlign w:val="center"/>
          </w:tcPr>
          <w:p>
            <w:pPr>
              <w:pStyle w:val="TableContents"/>
              <w:bidi w:val="0"/>
              <w:spacing w:before="0" w:after="283"/>
              <w:jc w:val="left"/>
              <w:rPr/>
            </w:pPr>
            <w:r>
              <w:rPr/>
              <w:t> </w:t>
            </w:r>
          </w:p>
        </w:tc>
        <w:tc>
          <w:tcPr>
            <w:tcW w:w="69" w:type="dxa"/>
            <w:tcBorders/>
            <w:vAlign w:val="center"/>
          </w:tcPr>
          <w:p>
            <w:pPr>
              <w:pStyle w:val="TableContents"/>
              <w:bidi w:val="0"/>
              <w:spacing w:before="0" w:after="283"/>
              <w:jc w:val="left"/>
              <w:rPr/>
            </w:pPr>
            <w:r>
              <w:rPr/>
              <w:t> </w:t>
            </w:r>
          </w:p>
        </w:tc>
        <w:tc>
          <w:tcPr>
            <w:tcW w:w="144"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81"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4,004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80" w:type="dxa"/>
            <w:tcBorders/>
            <w:vAlign w:val="center"/>
          </w:tcPr>
          <w:p>
            <w:pPr>
              <w:pStyle w:val="TableContents"/>
              <w:bidi w:val="0"/>
              <w:spacing w:lineRule="auto" w:line="300" w:before="0" w:after="0"/>
              <w:jc w:val="right"/>
              <w:rPr/>
            </w:pPr>
            <w:r>
              <w:rPr/>
              <w:t>7,300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80" w:type="dxa"/>
            <w:tcBorders/>
            <w:vAlign w:val="center"/>
          </w:tcPr>
          <w:p>
            <w:pPr>
              <w:pStyle w:val="TableContents"/>
              <w:bidi w:val="0"/>
              <w:spacing w:lineRule="auto" w:line="300" w:before="0" w:after="0"/>
              <w:jc w:val="right"/>
              <w:rPr/>
            </w:pPr>
            <w:r>
              <w:rPr/>
              <w:t>8,376</w:t>
            </w:r>
          </w:p>
        </w:tc>
        <w:tc>
          <w:tcPr>
            <w:tcW w:w="60" w:type="dxa"/>
            <w:tcBorders/>
            <w:vAlign w:val="center"/>
          </w:tcPr>
          <w:p>
            <w:pPr>
              <w:pStyle w:val="TableContents"/>
              <w:bidi w:val="0"/>
              <w:spacing w:before="0" w:after="283"/>
              <w:jc w:val="left"/>
              <w:rPr/>
            </w:pPr>
            <w:r>
              <w:rPr/>
              <w:t> </w:t>
            </w:r>
          </w:p>
        </w:tc>
      </w:tr>
      <w:tr>
        <w:trPr/>
        <w:tc>
          <w:tcPr>
            <w:tcW w:w="3590" w:type="dxa"/>
            <w:tcBorders/>
            <w:shd w:fill="CCEEFF" w:val="clear"/>
            <w:vAlign w:val="center"/>
          </w:tcPr>
          <w:p>
            <w:pPr>
              <w:pStyle w:val="TableContents"/>
              <w:bidi w:val="0"/>
              <w:spacing w:lineRule="auto" w:line="300" w:before="0" w:after="0"/>
              <w:ind w:left="240" w:right="0" w:hanging="0"/>
              <w:jc w:val="left"/>
              <w:rPr>
                <w:rFonts w:ascii="Times New Roman;Times;serif" w:hAnsi="Times New Roman;Times;serif"/>
                <w:sz w:val="20"/>
              </w:rPr>
            </w:pPr>
            <w:r>
              <w:rPr>
                <w:rFonts w:ascii="Times New Roman;Times;serif" w:hAnsi="Times New Roman;Times;serif"/>
                <w:sz w:val="20"/>
              </w:rPr>
              <w:t>Research and development, net</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681"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8,403</w:t>
            </w:r>
          </w:p>
        </w:tc>
        <w:tc>
          <w:tcPr>
            <w:tcW w:w="69"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681"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9,856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lineRule="auto" w:line="300" w:before="0" w:after="0"/>
              <w:jc w:val="right"/>
              <w:rPr/>
            </w:pPr>
            <w:r>
              <w:rPr/>
              <w:t>16,464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lineRule="auto" w:line="300" w:before="0" w:after="0"/>
              <w:jc w:val="right"/>
              <w:rPr/>
            </w:pPr>
            <w:r>
              <w:rPr/>
              <w:t>25,767</w:t>
            </w:r>
          </w:p>
        </w:tc>
        <w:tc>
          <w:tcPr>
            <w:tcW w:w="60" w:type="dxa"/>
            <w:tcBorders/>
            <w:shd w:fill="CCEEFF" w:val="clear"/>
            <w:vAlign w:val="center"/>
          </w:tcPr>
          <w:p>
            <w:pPr>
              <w:pStyle w:val="TableContents"/>
              <w:bidi w:val="0"/>
              <w:spacing w:before="0" w:after="283"/>
              <w:jc w:val="left"/>
              <w:rPr/>
            </w:pPr>
            <w:r>
              <w:rPr/>
              <w:t> </w:t>
            </w:r>
          </w:p>
        </w:tc>
      </w:tr>
      <w:tr>
        <w:trPr/>
        <w:tc>
          <w:tcPr>
            <w:tcW w:w="3590" w:type="dxa"/>
            <w:tcBorders/>
            <w:vAlign w:val="center"/>
          </w:tcPr>
          <w:p>
            <w:pPr>
              <w:pStyle w:val="TableContents"/>
              <w:bidi w:val="0"/>
              <w:spacing w:lineRule="auto" w:line="300" w:before="0" w:after="0"/>
              <w:ind w:left="240" w:right="0" w:hanging="0"/>
              <w:jc w:val="left"/>
              <w:rPr>
                <w:rFonts w:ascii="Times New Roman;Times;serif" w:hAnsi="Times New Roman;Times;serif"/>
                <w:sz w:val="20"/>
              </w:rPr>
            </w:pPr>
            <w:r>
              <w:rPr>
                <w:rFonts w:ascii="Times New Roman;Times;serif" w:hAnsi="Times New Roman;Times;serif"/>
                <w:sz w:val="20"/>
              </w:rPr>
              <w:t>Sales and marketing</w:t>
            </w:r>
          </w:p>
        </w:tc>
        <w:tc>
          <w:tcPr>
            <w:tcW w:w="60" w:type="dxa"/>
            <w:tcBorders/>
            <w:vAlign w:val="center"/>
          </w:tcPr>
          <w:p>
            <w:pPr>
              <w:pStyle w:val="TableContents"/>
              <w:bidi w:val="0"/>
              <w:spacing w:before="0" w:after="283"/>
              <w:jc w:val="left"/>
              <w:rPr/>
            </w:pPr>
            <w:r>
              <w:rPr/>
              <w:t> </w:t>
            </w:r>
          </w:p>
        </w:tc>
        <w:tc>
          <w:tcPr>
            <w:tcW w:w="144" w:type="dxa"/>
            <w:tcBorders/>
            <w:vAlign w:val="center"/>
          </w:tcPr>
          <w:p>
            <w:pPr>
              <w:pStyle w:val="TableContents"/>
              <w:bidi w:val="0"/>
              <w:spacing w:before="0" w:after="283"/>
              <w:jc w:val="left"/>
              <w:rPr/>
            </w:pPr>
            <w:r>
              <w:rPr/>
              <w:t> </w:t>
            </w:r>
          </w:p>
        </w:tc>
        <w:tc>
          <w:tcPr>
            <w:tcW w:w="681"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3,996</w:t>
            </w:r>
          </w:p>
        </w:tc>
        <w:tc>
          <w:tcPr>
            <w:tcW w:w="69" w:type="dxa"/>
            <w:tcBorders/>
            <w:vAlign w:val="center"/>
          </w:tcPr>
          <w:p>
            <w:pPr>
              <w:pStyle w:val="TableContents"/>
              <w:bidi w:val="0"/>
              <w:spacing w:before="0" w:after="283"/>
              <w:jc w:val="left"/>
              <w:rPr/>
            </w:pPr>
            <w:r>
              <w:rPr/>
              <w:t> </w:t>
            </w:r>
          </w:p>
        </w:tc>
        <w:tc>
          <w:tcPr>
            <w:tcW w:w="69" w:type="dxa"/>
            <w:tcBorders/>
            <w:vAlign w:val="center"/>
          </w:tcPr>
          <w:p>
            <w:pPr>
              <w:pStyle w:val="TableContents"/>
              <w:bidi w:val="0"/>
              <w:spacing w:before="0" w:after="283"/>
              <w:jc w:val="left"/>
              <w:rPr/>
            </w:pPr>
            <w:r>
              <w:rPr/>
              <w:t> </w:t>
            </w:r>
          </w:p>
        </w:tc>
        <w:tc>
          <w:tcPr>
            <w:tcW w:w="144" w:type="dxa"/>
            <w:tcBorders/>
            <w:vAlign w:val="center"/>
          </w:tcPr>
          <w:p>
            <w:pPr>
              <w:pStyle w:val="TableContents"/>
              <w:bidi w:val="0"/>
              <w:spacing w:before="0" w:after="283"/>
              <w:jc w:val="left"/>
              <w:rPr/>
            </w:pPr>
            <w:r>
              <w:rPr/>
              <w:t> </w:t>
            </w:r>
          </w:p>
        </w:tc>
        <w:tc>
          <w:tcPr>
            <w:tcW w:w="681"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4,342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lineRule="auto" w:line="300" w:before="0" w:after="0"/>
              <w:jc w:val="right"/>
              <w:rPr/>
            </w:pPr>
            <w:r>
              <w:rPr/>
              <w:t>8,147</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lineRule="auto" w:line="300" w:before="0" w:after="0"/>
              <w:jc w:val="right"/>
              <w:rPr/>
            </w:pPr>
            <w:r>
              <w:rPr/>
              <w:t>9,084</w:t>
            </w:r>
          </w:p>
        </w:tc>
        <w:tc>
          <w:tcPr>
            <w:tcW w:w="60" w:type="dxa"/>
            <w:tcBorders/>
            <w:vAlign w:val="center"/>
          </w:tcPr>
          <w:p>
            <w:pPr>
              <w:pStyle w:val="TableContents"/>
              <w:bidi w:val="0"/>
              <w:spacing w:before="0" w:after="283"/>
              <w:jc w:val="left"/>
              <w:rPr/>
            </w:pPr>
            <w:r>
              <w:rPr/>
              <w:t> </w:t>
            </w:r>
          </w:p>
        </w:tc>
      </w:tr>
      <w:tr>
        <w:trPr/>
        <w:tc>
          <w:tcPr>
            <w:tcW w:w="3590" w:type="dxa"/>
            <w:tcBorders/>
            <w:shd w:fill="CCEEFF" w:val="clear"/>
            <w:vAlign w:val="center"/>
          </w:tcPr>
          <w:p>
            <w:pPr>
              <w:pStyle w:val="TableContents"/>
              <w:bidi w:val="0"/>
              <w:spacing w:lineRule="auto" w:line="300" w:before="0" w:after="0"/>
              <w:ind w:left="240" w:right="0" w:hanging="0"/>
              <w:jc w:val="left"/>
              <w:rPr>
                <w:rFonts w:ascii="Times New Roman;Times;serif" w:hAnsi="Times New Roman;Times;serif"/>
                <w:sz w:val="20"/>
              </w:rPr>
            </w:pPr>
            <w:r>
              <w:rPr>
                <w:rFonts w:ascii="Times New Roman;Times;serif" w:hAnsi="Times New Roman;Times;serif"/>
                <w:sz w:val="20"/>
              </w:rPr>
              <w:t>General and administrative</w:t>
            </w:r>
          </w:p>
        </w:tc>
        <w:tc>
          <w:tcPr>
            <w:tcW w:w="60" w:type="dxa"/>
            <w:tcBorders/>
            <w:shd w:fill="CCEEFF" w:val="clear"/>
            <w:vAlign w:val="center"/>
          </w:tcPr>
          <w:p>
            <w:pPr>
              <w:pStyle w:val="TableContents"/>
              <w:bidi w:val="0"/>
              <w:spacing w:before="0" w:after="283"/>
              <w:jc w:val="left"/>
              <w:rPr/>
            </w:pPr>
            <w:r>
              <w:rPr/>
              <w:t> </w:t>
            </w:r>
          </w:p>
        </w:tc>
        <w:tc>
          <w:tcPr>
            <w:tcW w:w="14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81" w:type="dxa"/>
            <w:tcBorders>
              <w:bottom w:val="single" w:sz="12" w:space="0" w:color="000000"/>
            </w:tcBorders>
            <w:shd w:fill="CCEEFF" w:val="clear"/>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3,605</w:t>
            </w:r>
          </w:p>
        </w:tc>
        <w:tc>
          <w:tcPr>
            <w:tcW w:w="69"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4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81" w:type="dxa"/>
            <w:tcBorders>
              <w:bottom w:val="single" w:sz="12" w:space="0" w:color="000000"/>
            </w:tcBorders>
            <w:shd w:fill="CCEEFF" w:val="clear"/>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1,059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80" w:type="dxa"/>
            <w:tcBorders>
              <w:bottom w:val="single" w:sz="12" w:space="0" w:color="000000"/>
            </w:tcBorders>
            <w:shd w:fill="CCEEFF" w:val="clear"/>
            <w:tcMar>
              <w:bottom w:w="28" w:type="dxa"/>
            </w:tcMar>
            <w:vAlign w:val="center"/>
          </w:tcPr>
          <w:p>
            <w:pPr>
              <w:pStyle w:val="TableContents"/>
              <w:bidi w:val="0"/>
              <w:spacing w:lineRule="auto" w:line="300" w:before="0" w:after="0"/>
              <w:jc w:val="right"/>
              <w:rPr/>
            </w:pPr>
            <w:r>
              <w:rPr/>
              <w:t>7,638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80" w:type="dxa"/>
            <w:tcBorders>
              <w:bottom w:val="single" w:sz="12" w:space="0" w:color="000000"/>
            </w:tcBorders>
            <w:shd w:fill="CCEEFF" w:val="clear"/>
            <w:tcMar>
              <w:bottom w:w="28" w:type="dxa"/>
            </w:tcMar>
            <w:vAlign w:val="center"/>
          </w:tcPr>
          <w:p>
            <w:pPr>
              <w:pStyle w:val="TableContents"/>
              <w:bidi w:val="0"/>
              <w:spacing w:lineRule="auto" w:line="300" w:before="0" w:after="0"/>
              <w:jc w:val="right"/>
              <w:rPr/>
            </w:pPr>
            <w:r>
              <w:rPr/>
              <w:t>7,460</w:t>
            </w:r>
          </w:p>
        </w:tc>
        <w:tc>
          <w:tcPr>
            <w:tcW w:w="60" w:type="dxa"/>
            <w:tcBorders/>
            <w:shd w:fill="CCEEFF" w:val="clear"/>
            <w:vAlign w:val="center"/>
          </w:tcPr>
          <w:p>
            <w:pPr>
              <w:pStyle w:val="TableContents"/>
              <w:bidi w:val="0"/>
              <w:spacing w:before="0" w:after="283"/>
              <w:jc w:val="left"/>
              <w:rPr/>
            </w:pPr>
            <w:r>
              <w:rPr/>
              <w:t> </w:t>
            </w:r>
          </w:p>
        </w:tc>
      </w:tr>
      <w:tr>
        <w:trPr/>
        <w:tc>
          <w:tcPr>
            <w:tcW w:w="3590"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Total stock-based compensation expenses</w:t>
            </w:r>
          </w:p>
        </w:tc>
        <w:tc>
          <w:tcPr>
            <w:tcW w:w="60" w:type="dxa"/>
            <w:tcBorders/>
            <w:vAlign w:val="center"/>
          </w:tcPr>
          <w:p>
            <w:pPr>
              <w:pStyle w:val="TableContents"/>
              <w:bidi w:val="0"/>
              <w:spacing w:before="0" w:after="283"/>
              <w:jc w:val="left"/>
              <w:rPr/>
            </w:pPr>
            <w:r>
              <w:rPr/>
              <w:t> </w:t>
            </w:r>
          </w:p>
        </w:tc>
        <w:tc>
          <w:tcPr>
            <w:tcW w:w="144" w:type="dxa"/>
            <w:tcBorders>
              <w:bottom w:val="double" w:sz="8" w:space="0" w:color="000000"/>
            </w:tcBorders>
            <w:tcMar>
              <w:bottom w:w="28" w:type="dxa"/>
            </w:tcM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81" w:type="dxa"/>
            <w:tcBorders>
              <w:bottom w:val="double" w:sz="8" w:space="0" w:color="000000"/>
            </w:tcBorders>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19,697</w:t>
            </w:r>
          </w:p>
        </w:tc>
        <w:tc>
          <w:tcPr>
            <w:tcW w:w="69" w:type="dxa"/>
            <w:tcBorders/>
            <w:vAlign w:val="center"/>
          </w:tcPr>
          <w:p>
            <w:pPr>
              <w:pStyle w:val="TableContents"/>
              <w:bidi w:val="0"/>
              <w:spacing w:before="0" w:after="283"/>
              <w:jc w:val="left"/>
              <w:rPr/>
            </w:pPr>
            <w:r>
              <w:rPr/>
              <w:t> </w:t>
            </w:r>
          </w:p>
        </w:tc>
        <w:tc>
          <w:tcPr>
            <w:tcW w:w="69" w:type="dxa"/>
            <w:tcBorders/>
            <w:vAlign w:val="center"/>
          </w:tcPr>
          <w:p>
            <w:pPr>
              <w:pStyle w:val="TableContents"/>
              <w:bidi w:val="0"/>
              <w:spacing w:before="0" w:after="283"/>
              <w:jc w:val="left"/>
              <w:rPr/>
            </w:pPr>
            <w:r>
              <w:rPr/>
              <w:t> </w:t>
            </w:r>
          </w:p>
        </w:tc>
        <w:tc>
          <w:tcPr>
            <w:tcW w:w="144" w:type="dxa"/>
            <w:tcBorders>
              <w:bottom w:val="double" w:sz="8" w:space="0" w:color="000000"/>
            </w:tcBorders>
            <w:tcMar>
              <w:bottom w:w="28" w:type="dxa"/>
            </w:tcM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81" w:type="dxa"/>
            <w:tcBorders>
              <w:bottom w:val="double" w:sz="8" w:space="0" w:color="000000"/>
            </w:tcBorders>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19,261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bottom w:val="double" w:sz="8" w:space="0" w:color="000000"/>
            </w:tcBorders>
            <w:tcMar>
              <w:bottom w:w="28" w:type="dxa"/>
            </w:tcM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80" w:type="dxa"/>
            <w:tcBorders>
              <w:bottom w:val="double" w:sz="8" w:space="0" w:color="000000"/>
            </w:tcBorders>
            <w:tcMar>
              <w:bottom w:w="28" w:type="dxa"/>
            </w:tcMar>
            <w:vAlign w:val="center"/>
          </w:tcPr>
          <w:p>
            <w:pPr>
              <w:pStyle w:val="TableContents"/>
              <w:bidi w:val="0"/>
              <w:spacing w:lineRule="auto" w:line="300" w:before="0" w:after="0"/>
              <w:jc w:val="right"/>
              <w:rPr/>
            </w:pPr>
            <w:r>
              <w:rPr/>
              <w:t>39,549</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bottom w:val="double" w:sz="8" w:space="0" w:color="000000"/>
            </w:tcBorders>
            <w:tcMar>
              <w:bottom w:w="28" w:type="dxa"/>
            </w:tcM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80" w:type="dxa"/>
            <w:tcBorders>
              <w:bottom w:val="double" w:sz="8" w:space="0" w:color="000000"/>
            </w:tcBorders>
            <w:tcMar>
              <w:bottom w:w="28" w:type="dxa"/>
            </w:tcMar>
            <w:vAlign w:val="center"/>
          </w:tcPr>
          <w:p>
            <w:pPr>
              <w:pStyle w:val="TableContents"/>
              <w:bidi w:val="0"/>
              <w:spacing w:lineRule="auto" w:line="300" w:before="0" w:after="0"/>
              <w:jc w:val="right"/>
              <w:rPr/>
            </w:pPr>
            <w:r>
              <w:rPr/>
              <w:t>50,687</w:t>
            </w:r>
          </w:p>
        </w:tc>
        <w:tc>
          <w:tcPr>
            <w:tcW w:w="60" w:type="dxa"/>
            <w:tcBorders/>
            <w:vAlign w:val="center"/>
          </w:tcPr>
          <w:p>
            <w:pPr>
              <w:pStyle w:val="TableContents"/>
              <w:bidi w:val="0"/>
              <w:spacing w:before="0" w:after="283"/>
              <w:jc w:val="left"/>
              <w:rPr/>
            </w:pPr>
            <w:r>
              <w:rPr/>
              <w:t> </w:t>
            </w:r>
          </w:p>
        </w:tc>
      </w:tr>
      <w:tr>
        <w:trPr/>
        <w:tc>
          <w:tcPr>
            <w:tcW w:w="359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681" w:type="dxa"/>
            <w:tcBorders/>
            <w:shd w:fill="CCEEFF" w:val="clear"/>
            <w:vAlign w:val="center"/>
          </w:tcPr>
          <w:p>
            <w:pPr>
              <w:pStyle w:val="TableContents"/>
              <w:bidi w:val="0"/>
              <w:spacing w:before="0" w:after="283"/>
              <w:jc w:val="right"/>
              <w:rPr/>
            </w:pPr>
            <w:r>
              <w:rPr/>
              <w:t> </w:t>
            </w:r>
          </w:p>
        </w:tc>
        <w:tc>
          <w:tcPr>
            <w:tcW w:w="69"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681"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3590"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Stock-based compensation capitalized:</w:t>
            </w:r>
          </w:p>
        </w:tc>
        <w:tc>
          <w:tcPr>
            <w:tcW w:w="60" w:type="dxa"/>
            <w:tcBorders/>
            <w:vAlign w:val="center"/>
          </w:tcPr>
          <w:p>
            <w:pPr>
              <w:pStyle w:val="TableContents"/>
              <w:bidi w:val="0"/>
              <w:spacing w:before="0" w:after="283"/>
              <w:jc w:val="left"/>
              <w:rPr/>
            </w:pPr>
            <w:r>
              <w:rPr/>
              <w:t> </w:t>
            </w:r>
          </w:p>
        </w:tc>
        <w:tc>
          <w:tcPr>
            <w:tcW w:w="144" w:type="dxa"/>
            <w:tcBorders/>
            <w:vAlign w:val="center"/>
          </w:tcPr>
          <w:p>
            <w:pPr>
              <w:pStyle w:val="TableContents"/>
              <w:bidi w:val="0"/>
              <w:spacing w:before="0" w:after="283"/>
              <w:jc w:val="left"/>
              <w:rPr/>
            </w:pPr>
            <w:r>
              <w:rPr/>
              <w:t> </w:t>
            </w:r>
          </w:p>
        </w:tc>
        <w:tc>
          <w:tcPr>
            <w:tcW w:w="681" w:type="dxa"/>
            <w:tcBorders/>
            <w:vAlign w:val="center"/>
          </w:tcPr>
          <w:p>
            <w:pPr>
              <w:pStyle w:val="TableContents"/>
              <w:bidi w:val="0"/>
              <w:spacing w:before="0" w:after="283"/>
              <w:jc w:val="right"/>
              <w:rPr/>
            </w:pPr>
            <w:r>
              <w:rPr/>
              <w:t> </w:t>
            </w:r>
          </w:p>
        </w:tc>
        <w:tc>
          <w:tcPr>
            <w:tcW w:w="69" w:type="dxa"/>
            <w:tcBorders/>
            <w:vAlign w:val="center"/>
          </w:tcPr>
          <w:p>
            <w:pPr>
              <w:pStyle w:val="TableContents"/>
              <w:bidi w:val="0"/>
              <w:spacing w:before="0" w:after="283"/>
              <w:jc w:val="left"/>
              <w:rPr/>
            </w:pPr>
            <w:r>
              <w:rPr/>
              <w:t> </w:t>
            </w:r>
          </w:p>
        </w:tc>
        <w:tc>
          <w:tcPr>
            <w:tcW w:w="69" w:type="dxa"/>
            <w:tcBorders/>
            <w:vAlign w:val="center"/>
          </w:tcPr>
          <w:p>
            <w:pPr>
              <w:pStyle w:val="TableContents"/>
              <w:bidi w:val="0"/>
              <w:spacing w:before="0" w:after="283"/>
              <w:jc w:val="left"/>
              <w:rPr/>
            </w:pPr>
            <w:r>
              <w:rPr/>
              <w:t> </w:t>
            </w:r>
          </w:p>
        </w:tc>
        <w:tc>
          <w:tcPr>
            <w:tcW w:w="144" w:type="dxa"/>
            <w:tcBorders/>
            <w:vAlign w:val="center"/>
          </w:tcPr>
          <w:p>
            <w:pPr>
              <w:pStyle w:val="TableContents"/>
              <w:bidi w:val="0"/>
              <w:spacing w:before="0" w:after="283"/>
              <w:jc w:val="left"/>
              <w:rPr/>
            </w:pPr>
            <w:r>
              <w:rPr/>
              <w:t> </w:t>
            </w:r>
          </w:p>
        </w:tc>
        <w:tc>
          <w:tcPr>
            <w:tcW w:w="681"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r>
      <w:tr>
        <w:trPr/>
        <w:tc>
          <w:tcPr>
            <w:tcW w:w="3590" w:type="dxa"/>
            <w:tcBorders/>
            <w:shd w:fill="CCEEFF" w:val="clear"/>
            <w:vAlign w:val="center"/>
          </w:tcPr>
          <w:p>
            <w:pPr>
              <w:pStyle w:val="TableContents"/>
              <w:bidi w:val="0"/>
              <w:spacing w:lineRule="auto" w:line="300" w:before="0" w:after="0"/>
              <w:ind w:left="240" w:right="0" w:hanging="0"/>
              <w:jc w:val="left"/>
              <w:rPr>
                <w:rFonts w:ascii="Times New Roman;Times;serif" w:hAnsi="Times New Roman;Times;serif"/>
                <w:sz w:val="20"/>
              </w:rPr>
            </w:pPr>
            <w:r>
              <w:rPr>
                <w:rFonts w:ascii="Times New Roman;Times;serif" w:hAnsi="Times New Roman;Times;serif"/>
                <w:sz w:val="20"/>
              </w:rPr>
              <w:t>Inventory</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81"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313</w:t>
            </w:r>
          </w:p>
        </w:tc>
        <w:tc>
          <w:tcPr>
            <w:tcW w:w="69"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81"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433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80" w:type="dxa"/>
            <w:tcBorders/>
            <w:shd w:fill="CCEEFF" w:val="clear"/>
            <w:vAlign w:val="center"/>
          </w:tcPr>
          <w:p>
            <w:pPr>
              <w:pStyle w:val="TableContents"/>
              <w:bidi w:val="0"/>
              <w:spacing w:lineRule="auto" w:line="300" w:before="0" w:after="0"/>
              <w:jc w:val="right"/>
              <w:rPr/>
            </w:pPr>
            <w:r>
              <w:rPr/>
              <w:t>633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80" w:type="dxa"/>
            <w:tcBorders/>
            <w:shd w:fill="CCEEFF" w:val="clear"/>
            <w:vAlign w:val="center"/>
          </w:tcPr>
          <w:p>
            <w:pPr>
              <w:pStyle w:val="TableContents"/>
              <w:bidi w:val="0"/>
              <w:spacing w:lineRule="auto" w:line="300" w:before="0" w:after="0"/>
              <w:jc w:val="right"/>
              <w:rPr/>
            </w:pPr>
            <w:r>
              <w:rPr/>
              <w:t>1,079</w:t>
            </w:r>
          </w:p>
        </w:tc>
        <w:tc>
          <w:tcPr>
            <w:tcW w:w="60" w:type="dxa"/>
            <w:tcBorders/>
            <w:shd w:fill="CCEEFF" w:val="clear"/>
            <w:vAlign w:val="center"/>
          </w:tcPr>
          <w:p>
            <w:pPr>
              <w:pStyle w:val="TableContents"/>
              <w:bidi w:val="0"/>
              <w:spacing w:before="0" w:after="283"/>
              <w:jc w:val="left"/>
              <w:rPr/>
            </w:pPr>
            <w:r>
              <w:rPr/>
              <w:t> </w:t>
            </w:r>
          </w:p>
        </w:tc>
      </w:tr>
      <w:tr>
        <w:trPr/>
        <w:tc>
          <w:tcPr>
            <w:tcW w:w="3590" w:type="dxa"/>
            <w:tcBorders/>
            <w:vAlign w:val="center"/>
          </w:tcPr>
          <w:p>
            <w:pPr>
              <w:pStyle w:val="TableContents"/>
              <w:bidi w:val="0"/>
              <w:spacing w:lineRule="auto" w:line="300" w:before="0" w:after="0"/>
              <w:ind w:left="240" w:right="0" w:hanging="0"/>
              <w:jc w:val="left"/>
              <w:rPr>
                <w:rFonts w:ascii="Times New Roman;Times;serif" w:hAnsi="Times New Roman;Times;serif"/>
                <w:sz w:val="20"/>
              </w:rPr>
            </w:pPr>
            <w:r>
              <w:rPr>
                <w:rFonts w:ascii="Times New Roman;Times;serif" w:hAnsi="Times New Roman;Times;serif"/>
                <w:sz w:val="20"/>
              </w:rPr>
              <w:t>Other long-term assets</w:t>
            </w:r>
          </w:p>
        </w:tc>
        <w:tc>
          <w:tcPr>
            <w:tcW w:w="60" w:type="dxa"/>
            <w:tcBorders/>
            <w:vAlign w:val="center"/>
          </w:tcPr>
          <w:p>
            <w:pPr>
              <w:pStyle w:val="TableContents"/>
              <w:bidi w:val="0"/>
              <w:spacing w:before="0" w:after="283"/>
              <w:jc w:val="left"/>
              <w:rPr/>
            </w:pPr>
            <w:r>
              <w:rPr/>
              <w:t> </w:t>
            </w:r>
          </w:p>
        </w:tc>
        <w:tc>
          <w:tcPr>
            <w:tcW w:w="144" w:type="dxa"/>
            <w:tcBorders>
              <w:bottom w:val="single" w:sz="12" w:space="0" w:color="000000"/>
            </w:tcBorders>
            <w:tcMar>
              <w:bottom w:w="28" w:type="dxa"/>
            </w:tcMar>
            <w:vAlign w:val="center"/>
          </w:tcPr>
          <w:p>
            <w:pPr>
              <w:pStyle w:val="TableContents"/>
              <w:bidi w:val="0"/>
              <w:spacing w:before="0" w:after="283"/>
              <w:jc w:val="left"/>
              <w:rPr/>
            </w:pPr>
            <w:r>
              <w:rPr/>
              <w:t> </w:t>
            </w:r>
          </w:p>
        </w:tc>
        <w:tc>
          <w:tcPr>
            <w:tcW w:w="681" w:type="dxa"/>
            <w:tcBorders>
              <w:bottom w:val="single" w:sz="12" w:space="0" w:color="000000"/>
            </w:tcBorders>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w:t>
            </w:r>
          </w:p>
        </w:tc>
        <w:tc>
          <w:tcPr>
            <w:tcW w:w="69" w:type="dxa"/>
            <w:tcBorders/>
            <w:vAlign w:val="center"/>
          </w:tcPr>
          <w:p>
            <w:pPr>
              <w:pStyle w:val="TableContents"/>
              <w:bidi w:val="0"/>
              <w:spacing w:before="0" w:after="283"/>
              <w:jc w:val="left"/>
              <w:rPr/>
            </w:pPr>
            <w:r>
              <w:rPr/>
              <w:t> </w:t>
            </w:r>
          </w:p>
        </w:tc>
        <w:tc>
          <w:tcPr>
            <w:tcW w:w="69" w:type="dxa"/>
            <w:tcBorders/>
            <w:vAlign w:val="center"/>
          </w:tcPr>
          <w:p>
            <w:pPr>
              <w:pStyle w:val="TableContents"/>
              <w:bidi w:val="0"/>
              <w:spacing w:before="0" w:after="283"/>
              <w:jc w:val="left"/>
              <w:rPr/>
            </w:pPr>
            <w:r>
              <w:rPr/>
              <w:t> </w:t>
            </w:r>
          </w:p>
        </w:tc>
        <w:tc>
          <w:tcPr>
            <w:tcW w:w="144" w:type="dxa"/>
            <w:tcBorders>
              <w:bottom w:val="single" w:sz="12" w:space="0" w:color="000000"/>
            </w:tcBorders>
            <w:tcMar>
              <w:bottom w:w="28" w:type="dxa"/>
            </w:tcMar>
            <w:vAlign w:val="center"/>
          </w:tcPr>
          <w:p>
            <w:pPr>
              <w:pStyle w:val="TableContents"/>
              <w:bidi w:val="0"/>
              <w:spacing w:before="0" w:after="283"/>
              <w:jc w:val="left"/>
              <w:rPr/>
            </w:pPr>
            <w:r>
              <w:rPr/>
              <w:t> </w:t>
            </w:r>
          </w:p>
        </w:tc>
        <w:tc>
          <w:tcPr>
            <w:tcW w:w="681" w:type="dxa"/>
            <w:tcBorders>
              <w:bottom w:val="single" w:sz="12" w:space="0" w:color="000000"/>
            </w:tcBorders>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393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bottom w:val="single" w:sz="12" w:space="0" w:color="000000"/>
            </w:tcBorders>
            <w:tcMar>
              <w:bottom w:w="28" w:type="dxa"/>
            </w:tcMar>
            <w:vAlign w:val="center"/>
          </w:tcPr>
          <w:p>
            <w:pPr>
              <w:pStyle w:val="TableContents"/>
              <w:bidi w:val="0"/>
              <w:spacing w:before="0" w:after="283"/>
              <w:jc w:val="left"/>
              <w:rPr/>
            </w:pPr>
            <w:r>
              <w:rPr/>
              <w:t> </w:t>
            </w:r>
          </w:p>
        </w:tc>
        <w:tc>
          <w:tcPr>
            <w:tcW w:w="680" w:type="dxa"/>
            <w:tcBorders>
              <w:bottom w:val="single" w:sz="12" w:space="0" w:color="000000"/>
            </w:tcBorders>
            <w:tcMar>
              <w:bottom w:w="28" w:type="dxa"/>
            </w:tcMar>
            <w:vAlign w:val="center"/>
          </w:tcPr>
          <w:p>
            <w:pPr>
              <w:pStyle w:val="TableContents"/>
              <w:bidi w:val="0"/>
              <w:spacing w:lineRule="auto" w:line="300" w:before="0" w:after="0"/>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bottom w:val="single" w:sz="12" w:space="0" w:color="000000"/>
            </w:tcBorders>
            <w:tcMar>
              <w:bottom w:w="28" w:type="dxa"/>
            </w:tcMar>
            <w:vAlign w:val="center"/>
          </w:tcPr>
          <w:p>
            <w:pPr>
              <w:pStyle w:val="TableContents"/>
              <w:bidi w:val="0"/>
              <w:spacing w:before="0" w:after="283"/>
              <w:jc w:val="left"/>
              <w:rPr/>
            </w:pPr>
            <w:r>
              <w:rPr/>
              <w:t> </w:t>
            </w:r>
          </w:p>
        </w:tc>
        <w:tc>
          <w:tcPr>
            <w:tcW w:w="680" w:type="dxa"/>
            <w:tcBorders>
              <w:bottom w:val="single" w:sz="12" w:space="0" w:color="000000"/>
            </w:tcBorders>
            <w:tcMar>
              <w:bottom w:w="28" w:type="dxa"/>
            </w:tcMar>
            <w:vAlign w:val="center"/>
          </w:tcPr>
          <w:p>
            <w:pPr>
              <w:pStyle w:val="TableContents"/>
              <w:bidi w:val="0"/>
              <w:spacing w:lineRule="auto" w:line="300" w:before="0" w:after="0"/>
              <w:jc w:val="right"/>
              <w:rPr/>
            </w:pPr>
            <w:r>
              <w:rPr/>
              <w:t>832</w:t>
            </w:r>
          </w:p>
        </w:tc>
        <w:tc>
          <w:tcPr>
            <w:tcW w:w="60" w:type="dxa"/>
            <w:tcBorders/>
            <w:vAlign w:val="center"/>
          </w:tcPr>
          <w:p>
            <w:pPr>
              <w:pStyle w:val="TableContents"/>
              <w:bidi w:val="0"/>
              <w:spacing w:before="0" w:after="283"/>
              <w:jc w:val="left"/>
              <w:rPr/>
            </w:pPr>
            <w:r>
              <w:rPr/>
              <w:t> </w:t>
            </w:r>
          </w:p>
        </w:tc>
      </w:tr>
      <w:tr>
        <w:trPr/>
        <w:tc>
          <w:tcPr>
            <w:tcW w:w="3590"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Total stock-based compensation capitalized</w:t>
            </w:r>
          </w:p>
        </w:tc>
        <w:tc>
          <w:tcPr>
            <w:tcW w:w="60" w:type="dxa"/>
            <w:tcBorders/>
            <w:shd w:fill="CCEEFF" w:val="clear"/>
            <w:vAlign w:val="center"/>
          </w:tcPr>
          <w:p>
            <w:pPr>
              <w:pStyle w:val="TableContents"/>
              <w:bidi w:val="0"/>
              <w:spacing w:before="0" w:after="283"/>
              <w:jc w:val="left"/>
              <w:rPr/>
            </w:pPr>
            <w:r>
              <w:rPr/>
              <w:t> </w:t>
            </w:r>
          </w:p>
        </w:tc>
        <w:tc>
          <w:tcPr>
            <w:tcW w:w="144" w:type="dxa"/>
            <w:tcBorders>
              <w:bottom w:val="double" w:sz="8" w:space="0" w:color="000000"/>
            </w:tcBorders>
            <w:shd w:fill="CCEEFF" w:val="clear"/>
            <w:tcMar>
              <w:bottom w:w="28" w:type="dxa"/>
            </w:tcM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81" w:type="dxa"/>
            <w:tcBorders>
              <w:bottom w:val="double" w:sz="8" w:space="0" w:color="000000"/>
            </w:tcBorders>
            <w:shd w:fill="CCEEFF" w:val="clear"/>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313</w:t>
            </w:r>
          </w:p>
        </w:tc>
        <w:tc>
          <w:tcPr>
            <w:tcW w:w="69"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44" w:type="dxa"/>
            <w:tcBorders>
              <w:bottom w:val="double" w:sz="8" w:space="0" w:color="000000"/>
            </w:tcBorders>
            <w:shd w:fill="CCEEFF" w:val="clear"/>
            <w:tcMar>
              <w:bottom w:w="28" w:type="dxa"/>
            </w:tcM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81" w:type="dxa"/>
            <w:tcBorders>
              <w:bottom w:val="double" w:sz="8" w:space="0" w:color="000000"/>
            </w:tcBorders>
            <w:shd w:fill="CCEEFF" w:val="clear"/>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826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double" w:sz="8" w:space="0" w:color="000000"/>
            </w:tcBorders>
            <w:shd w:fill="CCEEFF" w:val="clear"/>
            <w:tcMar>
              <w:bottom w:w="28" w:type="dxa"/>
            </w:tcM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80" w:type="dxa"/>
            <w:tcBorders>
              <w:bottom w:val="double" w:sz="8" w:space="0" w:color="000000"/>
            </w:tcBorders>
            <w:shd w:fill="CCEEFF" w:val="clear"/>
            <w:tcMar>
              <w:bottom w:w="28" w:type="dxa"/>
            </w:tcMar>
            <w:vAlign w:val="center"/>
          </w:tcPr>
          <w:p>
            <w:pPr>
              <w:pStyle w:val="TableContents"/>
              <w:bidi w:val="0"/>
              <w:spacing w:lineRule="auto" w:line="300" w:before="0" w:after="0"/>
              <w:jc w:val="right"/>
              <w:rPr/>
            </w:pPr>
            <w:r>
              <w:rPr/>
              <w:t>633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double" w:sz="8" w:space="0" w:color="000000"/>
            </w:tcBorders>
            <w:shd w:fill="CCEEFF" w:val="clear"/>
            <w:tcMar>
              <w:bottom w:w="28" w:type="dxa"/>
            </w:tcM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80" w:type="dxa"/>
            <w:tcBorders>
              <w:bottom w:val="double" w:sz="8" w:space="0" w:color="000000"/>
            </w:tcBorders>
            <w:shd w:fill="CCEEFF" w:val="clear"/>
            <w:tcMar>
              <w:bottom w:w="28" w:type="dxa"/>
            </w:tcMar>
            <w:vAlign w:val="center"/>
          </w:tcPr>
          <w:p>
            <w:pPr>
              <w:pStyle w:val="TableContents"/>
              <w:bidi w:val="0"/>
              <w:spacing w:lineRule="auto" w:line="300" w:before="0" w:after="0"/>
              <w:jc w:val="right"/>
              <w:rPr/>
            </w:pPr>
            <w:r>
              <w:rPr/>
              <w:t>1,911</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lineRule="auto" w:line="300" w:before="0" w:after="0"/>
        <w:ind w:left="720" w:right="0" w:hanging="0"/>
        <w:jc w:val="left"/>
        <w:rPr/>
      </w:pPr>
      <w:r>
        <w:rPr/>
        <w:t> </w:t>
      </w:r>
    </w:p>
    <w:p>
      <w:pPr>
        <w:pStyle w:val="TextBody"/>
        <w:bidi w:val="0"/>
        <w:spacing w:lineRule="auto" w:line="300" w:before="0" w:after="0"/>
        <w:ind w:left="720" w:right="0" w:hanging="0"/>
        <w:jc w:val="both"/>
        <w:rPr>
          <w:rFonts w:ascii="Times New Roman;Times;serif" w:hAnsi="Times New Roman;Times;serif"/>
          <w:sz w:val="20"/>
        </w:rPr>
      </w:pPr>
      <w:r>
        <w:rPr>
          <w:rFonts w:ascii="Times New Roman;Times;serif" w:hAnsi="Times New Roman;Times;serif"/>
          <w:sz w:val="20"/>
        </w:rPr>
        <w:t>For the three and six months ended June 30, 2026 and 2025, no amounts of tax benefits were recorded in regard to stock-based compensation.</w:t>
      </w:r>
    </w:p>
    <w:p>
      <w:pPr>
        <w:pStyle w:val="TextBody"/>
        <w:bidi w:val="0"/>
        <w:spacing w:lineRule="auto" w:line="300" w:before="0" w:after="0"/>
        <w:jc w:val="left"/>
        <w:rPr/>
      </w:pPr>
      <w:r>
        <w:rPr/>
        <w:t> </w:t>
      </w:r>
    </w:p>
    <w:p>
      <w:pPr>
        <w:pStyle w:val="TextBody"/>
        <w:bidi w:val="0"/>
        <w:spacing w:lineRule="auto" w:line="300"/>
        <w:ind w:left="720" w:right="0" w:hanging="0"/>
        <w:jc w:val="both"/>
        <w:rPr>
          <w:rFonts w:ascii="Times New Roman;Times;serif" w:hAnsi="Times New Roman;Times;serif"/>
          <w:sz w:val="20"/>
        </w:rPr>
      </w:pPr>
      <w:r>
        <w:rPr>
          <w:rFonts w:ascii="Times New Roman;Times;serif" w:hAnsi="Times New Roman;Times;serif"/>
          <w:sz w:val="20"/>
        </w:rPr>
        <w:t>As of June 30, 2026, there were total unrecognized compensation expenses in the amount of $199,588 related to non-vested equity-based compensation arrangements granted. These expenses are expected to be recognized during the period from July 1, 2026, through May 31, 2030.</w:t>
      </w:r>
    </w:p>
    <w:p>
      <w:pPr>
        <w:pStyle w:val="TextBody"/>
        <w:bidi w:val="0"/>
        <w:spacing w:before="0" w:after="0"/>
        <w:jc w:val="left"/>
        <w:rPr/>
      </w:pPr>
      <w:r>
        <w:rPr/>
        <w:t> </w:t>
      </w:r>
    </w:p>
    <w:p>
      <w:pPr>
        <w:pStyle w:val="TextBody"/>
        <w:bidi w:val="0"/>
        <w:spacing w:before="200" w:after="283"/>
        <w:jc w:val="center"/>
        <w:rPr/>
      </w:pPr>
      <w:r>
        <w:rPr>
          <w:b w:val="false"/>
          <w:i w:val="false"/>
          <w:caps w:val="false"/>
          <w:smallCaps w:val="false"/>
        </w:rPr>
        <w:t xml:space="preserve">SOLAREDGE TECHNOLOGIES INC. | 2026 Form 10-Q | F - </w:t>
      </w:r>
      <w:r>
        <w:rPr>
          <w:rFonts w:ascii="Times New Roman;Times;serif" w:hAnsi="Times New Roman;Times;serif"/>
          <w:sz w:val="20"/>
        </w:rPr>
        <w:t>23</w:t>
      </w:r>
    </w:p>
    <w:p>
      <w:pPr>
        <w:pStyle w:val="HorizontalLine"/>
        <w:bidi w:val="0"/>
        <w:spacing w:before="0" w:after="0"/>
        <w:jc w:val="left"/>
        <w:rPr/>
      </w:pPr>
      <w:r>
        <w:rPr/>
      </w:r>
    </w:p>
    <w:p>
      <w:pPr>
        <w:pStyle w:val="TextBody"/>
        <w:bidi w:val="0"/>
        <w:spacing w:before="0" w:after="0"/>
        <w:jc w:val="left"/>
        <w:rPr/>
      </w:pPr>
      <w:r>
        <w:rPr/>
        <w:t> </w:t>
      </w:r>
    </w:p>
    <w:p>
      <w:pPr>
        <w:pStyle w:val="TextBody"/>
        <w:bidi w:val="0"/>
        <w:spacing w:lineRule="auto" w:line="300" w:before="0" w:after="0"/>
        <w:ind w:left="360" w:right="360" w:hanging="0"/>
        <w:jc w:val="center"/>
        <w:rPr>
          <w:b/>
        </w:rPr>
      </w:pPr>
      <w:r>
        <w:rPr>
          <w:b/>
        </w:rPr>
        <w:t>SOLAREDGE TECHNOLOGIES, INC.</w:t>
      </w:r>
    </w:p>
    <w:p>
      <w:pPr>
        <w:pStyle w:val="TextBody"/>
        <w:bidi w:val="0"/>
        <w:spacing w:lineRule="auto" w:line="300" w:before="0" w:after="0"/>
        <w:jc w:val="left"/>
        <w:rPr/>
      </w:pPr>
      <w:r>
        <w:rPr/>
        <w:t> </w:t>
      </w:r>
    </w:p>
    <w:p>
      <w:pPr>
        <w:pStyle w:val="TextBody"/>
        <w:bidi w:val="0"/>
        <w:spacing w:lineRule="auto" w:line="300" w:before="0" w:after="0"/>
        <w:ind w:left="360" w:right="360" w:hanging="0"/>
        <w:jc w:val="center"/>
        <w:rPr>
          <w:b/>
        </w:rPr>
      </w:pPr>
      <w:r>
        <w:rPr>
          <w:b/>
        </w:rPr>
        <w:t>NOTES TO CONDENSED CONSOLIDATED FINANCIAL STATEMENTS (Unaudited)</w:t>
      </w:r>
    </w:p>
    <w:p>
      <w:pPr>
        <w:pStyle w:val="TextBody"/>
        <w:bidi w:val="0"/>
        <w:spacing w:lineRule="auto" w:line="300" w:before="0" w:after="0"/>
        <w:jc w:val="left"/>
        <w:rPr/>
      </w:pPr>
      <w:r>
        <w:rPr/>
        <w:t> </w:t>
      </w:r>
    </w:p>
    <w:p>
      <w:pPr>
        <w:pStyle w:val="TextBody"/>
        <w:bidi w:val="0"/>
        <w:spacing w:lineRule="auto" w:line="300"/>
        <w:ind w:left="360" w:right="360" w:hanging="0"/>
        <w:jc w:val="center"/>
        <w:rPr/>
      </w:pPr>
      <w:r>
        <w:rPr>
          <w:b/>
        </w:rPr>
        <w:t>(in thousands, except per share data</w:t>
      </w:r>
      <w:r>
        <w:rPr/>
        <w:t>)</w:t>
      </w:r>
    </w:p>
    <w:p>
      <w:pPr>
        <w:pStyle w:val="TextBody"/>
        <w:bidi w:val="0"/>
        <w:spacing w:before="0" w:after="0"/>
        <w:jc w:val="left"/>
        <w:rPr/>
      </w:pPr>
      <w:r>
        <w:rPr/>
        <w:t> </w:t>
      </w:r>
    </w:p>
    <w:p>
      <w:pPr>
        <w:pStyle w:val="TextBody"/>
        <w:bidi w:val="0"/>
        <w:spacing w:lineRule="auto" w:line="300" w:before="0" w:after="0"/>
        <w:jc w:val="left"/>
        <w:rPr>
          <w:rFonts w:ascii="Times New Roman;Times;serif" w:hAnsi="Times New Roman;Times;serif"/>
          <w:b/>
          <w:sz w:val="20"/>
        </w:rPr>
      </w:pPr>
      <w:r>
        <w:rPr>
          <w:rFonts w:ascii="Times New Roman;Times;serif" w:hAnsi="Times New Roman;Times;serif"/>
          <w:b/>
          <w:sz w:val="20"/>
        </w:rPr>
        <w:t>NOTE 14:     COMMITMENTS AND CONTINGENT LIABILITIES</w:t>
      </w:r>
    </w:p>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sz w:val="20"/>
        </w:rPr>
      </w:pPr>
      <w:r>
        <w:rPr>
          <w:rFonts w:ascii="Times New Roman;Times;serif" w:hAnsi="Times New Roman;Times;serif"/>
          <w:sz w:val="20"/>
        </w:rPr>
        <w:t>a.           Guarantees:</w:t>
      </w:r>
    </w:p>
    <w:p>
      <w:pPr>
        <w:pStyle w:val="TextBody"/>
        <w:bidi w:val="0"/>
        <w:spacing w:lineRule="auto" w:line="300" w:before="0" w:after="0"/>
        <w:jc w:val="left"/>
        <w:rPr/>
      </w:pPr>
      <w:r>
        <w:rPr/>
        <w:t> </w:t>
      </w:r>
    </w:p>
    <w:p>
      <w:pPr>
        <w:pStyle w:val="TextBody"/>
        <w:bidi w:val="0"/>
        <w:spacing w:lineRule="auto" w:line="300" w:before="0" w:after="0"/>
        <w:ind w:left="720" w:right="0" w:hanging="0"/>
        <w:jc w:val="both"/>
        <w:rPr>
          <w:rFonts w:ascii="Times New Roman;Times;serif" w:hAnsi="Times New Roman;Times;serif"/>
          <w:sz w:val="20"/>
        </w:rPr>
      </w:pPr>
      <w:r>
        <w:rPr>
          <w:rFonts w:ascii="Times New Roman;Times;serif" w:hAnsi="Times New Roman;Times;serif"/>
          <w:sz w:val="20"/>
        </w:rPr>
        <w:t>As of June 30, 2026, contingent liabilities exist regarding guarantees in the amounts of $5,983, $5,044 and $4,561 for office rent lease agreements, custom transactions, and securing projects with customers and vendors and other transactions, respectively.</w:t>
      </w:r>
    </w:p>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sz w:val="20"/>
        </w:rPr>
      </w:pPr>
      <w:r>
        <w:rPr>
          <w:rFonts w:ascii="Times New Roman;Times;serif" w:hAnsi="Times New Roman;Times;serif"/>
          <w:sz w:val="20"/>
        </w:rPr>
        <w:t>b.           Contractual purchase obligations:</w:t>
      </w:r>
    </w:p>
    <w:p>
      <w:pPr>
        <w:pStyle w:val="TextBody"/>
        <w:bidi w:val="0"/>
        <w:spacing w:lineRule="auto" w:line="300" w:before="0" w:after="0"/>
        <w:jc w:val="left"/>
        <w:rPr/>
      </w:pPr>
      <w:r>
        <w:rPr/>
        <w:t> </w:t>
      </w:r>
    </w:p>
    <w:p>
      <w:pPr>
        <w:pStyle w:val="TextBody"/>
        <w:bidi w:val="0"/>
        <w:spacing w:lineRule="auto" w:line="300" w:before="0" w:after="0"/>
        <w:ind w:left="720" w:right="0" w:hanging="0"/>
        <w:jc w:val="both"/>
        <w:rPr>
          <w:rFonts w:ascii="Times New Roman;Times;serif" w:hAnsi="Times New Roman;Times;serif"/>
          <w:sz w:val="20"/>
        </w:rPr>
      </w:pPr>
      <w:r>
        <w:rPr>
          <w:rFonts w:ascii="Times New Roman;Times;serif" w:hAnsi="Times New Roman;Times;serif"/>
          <w:sz w:val="20"/>
        </w:rPr>
        <w:t>The Company has contractual obligations to purchase goods and raw materials. These contractual purchase obligations relate to inventories and other purchase orders, which cannot be canceled without penalty. In addition, the Company acquires raw materials or other goods and services, including product components, by issuing authorizations to its suppliers to purchase materials based on its projected demand and manufacturing needs.</w:t>
      </w:r>
    </w:p>
    <w:p>
      <w:pPr>
        <w:pStyle w:val="TextBody"/>
        <w:bidi w:val="0"/>
        <w:spacing w:lineRule="auto" w:line="300" w:before="0" w:after="0"/>
        <w:jc w:val="left"/>
        <w:rPr/>
      </w:pPr>
      <w:r>
        <w:rPr/>
        <w:t> </w:t>
      </w:r>
    </w:p>
    <w:p>
      <w:pPr>
        <w:pStyle w:val="TextBody"/>
        <w:bidi w:val="0"/>
        <w:spacing w:lineRule="auto" w:line="300" w:before="0" w:after="0"/>
        <w:ind w:left="720" w:right="0" w:hanging="0"/>
        <w:jc w:val="both"/>
        <w:rPr>
          <w:rFonts w:ascii="Times New Roman;Times;serif" w:hAnsi="Times New Roman;Times;serif"/>
          <w:sz w:val="20"/>
        </w:rPr>
      </w:pPr>
      <w:r>
        <w:rPr>
          <w:rFonts w:ascii="Times New Roman;Times;serif" w:hAnsi="Times New Roman;Times;serif"/>
          <w:sz w:val="20"/>
        </w:rPr>
        <w:t>As of June 30, 2026, the Company had non-cancellable purchase obligations totaling approximately $339,980, out of which the Company recorded a provision for loss in the amount of $24,324.</w:t>
      </w:r>
    </w:p>
    <w:p>
      <w:pPr>
        <w:pStyle w:val="TextBody"/>
        <w:bidi w:val="0"/>
        <w:spacing w:lineRule="auto" w:line="300" w:before="0" w:after="0"/>
        <w:jc w:val="left"/>
        <w:rPr/>
      </w:pPr>
      <w:r>
        <w:rPr/>
        <w:t> </w:t>
      </w:r>
    </w:p>
    <w:p>
      <w:pPr>
        <w:pStyle w:val="TextBody"/>
        <w:bidi w:val="0"/>
        <w:spacing w:lineRule="auto" w:line="300" w:before="0" w:after="0"/>
        <w:ind w:left="720" w:right="0" w:hanging="0"/>
        <w:jc w:val="both"/>
        <w:rPr>
          <w:rFonts w:ascii="Times New Roman;Times;serif" w:hAnsi="Times New Roman;Times;serif"/>
          <w:sz w:val="20"/>
        </w:rPr>
      </w:pPr>
      <w:r>
        <w:rPr>
          <w:rFonts w:ascii="Times New Roman;Times;serif" w:hAnsi="Times New Roman;Times;serif"/>
          <w:sz w:val="20"/>
        </w:rPr>
        <w:t>As of June 30, 2026, the Company had contractual obligations for capital expenditures totaling approximately $12,793. These commitments reflect purchases of automated assembly lines and other machinery related to the Company’s general manufacturing process and are primarily for its new manufacturing sites in the U.S.</w:t>
      </w:r>
    </w:p>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sz w:val="20"/>
        </w:rPr>
      </w:pPr>
      <w:r>
        <w:rPr>
          <w:rFonts w:ascii="Times New Roman;Times;serif" w:hAnsi="Times New Roman;Times;serif"/>
          <w:sz w:val="20"/>
        </w:rPr>
        <w:t>c.           Legal claims:</w:t>
      </w:r>
    </w:p>
    <w:p>
      <w:pPr>
        <w:pStyle w:val="TextBody"/>
        <w:bidi w:val="0"/>
        <w:spacing w:lineRule="auto" w:line="300" w:before="0" w:after="0"/>
        <w:jc w:val="left"/>
        <w:rPr/>
      </w:pPr>
      <w:r>
        <w:rPr/>
        <w:t> </w:t>
      </w:r>
    </w:p>
    <w:p>
      <w:pPr>
        <w:pStyle w:val="TextBody"/>
        <w:bidi w:val="0"/>
        <w:spacing w:lineRule="auto" w:line="300" w:before="0" w:after="0"/>
        <w:ind w:left="720" w:right="0" w:hanging="0"/>
        <w:jc w:val="both"/>
        <w:rPr>
          <w:rFonts w:ascii="Times New Roman;Times;serif" w:hAnsi="Times New Roman;Times;serif"/>
          <w:sz w:val="20"/>
        </w:rPr>
      </w:pPr>
      <w:r>
        <w:rPr>
          <w:rFonts w:ascii="Times New Roman;Times;serif" w:hAnsi="Times New Roman;Times;serif"/>
          <w:sz w:val="20"/>
        </w:rPr>
        <w:t>From time to time, the Company may be involved in various claims and legal proceedings. The Company reviews the status of each matter and assesses its potential financial exposure. If the potential loss from any claim or legal proceeding is considered probable and the amount can be reasonably estimated, the Company accrues a liability for the estimated loss. These accruals are reviewed at least quarterly and adjusted to reflect the impact of negotiations, settlements, rulings, advice of legal counsel and other information and events pertaining to a particular matter.</w:t>
      </w:r>
    </w:p>
    <w:p>
      <w:pPr>
        <w:pStyle w:val="TextBody"/>
        <w:bidi w:val="0"/>
        <w:spacing w:lineRule="auto" w:line="300" w:before="0" w:after="0"/>
        <w:jc w:val="left"/>
        <w:rPr/>
      </w:pPr>
      <w:r>
        <w:rPr/>
        <w:t> </w:t>
      </w:r>
    </w:p>
    <w:p>
      <w:pPr>
        <w:pStyle w:val="TextBody"/>
        <w:bidi w:val="0"/>
        <w:spacing w:lineRule="auto" w:line="300" w:before="0" w:after="0"/>
        <w:ind w:left="720" w:right="0" w:hanging="0"/>
        <w:jc w:val="both"/>
        <w:rPr>
          <w:rFonts w:ascii="Times New Roman;Times;serif" w:hAnsi="Times New Roman;Times;serif"/>
          <w:sz w:val="20"/>
        </w:rPr>
      </w:pPr>
      <w:r>
        <w:rPr>
          <w:rFonts w:ascii="Times New Roman;Times;serif" w:hAnsi="Times New Roman;Times;serif"/>
          <w:sz w:val="20"/>
        </w:rPr>
        <w:t>As of June 30, 2026, the Company recorded an accrual of $68,749 for legal claims which was recorded under accrued expenses and other current liabilities and recognized a related insurance receivable of $55,000.</w:t>
      </w:r>
    </w:p>
    <w:p>
      <w:pPr>
        <w:pStyle w:val="TextBody"/>
        <w:bidi w:val="0"/>
        <w:spacing w:lineRule="auto" w:line="300" w:before="0" w:after="0"/>
        <w:jc w:val="left"/>
        <w:rPr/>
      </w:pPr>
      <w:r>
        <w:rPr/>
        <w:t> </w:t>
      </w:r>
    </w:p>
    <w:p>
      <w:pPr>
        <w:pStyle w:val="TextBody"/>
        <w:bidi w:val="0"/>
        <w:spacing w:lineRule="auto" w:line="300" w:before="0" w:after="0"/>
        <w:ind w:left="720" w:right="0" w:hanging="0"/>
        <w:jc w:val="both"/>
        <w:rPr>
          <w:rFonts w:ascii="Times New Roman;Times;serif" w:hAnsi="Times New Roman;Times;serif"/>
          <w:sz w:val="20"/>
        </w:rPr>
      </w:pPr>
      <w:r>
        <w:rPr>
          <w:rFonts w:ascii="Times New Roman;Times;serif" w:hAnsi="Times New Roman;Times;serif"/>
          <w:sz w:val="20"/>
        </w:rPr>
        <w:t>On November 3, 2023, Daphne Shen, a purported stockholder of the Company, filed a proposed class action complaint for violation of federal securities laws, individually and putatively on behalf of all others similarly situated, in the U.S. District Court of the Southern District of New York against the Company, the Company’s former CEO and the Company’s former CFO. The complaint alleges violations of Section 10(b) and Rule 10b-5 of the Exchange Act, as well as violations of Section 20(a) of the Exchange Act against the individual defendants. The complaint seeks class certification, damages, interest, attorneys’ fees, and other relief. On December 13, 2023, Javier Cascallar filed a similar proposed class action. On January 2, 2024, six purported lead plaintiffs filed motions in the Shen litigation seeking to consolidate the Cascallar and Shen litigations and appoint lead plaintiffs and lead counsel pursuant to the procedures of the Private Securities Litigation Reform Act of 1995.</w:t>
      </w:r>
    </w:p>
    <w:p>
      <w:pPr>
        <w:pStyle w:val="TextBody"/>
        <w:bidi w:val="0"/>
        <w:spacing w:lineRule="auto" w:line="300" w:before="0" w:after="0"/>
        <w:jc w:val="left"/>
        <w:rPr/>
      </w:pPr>
      <w:r>
        <w:rPr/>
        <w:t> </w:t>
      </w:r>
    </w:p>
    <w:p>
      <w:pPr>
        <w:pStyle w:val="TextBody"/>
        <w:bidi w:val="0"/>
        <w:spacing w:lineRule="auto" w:line="300" w:before="0" w:after="0"/>
        <w:ind w:left="720" w:right="0" w:hanging="0"/>
        <w:jc w:val="both"/>
        <w:rPr>
          <w:rFonts w:ascii="Times New Roman;Times;serif" w:hAnsi="Times New Roman;Times;serif"/>
          <w:sz w:val="20"/>
        </w:rPr>
      </w:pPr>
      <w:r>
        <w:rPr>
          <w:rFonts w:ascii="Times New Roman;Times;serif" w:hAnsi="Times New Roman;Times;serif"/>
          <w:sz w:val="20"/>
        </w:rPr>
        <w:t>On February 7, 2024, the Court consolidated the two actions (the “Consolidated Securities Litigation”), and appointed co-lead plaintiffs (the “Plaintiffs”) and lead counsel. On April 22, 2024, the Plaintiffs filed an amended complaint adding two additional officers. The amended complaint made substantially similar allegations and claims. Defendants moved to dismiss the amended complaint on July 15, 2024 (the "Motion"), and the motion was fully briefed as of September 17, 2024. On December 4, 2024, the Court issued an order granting in part the Motion, dismissing all allegations except those relating to two purported misstatements, characterizing inventory levels as low. The Court allowed the Plaintiffs to again amend their complaint, and they filed a second amended complaint (the “Second Amended Complaint”) on January 3, 2025. On February 10, 2025, Defendants moved to dismiss the Second Amended Complaint insofar as it attempts to resurrect any of the allegations dismissed in the Court’s December 4, 2024 order. On April 7, 2025, the Court issued an order granting in part the second motion to dismiss, dismissing all allegations except those characterizing inventory levels as “low” and those relating to demand in Europe. Lead Plaintiffs filed a motion for class certification on October 17, 2025, and Defendants filed their opposition on January 16, 2026. Plaintiffs’ reply was due on February 20, 2026. The parties held a mediation on February 5, 2026 but no resolution was reached at that time. On March 20, 2026, the mediator made a double-blind settlement recommendation of $55,000, which was accepted by both parties on March 26, 2026. On April 21, 2026, Lead Plaintiffs’ counsel submitted a motion for preliminary approval of the settlement. On May 1, 2026, the Court preliminarily approved the settlement and scheduled a settlement hearing for August 24, 2026. The $55,000 settlement payment has already been paid into an escrow account by SolarEdge’s insurance carriers. The Company and the individual defendants deny all allegations of wrongdoing, and the settlement does not constitute any admission of liability.</w:t>
      </w:r>
    </w:p>
    <w:p>
      <w:pPr>
        <w:pStyle w:val="TextBody"/>
        <w:bidi w:val="0"/>
        <w:spacing w:lineRule="auto" w:line="300" w:before="0" w:after="0"/>
        <w:ind w:left="720" w:right="0" w:hanging="0"/>
        <w:jc w:val="both"/>
        <w:rPr/>
      </w:pPr>
      <w:r>
        <w:rPr/>
        <w:t> </w:t>
      </w:r>
    </w:p>
    <w:p>
      <w:pPr>
        <w:pStyle w:val="TextBody"/>
        <w:bidi w:val="0"/>
        <w:spacing w:lineRule="auto" w:line="300" w:before="200" w:after="283"/>
        <w:jc w:val="center"/>
        <w:rPr/>
      </w:pPr>
      <w:r>
        <w:rPr>
          <w:b w:val="false"/>
          <w:i w:val="false"/>
          <w:caps w:val="false"/>
          <w:smallCaps w:val="false"/>
        </w:rPr>
        <w:t xml:space="preserve">SOLAREDGE TECHNOLOGIES INC. | 2026 Form 10-Q | F - </w:t>
      </w:r>
      <w:r>
        <w:rPr>
          <w:rFonts w:ascii="Times New Roman;Times;serif" w:hAnsi="Times New Roman;Times;serif"/>
          <w:sz w:val="20"/>
        </w:rPr>
        <w:t>24</w:t>
      </w:r>
    </w:p>
    <w:p>
      <w:pPr>
        <w:pStyle w:val="HorizontalLine"/>
        <w:bidi w:val="0"/>
        <w:spacing w:lineRule="auto" w:line="300" w:before="0" w:after="0"/>
        <w:jc w:val="both"/>
        <w:rPr/>
      </w:pPr>
      <w:r>
        <w:rPr/>
      </w:r>
    </w:p>
    <w:p>
      <w:pPr>
        <w:pStyle w:val="TextBody"/>
        <w:bidi w:val="0"/>
        <w:spacing w:lineRule="auto" w:line="300" w:before="0" w:after="0"/>
        <w:jc w:val="both"/>
        <w:rPr/>
      </w:pPr>
      <w:r>
        <w:rPr/>
        <w:t> </w:t>
      </w:r>
    </w:p>
    <w:p>
      <w:pPr>
        <w:pStyle w:val="TextBody"/>
        <w:bidi w:val="0"/>
        <w:spacing w:lineRule="auto" w:line="300" w:before="0" w:after="0"/>
        <w:ind w:left="360" w:right="360" w:hanging="0"/>
        <w:jc w:val="center"/>
        <w:rPr>
          <w:b/>
        </w:rPr>
      </w:pPr>
      <w:r>
        <w:rPr>
          <w:b/>
        </w:rPr>
        <w:t>SOLAREDGE TECHNOLOGIES, INC.</w:t>
      </w:r>
    </w:p>
    <w:p>
      <w:pPr>
        <w:pStyle w:val="TextBody"/>
        <w:bidi w:val="0"/>
        <w:spacing w:lineRule="auto" w:line="300" w:before="0" w:after="0"/>
        <w:jc w:val="both"/>
        <w:rPr/>
      </w:pPr>
      <w:r>
        <w:rPr/>
        <w:t> </w:t>
      </w:r>
    </w:p>
    <w:p>
      <w:pPr>
        <w:pStyle w:val="TextBody"/>
        <w:bidi w:val="0"/>
        <w:spacing w:lineRule="auto" w:line="300" w:before="0" w:after="0"/>
        <w:ind w:left="360" w:right="360" w:hanging="0"/>
        <w:jc w:val="center"/>
        <w:rPr>
          <w:b/>
        </w:rPr>
      </w:pPr>
      <w:r>
        <w:rPr>
          <w:b/>
        </w:rPr>
        <w:t>NOTES TO CONDENSED CONSOLIDATED FINANCIAL STATEMENTS (Unaudited)</w:t>
      </w:r>
    </w:p>
    <w:p>
      <w:pPr>
        <w:pStyle w:val="TextBody"/>
        <w:bidi w:val="0"/>
        <w:spacing w:lineRule="auto" w:line="300" w:before="0" w:after="0"/>
        <w:jc w:val="both"/>
        <w:rPr/>
      </w:pPr>
      <w:r>
        <w:rPr/>
        <w:t> </w:t>
      </w:r>
    </w:p>
    <w:p>
      <w:pPr>
        <w:pStyle w:val="TextBody"/>
        <w:bidi w:val="0"/>
        <w:spacing w:lineRule="auto" w:line="300"/>
        <w:ind w:left="360" w:right="360" w:hanging="0"/>
        <w:jc w:val="center"/>
        <w:rPr/>
      </w:pPr>
      <w:r>
        <w:rPr>
          <w:b/>
        </w:rPr>
        <w:t>(in thousands, except per share data</w:t>
      </w:r>
      <w:r>
        <w:rPr/>
        <w:t>)</w:t>
      </w:r>
    </w:p>
    <w:p>
      <w:pPr>
        <w:pStyle w:val="TextBody"/>
        <w:bidi w:val="0"/>
        <w:spacing w:lineRule="auto" w:line="300" w:before="0" w:after="0"/>
        <w:jc w:val="both"/>
        <w:rPr/>
      </w:pPr>
      <w:r>
        <w:rPr/>
        <w:t> </w:t>
      </w:r>
    </w:p>
    <w:p>
      <w:pPr>
        <w:pStyle w:val="TextBody"/>
        <w:bidi w:val="0"/>
        <w:spacing w:lineRule="auto" w:line="300" w:before="0" w:after="0"/>
        <w:ind w:left="720" w:right="0" w:hanging="0"/>
        <w:jc w:val="both"/>
        <w:rPr>
          <w:rFonts w:ascii="Times New Roman;Times;serif" w:hAnsi="Times New Roman;Times;serif"/>
          <w:sz w:val="20"/>
        </w:rPr>
      </w:pPr>
      <w:r>
        <w:rPr>
          <w:rFonts w:ascii="Times New Roman;Times;serif" w:hAnsi="Times New Roman;Times;serif"/>
          <w:sz w:val="20"/>
        </w:rPr>
        <w:t>On March 15, 2024, Abdul Hirani filed a purported derivative complaint (the “Hirani Complaint”) in the U.S. District Court for the Southern District of New York against certain current and former SolarEdge executive officers and board members, including Zvi Lando, Ronen Faier, Nadav Zafrir, Betsy Atkins, Marcel Gani, Dana Gross, Dirk Hoke, Avery More, and Tal Payne. The Hirani Complaint makes largely the same allegations as those in the Consolidated Securities Litigation. The Hirani Complaint brings claims for (i) breach of fiduciary duty, (ii) aiding and abetting breach of fiduciary duty, (iii) unjust enrichment, (iv) waste of corporate assets, and (v) securities fraud under Section 10(b) of the Exchange Act. The complaint seeks compensatory and punitive damages, interest, attorneys’ fees, and other relief.</w:t>
      </w:r>
    </w:p>
    <w:p>
      <w:pPr>
        <w:pStyle w:val="TextBody"/>
        <w:bidi w:val="0"/>
        <w:spacing w:lineRule="auto" w:line="300" w:before="0" w:after="0"/>
        <w:jc w:val="left"/>
        <w:rPr/>
      </w:pPr>
      <w:r>
        <w:rPr/>
        <w:t> </w:t>
      </w:r>
    </w:p>
    <w:p>
      <w:pPr>
        <w:pStyle w:val="TextBody"/>
        <w:bidi w:val="0"/>
        <w:spacing w:lineRule="auto" w:line="300" w:before="0" w:after="0"/>
        <w:ind w:left="720" w:right="0" w:hanging="0"/>
        <w:jc w:val="both"/>
        <w:rPr>
          <w:rFonts w:ascii="Times New Roman;Times;serif" w:hAnsi="Times New Roman;Times;serif"/>
          <w:sz w:val="20"/>
        </w:rPr>
      </w:pPr>
      <w:r>
        <w:rPr>
          <w:rFonts w:ascii="Times New Roman;Times;serif" w:hAnsi="Times New Roman;Times;serif"/>
          <w:sz w:val="20"/>
        </w:rPr>
        <w:t>On June 10, 2024, Jonathan Blaufarb filed a second purported derivative complaint (the “Blaufarb Complaint”) in the U.S. District Court for the Southern District of New York against the same defendants as those named in the Hirani Complaint as well as Lior Danziger and J.B. Lowe. The Blaufarb Complaint makes largely the same allegations as those in the complaint in the Consolidated Securities Litigation and seeks declaratory relief, corporate governance reforms, damages, restitution, attorneys’ fees, and other relief. It also pleads the same counts as those in the Hirani Complaint, as well as additional counts for abuse of control and gross mismanagement. Defendants accepted service of the Hirani and Blaufarb complaints via stipulation that was so-ordered on July 12, 2024, and the two cases were consolidated with the Hirani matter designated as the lead case (together, the “Consolidated Derivative Actions”). On September 9, 2024 the parties agreed to stay the Hirani and Blaufarb actions pending a decision on the motion to dismiss in the Consolidated Securities Litigation. Following the decision granting in part and denying in part the motion to dismiss the Second Amended Complaint in the Consolidated Securities Litigation, the parties entered into a new stipulation on June 20, 2025, staying this consolidated derivative action through the close of fact discovery in the Consolidated Securities Litigation.</w:t>
      </w:r>
    </w:p>
    <w:p>
      <w:pPr>
        <w:pStyle w:val="TextBody"/>
        <w:bidi w:val="0"/>
        <w:spacing w:lineRule="auto" w:line="300" w:before="0" w:after="0"/>
        <w:jc w:val="left"/>
        <w:rPr/>
      </w:pPr>
      <w:r>
        <w:rPr/>
        <w:t> </w:t>
      </w:r>
    </w:p>
    <w:p>
      <w:pPr>
        <w:pStyle w:val="TextBody"/>
        <w:bidi w:val="0"/>
        <w:spacing w:lineRule="auto" w:line="300"/>
        <w:ind w:left="720" w:right="0" w:hanging="0"/>
        <w:jc w:val="both"/>
        <w:rPr/>
      </w:pPr>
      <w:r>
        <w:rPr>
          <w:rFonts w:ascii="Times New Roman;Times;serif" w:hAnsi="Times New Roman;Times;serif"/>
          <w:sz w:val="20"/>
        </w:rPr>
        <w:t>On August 7, 2024, Edwin Isaac filed a purported derivative complaint (the “Isaac Complaint”) in the U.S. District Court for the District of Delaware against the same defendants as those named in the Consolidated Derivative Actions. The Isaac Complaint makes largely the same allegations as those in the Consolidated Securities Litigation. It also pleads the similar counts to those in the Consolidated Securities Litigation, including (i) breach of fiduciary duty, (ii) contribution, (iii) violation of Section 14(a) of the Exchange Act and SEC Rule 14a-9, (iv) unjust enrichment, (v) waste of corporate assets, and (vi) aiding and abetting breach of fiduciary duty. The complaint seeks declaratory relief, damages, interest, unspecified equitable relief, attorneys’ fees, and other relief. The parties filed a stipulation on June 30, 2025, agreeing to stay the Isaac matter through the close of fact discovery in the Consolidated Securities Litigation.</w:t>
      </w:r>
      <w:r>
        <w:rPr/>
        <w:t xml:space="preserve"> </w:t>
      </w:r>
    </w:p>
    <w:p>
      <w:pPr>
        <w:pStyle w:val="TextBody"/>
        <w:bidi w:val="0"/>
        <w:spacing w:lineRule="auto" w:line="300" w:before="0" w:after="0"/>
        <w:ind w:left="720" w:right="0" w:hanging="0"/>
        <w:jc w:val="both"/>
        <w:rPr/>
      </w:pPr>
      <w:r>
        <w:rPr/>
        <w:t> </w:t>
      </w:r>
      <w:r>
        <w:rPr>
          <w:rFonts w:ascii="Times New Roman;Times;serif" w:hAnsi="Times New Roman;Times;serif"/>
          <w:sz w:val="20"/>
        </w:rPr>
        <w:br/>
        <w:t>On May 22, 2025, Mike Maddox, a purported shareholder, filed a derivative complaint (the “Maddox Complaint”) in the U.S. District Court for the Southern District of New York against the same Defendants as those named in the earlier-filed derivative actions. The Maddox Complaint makes largely the same allegations as those in the Consolidated Securities Litigation and the other derivative actions. It also pleads similar counts to those in the other derivative actions, including (i) breach of fiduciary duty, (ii) gross mismanagement, (iii) waste of corporate assets, (iv) unjust enrichment, and (v) violation of Section 14(a) of the Exchange Act. The parties filed a stipulation on July 21, 2025, agreeing to stay the Maddox Complaint through the close of fact discovery in the Consolidated Securities Litigation.</w:t>
      </w:r>
    </w:p>
    <w:p>
      <w:pPr>
        <w:pStyle w:val="TextBody"/>
        <w:bidi w:val="0"/>
        <w:spacing w:lineRule="auto" w:line="300" w:before="0" w:after="0"/>
        <w:ind w:left="720" w:right="0" w:hanging="0"/>
        <w:jc w:val="left"/>
        <w:rPr/>
      </w:pPr>
      <w:r>
        <w:rPr/>
        <w:t> </w:t>
      </w:r>
    </w:p>
    <w:p>
      <w:pPr>
        <w:pStyle w:val="TextBody"/>
        <w:bidi w:val="0"/>
        <w:spacing w:lineRule="auto" w:line="300" w:before="0" w:after="0"/>
        <w:ind w:left="720" w:right="0" w:hanging="0"/>
        <w:jc w:val="both"/>
        <w:rPr>
          <w:rFonts w:ascii="Times New Roman;Times;serif" w:hAnsi="Times New Roman;Times;serif"/>
          <w:sz w:val="20"/>
        </w:rPr>
      </w:pPr>
      <w:r>
        <w:rPr>
          <w:rFonts w:ascii="Times New Roman;Times;serif" w:hAnsi="Times New Roman;Times;serif"/>
          <w:sz w:val="20"/>
        </w:rPr>
        <w:t>On September 9, 2025, Jerald F. Chauncey, Jr. filed a complaint (the “Chauncey Complaint”) in the Delaware Court of Chancery, against the same defendants as those named in the other derivative actions. The Chauncey Complaint makes largely the same allegations as those in the Consolidated Securities Litigation and other derivative actions. It also pleads similar counts to those in other derivative actions, including (i) breach of fiduciary duty, (ii) unjust enrichment, and (iii) waste of corporate assets.  The parties filed a stipulation on October 7, 2025, agreeing to stay the Chauncey matter through the close of fact discovery in the Consolidated Securities Litigation.</w:t>
      </w:r>
    </w:p>
    <w:p>
      <w:pPr>
        <w:pStyle w:val="TextBody"/>
        <w:bidi w:val="0"/>
        <w:spacing w:lineRule="auto" w:line="300" w:before="0" w:after="0"/>
        <w:ind w:left="720" w:right="0" w:hanging="0"/>
        <w:jc w:val="both"/>
        <w:rPr/>
      </w:pPr>
      <w:r>
        <w:rPr/>
        <w:t> </w:t>
      </w:r>
    </w:p>
    <w:p>
      <w:pPr>
        <w:pStyle w:val="TextBody"/>
        <w:bidi w:val="0"/>
        <w:spacing w:lineRule="auto" w:line="300" w:before="0" w:after="0"/>
        <w:ind w:left="720" w:right="0" w:hanging="0"/>
        <w:jc w:val="both"/>
        <w:rPr>
          <w:rFonts w:ascii="Times New Roman;Times;serif" w:hAnsi="Times New Roman;Times;serif"/>
          <w:sz w:val="20"/>
        </w:rPr>
      </w:pPr>
      <w:r>
        <w:rPr>
          <w:rFonts w:ascii="Times New Roman;Times;serif" w:hAnsi="Times New Roman;Times;serif"/>
          <w:sz w:val="20"/>
        </w:rPr>
        <w:t>On July 29, 2026, Sara Per (“Per”) filed a purported derivative complaint in the Delaware Court of Chancery against the same Defendants as those named in the Consolidated Derivative Action. The Per complaint makes largely the same allegations as those in the Securities Litigation and the other derivative actions. It also pleads similar counts to those in the Consolidated Derivative Action, including (i) breach of fiduciary duty, (ii) gross mismanagement, (iii) waste of corporate assets, and (iv) unjust enrichment. The parties intend to file a stipulation agreeing to stay the Per matter through the close of fact discovery in the Consolidated Securities Litigation.</w:t>
      </w:r>
    </w:p>
    <w:p>
      <w:pPr>
        <w:pStyle w:val="TextBody"/>
        <w:bidi w:val="0"/>
        <w:spacing w:lineRule="auto" w:line="300" w:before="0" w:after="0"/>
        <w:ind w:left="720" w:right="0" w:hanging="0"/>
        <w:jc w:val="both"/>
        <w:rPr/>
      </w:pPr>
      <w:r>
        <w:rPr/>
        <w:t> </w:t>
      </w:r>
    </w:p>
    <w:p>
      <w:pPr>
        <w:pStyle w:val="TextBody"/>
        <w:bidi w:val="0"/>
        <w:spacing w:lineRule="auto" w:line="300" w:before="0" w:after="0"/>
        <w:ind w:left="720" w:right="0" w:hanging="0"/>
        <w:jc w:val="both"/>
        <w:rPr>
          <w:rFonts w:ascii="Times New Roman;Times;serif" w:hAnsi="Times New Roman;Times;serif"/>
          <w:sz w:val="20"/>
        </w:rPr>
      </w:pPr>
      <w:r>
        <w:rPr>
          <w:rFonts w:ascii="Times New Roman;Times;serif" w:hAnsi="Times New Roman;Times;serif"/>
          <w:sz w:val="20"/>
        </w:rPr>
        <w:t>On July 30, 2026, Andres Bolin Rivera (“Rivera”) filed a purported derivative complaint in the U.S. District Court for the District of Delaware against the same Defendants as those named in the Consolidated Derivative Action. The Rivera complaint, which is currently filed under seal, likely makes largely the same allegations as those in the Securities Litigation and the other derivative actions. The parties intend to file a stipulation agreeing to stay the Rivera matter through the close of fact discovery in the Securities Litigation.</w:t>
      </w:r>
    </w:p>
    <w:p>
      <w:pPr>
        <w:pStyle w:val="TextBody"/>
        <w:bidi w:val="0"/>
        <w:spacing w:lineRule="auto" w:line="300" w:before="0" w:after="0"/>
        <w:jc w:val="left"/>
        <w:rPr/>
      </w:pPr>
      <w:r>
        <w:rPr/>
        <w:t> </w:t>
      </w:r>
    </w:p>
    <w:p>
      <w:pPr>
        <w:pStyle w:val="TextBody"/>
        <w:bidi w:val="0"/>
        <w:spacing w:lineRule="auto" w:line="300" w:before="0" w:after="0"/>
        <w:ind w:left="720" w:right="0" w:hanging="0"/>
        <w:jc w:val="both"/>
        <w:rPr>
          <w:rFonts w:ascii="Times New Roman;Times;serif" w:hAnsi="Times New Roman;Times;serif"/>
          <w:sz w:val="20"/>
        </w:rPr>
      </w:pPr>
      <w:r>
        <w:rPr>
          <w:rFonts w:ascii="Times New Roman;Times;serif" w:hAnsi="Times New Roman;Times;serif"/>
          <w:sz w:val="20"/>
        </w:rPr>
        <w:t>On January 13, 2025, Stellantis Europe S.p.A. (“Stellantis”) submitted an application for injunctive relief, to the Court of Turin, Italy, claiming that SolarEdge e-Mobility was allegedly in breach of contract. The application for injunctive relief is aimed at obtaining the following interim measures: (i) to order the Company to resume supply of spare parts and technical assistance activities in favor of Stellantis; and (ii) to order the Company to pay a penalty of 100,000 EUR for each day of delay in fulfilling the order above. At a hearing on February 25, 2025 the parties discussed the case. On May 8, 2025, the court denied Stellantis’ request for injunction and on July 2, 2025 Stellantis appealed. A hearing on the appeal was held on March 13, 2026, and by an order issued on May 6, 2026, the Court of Turin rejected the appeal filed by Stellantis. On February 11, 2026, the Company completed the sale of SolarEdge e-Mobility.</w:t>
      </w:r>
    </w:p>
    <w:p>
      <w:pPr>
        <w:pStyle w:val="TextBody"/>
        <w:bidi w:val="0"/>
        <w:spacing w:lineRule="auto" w:line="300" w:before="0" w:after="0"/>
        <w:jc w:val="left"/>
        <w:rPr/>
      </w:pPr>
      <w:r>
        <w:rPr/>
        <w:t> </w:t>
      </w:r>
    </w:p>
    <w:p>
      <w:pPr>
        <w:pStyle w:val="TextBody"/>
        <w:bidi w:val="0"/>
        <w:spacing w:lineRule="auto" w:line="300" w:before="0" w:after="0"/>
        <w:ind w:left="720" w:right="0" w:hanging="0"/>
        <w:jc w:val="both"/>
        <w:rPr>
          <w:rFonts w:ascii="Times New Roman;Times;serif" w:hAnsi="Times New Roman;Times;serif"/>
          <w:sz w:val="20"/>
        </w:rPr>
      </w:pPr>
      <w:r>
        <w:rPr>
          <w:rFonts w:ascii="Times New Roman;Times;serif" w:hAnsi="Times New Roman;Times;serif"/>
          <w:sz w:val="20"/>
        </w:rPr>
        <w:t>On September 15, 2025, Ampt, LLC (“Ampt”) filed a lawsuit in the District of Delaware seeking to enforce an agreement between Ampt and the Company. The Company had invoked a force majeure clause in relation to its performance of the agreement, valued at $54 million over a period of five years, in October 2023. The Company filed an answer on December 1, 2025, and the court ordered a disclosure schedule to begin in January 2026. The case is scheduled for trial on November 1, 2027. On January 5, 2026, the parties met for mediation, which has been inconclusive. Fact discovery commenced during the first half of 2026. The Company disputes the allegations and intends to vigorously defend against them.</w:t>
      </w:r>
    </w:p>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sz w:val="20"/>
        </w:rPr>
      </w:pPr>
      <w:r>
        <w:rPr>
          <w:rFonts w:ascii="Times New Roman;Times;serif" w:hAnsi="Times New Roman;Times;serif"/>
          <w:sz w:val="20"/>
        </w:rPr>
        <w:t>d.          Tariff contingencies:</w:t>
      </w:r>
    </w:p>
    <w:p>
      <w:pPr>
        <w:pStyle w:val="TextBody"/>
        <w:bidi w:val="0"/>
        <w:spacing w:lineRule="auto" w:line="300" w:before="0" w:after="0"/>
        <w:jc w:val="left"/>
        <w:rPr/>
      </w:pPr>
      <w:r>
        <w:rPr/>
        <w:t> </w:t>
      </w:r>
    </w:p>
    <w:p>
      <w:pPr>
        <w:pStyle w:val="TextBody"/>
        <w:bidi w:val="0"/>
        <w:spacing w:lineRule="auto" w:line="300"/>
        <w:ind w:left="720" w:right="0" w:hanging="0"/>
        <w:jc w:val="both"/>
        <w:rPr>
          <w:rFonts w:ascii="Times New Roman;Times;serif" w:hAnsi="Times New Roman;Times;serif"/>
          <w:sz w:val="20"/>
        </w:rPr>
      </w:pPr>
      <w:r>
        <w:rPr>
          <w:rFonts w:ascii="Times New Roman;Times;serif" w:hAnsi="Times New Roman;Times;serif"/>
          <w:sz w:val="20"/>
        </w:rPr>
        <w:t>On February 20, 2026, the Supreme Court of the United States invalidated certain tariffs imposed under the International Emergency Economic Powers Act ("IEEPA"). Following the decision and subsequent actions by U.S. Customs and Border Protection ("CBP"), the Company became eligible to claim refunds of previously paid IEEPA-related duties. The Company accounts for refunds of previously paid IEEPA tariffs by applying a gain contingency model and recognizes such refunds only when the gain is realized or realizable. In the three and six months ended June 30, 2026, the Company received and recognized refunds and associated interest of $13,606 from CBP related to tariffs paid during fiscal 2025 and the first quarter of fiscal 2026, of which $13,282 was recognized as a reduction to cost of revenues and $324 was recognized as interest income in the three and six months ended June 30, 2026.</w:t>
      </w:r>
    </w:p>
    <w:p>
      <w:pPr>
        <w:pStyle w:val="TextBody"/>
        <w:bidi w:val="0"/>
        <w:spacing w:before="0" w:after="0"/>
        <w:jc w:val="left"/>
        <w:rPr/>
      </w:pPr>
      <w:r>
        <w:rPr/>
        <w:t> </w:t>
      </w:r>
    </w:p>
    <w:p>
      <w:pPr>
        <w:pStyle w:val="TextBody"/>
        <w:bidi w:val="0"/>
        <w:spacing w:before="200" w:after="283"/>
        <w:jc w:val="center"/>
        <w:rPr/>
      </w:pPr>
      <w:r>
        <w:rPr>
          <w:b w:val="false"/>
          <w:i w:val="false"/>
          <w:caps w:val="false"/>
          <w:smallCaps w:val="false"/>
        </w:rPr>
        <w:t xml:space="preserve">SOLAREDGE TECHNOLOGIES INC. | 2026 Form 10-Q | F - </w:t>
      </w:r>
      <w:r>
        <w:rPr>
          <w:rFonts w:ascii="Times New Roman;Times;serif" w:hAnsi="Times New Roman;Times;serif"/>
          <w:sz w:val="20"/>
        </w:rPr>
        <w:t>25</w:t>
      </w:r>
    </w:p>
    <w:p>
      <w:pPr>
        <w:pStyle w:val="HorizontalLine"/>
        <w:bidi w:val="0"/>
        <w:spacing w:before="0" w:after="0"/>
        <w:jc w:val="left"/>
        <w:rPr/>
      </w:pPr>
      <w:r>
        <w:rPr/>
      </w:r>
    </w:p>
    <w:p>
      <w:pPr>
        <w:pStyle w:val="TextBody"/>
        <w:bidi w:val="0"/>
        <w:spacing w:before="0" w:after="0"/>
        <w:jc w:val="left"/>
        <w:rPr/>
      </w:pPr>
      <w:r>
        <w:rPr/>
        <w:t> </w:t>
      </w:r>
    </w:p>
    <w:p>
      <w:pPr>
        <w:pStyle w:val="TextBody"/>
        <w:bidi w:val="0"/>
        <w:spacing w:lineRule="auto" w:line="300" w:before="0" w:after="0"/>
        <w:ind w:left="360" w:right="360" w:hanging="0"/>
        <w:jc w:val="center"/>
        <w:rPr>
          <w:b/>
        </w:rPr>
      </w:pPr>
      <w:r>
        <w:rPr>
          <w:b/>
        </w:rPr>
        <w:t>SOLAREDGE TECHNOLOGIES, INC.</w:t>
      </w:r>
    </w:p>
    <w:p>
      <w:pPr>
        <w:pStyle w:val="TextBody"/>
        <w:bidi w:val="0"/>
        <w:spacing w:lineRule="auto" w:line="300" w:before="0" w:after="0"/>
        <w:jc w:val="left"/>
        <w:rPr/>
      </w:pPr>
      <w:r>
        <w:rPr/>
        <w:t> </w:t>
      </w:r>
    </w:p>
    <w:p>
      <w:pPr>
        <w:pStyle w:val="TextBody"/>
        <w:bidi w:val="0"/>
        <w:spacing w:lineRule="auto" w:line="300" w:before="0" w:after="0"/>
        <w:ind w:left="360" w:right="360" w:hanging="0"/>
        <w:jc w:val="center"/>
        <w:rPr>
          <w:b/>
        </w:rPr>
      </w:pPr>
      <w:r>
        <w:rPr>
          <w:b/>
        </w:rPr>
        <w:t>NOTES TO CONDENSED CONSOLIDATED FINANCIAL STATEMENTS (Unaudited)</w:t>
      </w:r>
    </w:p>
    <w:p>
      <w:pPr>
        <w:pStyle w:val="TextBody"/>
        <w:bidi w:val="0"/>
        <w:spacing w:lineRule="auto" w:line="300" w:before="0" w:after="0"/>
        <w:jc w:val="left"/>
        <w:rPr/>
      </w:pPr>
      <w:r>
        <w:rPr/>
        <w:t> </w:t>
      </w:r>
    </w:p>
    <w:p>
      <w:pPr>
        <w:pStyle w:val="TextBody"/>
        <w:bidi w:val="0"/>
        <w:spacing w:lineRule="auto" w:line="300"/>
        <w:ind w:left="360" w:right="360" w:hanging="0"/>
        <w:jc w:val="center"/>
        <w:rPr/>
      </w:pPr>
      <w:r>
        <w:rPr>
          <w:b/>
        </w:rPr>
        <w:t>(in thousands, except per share data</w:t>
      </w:r>
      <w:r>
        <w:rPr/>
        <w:t>)</w:t>
      </w:r>
    </w:p>
    <w:p>
      <w:pPr>
        <w:pStyle w:val="TextBody"/>
        <w:bidi w:val="0"/>
        <w:spacing w:before="0" w:after="0"/>
        <w:jc w:val="left"/>
        <w:rPr/>
      </w:pPr>
      <w:r>
        <w:rPr/>
        <w:t> </w:t>
      </w:r>
    </w:p>
    <w:p>
      <w:pPr>
        <w:pStyle w:val="TextBody"/>
        <w:bidi w:val="0"/>
        <w:spacing w:lineRule="auto" w:line="300" w:before="0" w:after="0"/>
        <w:jc w:val="left"/>
        <w:rPr>
          <w:rFonts w:ascii="Times New Roman;Times;serif" w:hAnsi="Times New Roman;Times;serif"/>
          <w:b/>
          <w:sz w:val="20"/>
        </w:rPr>
      </w:pPr>
      <w:r>
        <w:rPr>
          <w:rFonts w:ascii="Times New Roman;Times;serif" w:hAnsi="Times New Roman;Times;serif"/>
          <w:b/>
          <w:sz w:val="20"/>
        </w:rPr>
        <w:t>NOTE 15:     ACCUMULATED OTHER COMPREHENSIVE INCOME (LOSS)</w:t>
      </w:r>
    </w:p>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sz w:val="20"/>
        </w:rPr>
      </w:pPr>
      <w:r>
        <w:rPr>
          <w:rFonts w:ascii="Times New Roman;Times;serif" w:hAnsi="Times New Roman;Times;serif"/>
          <w:sz w:val="20"/>
        </w:rPr>
        <w:t>The following table summarizes the changes in accumulated balances of other comprehensive loss, net of taxes:</w:t>
      </w:r>
    </w:p>
    <w:p>
      <w:pPr>
        <w:pStyle w:val="TextBody"/>
        <w:bidi w:val="0"/>
        <w:spacing w:lineRule="auto" w:line="300" w:before="0" w:after="0"/>
        <w:jc w:val="both"/>
        <w:rPr/>
      </w:pPr>
      <w:r>
        <w:rPr/>
        <w:t> </w:t>
      </w:r>
    </w:p>
    <w:tbl>
      <w:tblPr>
        <w:tblW w:w="10205" w:type="dxa"/>
        <w:jc w:val="left"/>
        <w:tblInd w:w="0" w:type="dxa"/>
        <w:tblLayout w:type="fixed"/>
        <w:tblCellMar>
          <w:top w:w="0" w:type="dxa"/>
          <w:left w:w="0" w:type="dxa"/>
          <w:bottom w:w="0" w:type="dxa"/>
          <w:right w:w="0" w:type="dxa"/>
        </w:tblCellMar>
      </w:tblPr>
      <w:tblGrid>
        <w:gridCol w:w="5717"/>
        <w:gridCol w:w="60"/>
        <w:gridCol w:w="163"/>
        <w:gridCol w:w="714"/>
        <w:gridCol w:w="104"/>
        <w:gridCol w:w="78"/>
        <w:gridCol w:w="163"/>
        <w:gridCol w:w="852"/>
        <w:gridCol w:w="80"/>
        <w:gridCol w:w="60"/>
        <w:gridCol w:w="137"/>
        <w:gridCol w:w="833"/>
        <w:gridCol w:w="88"/>
        <w:gridCol w:w="66"/>
        <w:gridCol w:w="154"/>
        <w:gridCol w:w="833"/>
        <w:gridCol w:w="103"/>
      </w:tblGrid>
      <w:tr>
        <w:trPr/>
        <w:tc>
          <w:tcPr>
            <w:tcW w:w="571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74" w:type="dxa"/>
            <w:gridSpan w:val="6"/>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Three Months Ended June 30,</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11" w:type="dxa"/>
            <w:gridSpan w:val="6"/>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Six Months Ended June 30,</w:t>
            </w:r>
          </w:p>
        </w:tc>
        <w:tc>
          <w:tcPr>
            <w:tcW w:w="103" w:type="dxa"/>
            <w:tcBorders/>
            <w:vAlign w:val="center"/>
          </w:tcPr>
          <w:p>
            <w:pPr>
              <w:pStyle w:val="TableContents"/>
              <w:bidi w:val="0"/>
              <w:spacing w:before="0" w:after="283"/>
              <w:jc w:val="left"/>
              <w:rPr/>
            </w:pPr>
            <w:r>
              <w:rPr/>
              <w:t> </w:t>
            </w:r>
          </w:p>
        </w:tc>
      </w:tr>
      <w:tr>
        <w:trPr/>
        <w:tc>
          <w:tcPr>
            <w:tcW w:w="571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7"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2026</w:t>
            </w:r>
          </w:p>
        </w:tc>
        <w:tc>
          <w:tcPr>
            <w:tcW w:w="104"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pPr>
            <w:r>
              <w:rPr/>
              <w:t> </w:t>
            </w:r>
          </w:p>
        </w:tc>
        <w:tc>
          <w:tcPr>
            <w:tcW w:w="1015"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2025</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70"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2026</w:t>
            </w:r>
          </w:p>
        </w:tc>
        <w:tc>
          <w:tcPr>
            <w:tcW w:w="88" w:type="dxa"/>
            <w:tcBorders/>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283"/>
              <w:jc w:val="left"/>
              <w:rPr/>
            </w:pPr>
            <w:r>
              <w:rPr/>
              <w:t> </w:t>
            </w:r>
          </w:p>
        </w:tc>
        <w:tc>
          <w:tcPr>
            <w:tcW w:w="987"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2025</w:t>
            </w:r>
          </w:p>
        </w:tc>
        <w:tc>
          <w:tcPr>
            <w:tcW w:w="103" w:type="dxa"/>
            <w:tcBorders/>
            <w:vAlign w:val="center"/>
          </w:tcPr>
          <w:p>
            <w:pPr>
              <w:pStyle w:val="TableContents"/>
              <w:bidi w:val="0"/>
              <w:spacing w:before="0" w:after="283"/>
              <w:jc w:val="left"/>
              <w:rPr/>
            </w:pPr>
            <w:r>
              <w:rPr/>
              <w:t> </w:t>
            </w:r>
          </w:p>
        </w:tc>
      </w:tr>
      <w:tr>
        <w:trPr/>
        <w:tc>
          <w:tcPr>
            <w:tcW w:w="5717" w:type="dxa"/>
            <w:tcBorders/>
            <w:shd w:fill="CCEEFF" w:val="clear"/>
            <w:vAlign w:val="center"/>
          </w:tcPr>
          <w:p>
            <w:pPr>
              <w:pStyle w:val="TableContents"/>
              <w:bidi w:val="0"/>
              <w:spacing w:lineRule="auto" w:line="300" w:before="0" w:after="0"/>
              <w:jc w:val="left"/>
              <w:rPr>
                <w:rFonts w:ascii="Times New Roman;Times;serif" w:hAnsi="Times New Roman;Times;serif"/>
                <w:b/>
                <w:sz w:val="20"/>
              </w:rPr>
            </w:pPr>
            <w:r>
              <w:rPr>
                <w:rFonts w:ascii="Times New Roman;Times;serif" w:hAnsi="Times New Roman;Times;serif"/>
                <w:b/>
                <w:sz w:val="20"/>
              </w:rPr>
              <w:t>Unrealized gains (losses) on available-for-sale marketable securities</w:t>
            </w:r>
          </w:p>
        </w:tc>
        <w:tc>
          <w:tcPr>
            <w:tcW w:w="60" w:type="dxa"/>
            <w:tcBorders/>
            <w:shd w:fill="CCEEFF" w:val="clear"/>
            <w:vAlign w:val="center"/>
          </w:tcPr>
          <w:p>
            <w:pPr>
              <w:pStyle w:val="TableContents"/>
              <w:bidi w:val="0"/>
              <w:spacing w:before="0" w:after="283"/>
              <w:jc w:val="left"/>
              <w:rPr/>
            </w:pPr>
            <w:r>
              <w:rPr/>
              <w:t> </w:t>
            </w:r>
          </w:p>
        </w:tc>
        <w:tc>
          <w:tcPr>
            <w:tcW w:w="877" w:type="dxa"/>
            <w:gridSpan w:val="2"/>
            <w:tcBorders/>
            <w:shd w:fill="CCEEFF" w:val="clear"/>
            <w:vAlign w:val="center"/>
          </w:tcPr>
          <w:p>
            <w:pPr>
              <w:pStyle w:val="TableContents"/>
              <w:bidi w:val="0"/>
              <w:spacing w:before="0" w:after="283"/>
              <w:jc w:val="left"/>
              <w:rPr/>
            </w:pPr>
            <w:r>
              <w:rPr/>
              <w:t> </w:t>
            </w:r>
          </w:p>
        </w:tc>
        <w:tc>
          <w:tcPr>
            <w:tcW w:w="104"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015" w:type="dxa"/>
            <w:gridSpan w:val="2"/>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70" w:type="dxa"/>
            <w:gridSpan w:val="2"/>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987" w:type="dxa"/>
            <w:gridSpan w:val="2"/>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r>
      <w:tr>
        <w:trPr/>
        <w:tc>
          <w:tcPr>
            <w:tcW w:w="5717"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Beginning balance</w:t>
            </w:r>
          </w:p>
        </w:tc>
        <w:tc>
          <w:tcPr>
            <w:tcW w:w="60" w:type="dxa"/>
            <w:tcBorders/>
            <w:vAlign w:val="center"/>
          </w:tcPr>
          <w:p>
            <w:pPr>
              <w:pStyle w:val="TableContents"/>
              <w:bidi w:val="0"/>
              <w:spacing w:before="0" w:after="283"/>
              <w:jc w:val="left"/>
              <w:rPr/>
            </w:pPr>
            <w:r>
              <w:rPr/>
              <w:t> </w:t>
            </w:r>
          </w:p>
        </w:tc>
        <w:tc>
          <w:tcPr>
            <w:tcW w:w="163"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714"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(198</w:t>
            </w:r>
          </w:p>
        </w:tc>
        <w:tc>
          <w:tcPr>
            <w:tcW w:w="104"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78" w:type="dxa"/>
            <w:tcBorders/>
            <w:vAlign w:val="center"/>
          </w:tcPr>
          <w:p>
            <w:pPr>
              <w:pStyle w:val="TableContents"/>
              <w:bidi w:val="0"/>
              <w:spacing w:before="0" w:after="283"/>
              <w:jc w:val="left"/>
              <w:rPr/>
            </w:pPr>
            <w:r>
              <w:rPr/>
              <w:t> </w:t>
            </w:r>
          </w:p>
        </w:tc>
        <w:tc>
          <w:tcPr>
            <w:tcW w:w="163"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852"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96</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833" w:type="dxa"/>
            <w:tcBorders/>
            <w:vAlign w:val="center"/>
          </w:tcPr>
          <w:p>
            <w:pPr>
              <w:pStyle w:val="TableContents"/>
              <w:bidi w:val="0"/>
              <w:spacing w:lineRule="auto" w:line="300" w:before="0" w:after="0"/>
              <w:jc w:val="right"/>
              <w:rPr/>
            </w:pPr>
            <w:r>
              <w:rPr/>
              <w:t>194</w:t>
            </w:r>
          </w:p>
        </w:tc>
        <w:tc>
          <w:tcPr>
            <w:tcW w:w="88" w:type="dxa"/>
            <w:tcBorders/>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283"/>
              <w:jc w:val="left"/>
              <w:rPr/>
            </w:pPr>
            <w:r>
              <w:rPr/>
              <w:t> </w:t>
            </w:r>
          </w:p>
        </w:tc>
        <w:tc>
          <w:tcPr>
            <w:tcW w:w="154"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833" w:type="dxa"/>
            <w:tcBorders/>
            <w:vAlign w:val="center"/>
          </w:tcPr>
          <w:p>
            <w:pPr>
              <w:pStyle w:val="TableContents"/>
              <w:bidi w:val="0"/>
              <w:spacing w:lineRule="auto" w:line="300" w:before="0" w:after="0"/>
              <w:jc w:val="right"/>
              <w:rPr/>
            </w:pPr>
            <w:r>
              <w:rPr/>
              <w:t>(385</w:t>
            </w:r>
          </w:p>
        </w:tc>
        <w:tc>
          <w:tcPr>
            <w:tcW w:w="103"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r>
      <w:tr>
        <w:trPr/>
        <w:tc>
          <w:tcPr>
            <w:tcW w:w="5717" w:type="dxa"/>
            <w:tcBorders/>
            <w:shd w:fill="CCEEFF" w:val="clear"/>
            <w:vAlign w:val="center"/>
          </w:tcPr>
          <w:p>
            <w:pPr>
              <w:pStyle w:val="TableContents"/>
              <w:bidi w:val="0"/>
              <w:spacing w:lineRule="auto" w:line="300" w:before="0" w:after="0"/>
              <w:ind w:left="240" w:right="0" w:hanging="0"/>
              <w:jc w:val="left"/>
              <w:rPr>
                <w:rFonts w:ascii="Times New Roman;Times;serif" w:hAnsi="Times New Roman;Times;serif"/>
                <w:sz w:val="20"/>
              </w:rPr>
            </w:pPr>
            <w:r>
              <w:rPr>
                <w:rFonts w:ascii="Times New Roman;Times;serif" w:hAnsi="Times New Roman;Times;serif"/>
                <w:sz w:val="20"/>
              </w:rPr>
              <w:t>Revaluation</w:t>
            </w:r>
          </w:p>
        </w:tc>
        <w:tc>
          <w:tcPr>
            <w:tcW w:w="60" w:type="dxa"/>
            <w:tcBorders/>
            <w:shd w:fill="CCEEFF" w:val="clear"/>
            <w:vAlign w:val="center"/>
          </w:tcPr>
          <w:p>
            <w:pPr>
              <w:pStyle w:val="TableContents"/>
              <w:bidi w:val="0"/>
              <w:spacing w:before="0" w:after="283"/>
              <w:jc w:val="left"/>
              <w:rPr/>
            </w:pPr>
            <w:r>
              <w:rPr/>
              <w:t> </w:t>
            </w:r>
          </w:p>
        </w:tc>
        <w:tc>
          <w:tcPr>
            <w:tcW w:w="16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14" w:type="dxa"/>
            <w:tcBorders>
              <w:bottom w:val="single" w:sz="12" w:space="0" w:color="000000"/>
            </w:tcBorders>
            <w:shd w:fill="CCEEFF" w:val="clear"/>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(6</w:t>
            </w:r>
          </w:p>
        </w:tc>
        <w:tc>
          <w:tcPr>
            <w:tcW w:w="104"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78" w:type="dxa"/>
            <w:tcBorders/>
            <w:shd w:fill="CCEEFF" w:val="clear"/>
            <w:vAlign w:val="center"/>
          </w:tcPr>
          <w:p>
            <w:pPr>
              <w:pStyle w:val="TableContents"/>
              <w:bidi w:val="0"/>
              <w:spacing w:before="0" w:after="283"/>
              <w:jc w:val="left"/>
              <w:rPr/>
            </w:pPr>
            <w:r>
              <w:rPr/>
              <w:t> </w:t>
            </w:r>
          </w:p>
        </w:tc>
        <w:tc>
          <w:tcPr>
            <w:tcW w:w="16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52" w:type="dxa"/>
            <w:tcBorders>
              <w:bottom w:val="single" w:sz="12" w:space="0" w:color="000000"/>
            </w:tcBorders>
            <w:shd w:fill="CCEEFF" w:val="clear"/>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111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33" w:type="dxa"/>
            <w:tcBorders>
              <w:bottom w:val="single" w:sz="12" w:space="0" w:color="000000"/>
            </w:tcBorders>
            <w:shd w:fill="CCEEFF" w:val="clear"/>
            <w:tcMar>
              <w:bottom w:w="28" w:type="dxa"/>
            </w:tcMar>
            <w:vAlign w:val="center"/>
          </w:tcPr>
          <w:p>
            <w:pPr>
              <w:pStyle w:val="TableContents"/>
              <w:bidi w:val="0"/>
              <w:spacing w:lineRule="auto" w:line="300" w:before="0" w:after="0"/>
              <w:jc w:val="right"/>
              <w:rPr/>
            </w:pPr>
            <w:r>
              <w:rPr/>
              <w:t>(398</w:t>
            </w:r>
          </w:p>
        </w:tc>
        <w:tc>
          <w:tcPr>
            <w:tcW w:w="88"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6" w:type="dxa"/>
            <w:tcBorders/>
            <w:shd w:fill="CCEEFF" w:val="clear"/>
            <w:vAlign w:val="center"/>
          </w:tcPr>
          <w:p>
            <w:pPr>
              <w:pStyle w:val="TableContents"/>
              <w:bidi w:val="0"/>
              <w:spacing w:before="0" w:after="283"/>
              <w:jc w:val="left"/>
              <w:rPr/>
            </w:pPr>
            <w:r>
              <w:rPr/>
              <w:t> </w:t>
            </w:r>
          </w:p>
        </w:tc>
        <w:tc>
          <w:tcPr>
            <w:tcW w:w="15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33" w:type="dxa"/>
            <w:tcBorders>
              <w:bottom w:val="single" w:sz="12" w:space="0" w:color="000000"/>
            </w:tcBorders>
            <w:shd w:fill="CCEEFF" w:val="clear"/>
            <w:tcMar>
              <w:bottom w:w="28" w:type="dxa"/>
            </w:tcMar>
            <w:vAlign w:val="center"/>
          </w:tcPr>
          <w:p>
            <w:pPr>
              <w:pStyle w:val="TableContents"/>
              <w:bidi w:val="0"/>
              <w:spacing w:lineRule="auto" w:line="300" w:before="0" w:after="0"/>
              <w:jc w:val="right"/>
              <w:rPr/>
            </w:pPr>
            <w:r>
              <w:rPr/>
              <w:t>592</w:t>
            </w:r>
          </w:p>
        </w:tc>
        <w:tc>
          <w:tcPr>
            <w:tcW w:w="103" w:type="dxa"/>
            <w:tcBorders/>
            <w:shd w:fill="CCEEFF" w:val="clear"/>
            <w:vAlign w:val="center"/>
          </w:tcPr>
          <w:p>
            <w:pPr>
              <w:pStyle w:val="TableContents"/>
              <w:bidi w:val="0"/>
              <w:spacing w:before="0" w:after="283"/>
              <w:jc w:val="left"/>
              <w:rPr/>
            </w:pPr>
            <w:r>
              <w:rPr/>
              <w:t> </w:t>
            </w:r>
          </w:p>
        </w:tc>
      </w:tr>
      <w:tr>
        <w:trPr/>
        <w:tc>
          <w:tcPr>
            <w:tcW w:w="5717"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Ending balance</w:t>
            </w:r>
          </w:p>
        </w:tc>
        <w:tc>
          <w:tcPr>
            <w:tcW w:w="60" w:type="dxa"/>
            <w:tcBorders/>
            <w:vAlign w:val="center"/>
          </w:tcPr>
          <w:p>
            <w:pPr>
              <w:pStyle w:val="TableContents"/>
              <w:bidi w:val="0"/>
              <w:spacing w:before="0" w:after="283"/>
              <w:jc w:val="left"/>
              <w:rPr/>
            </w:pPr>
            <w:r>
              <w:rPr/>
              <w:t> </w:t>
            </w:r>
          </w:p>
        </w:tc>
        <w:tc>
          <w:tcPr>
            <w:tcW w:w="163" w:type="dxa"/>
            <w:tcBorders>
              <w:bottom w:val="single" w:sz="12" w:space="0" w:color="000000"/>
            </w:tcBorders>
            <w:tcMar>
              <w:bottom w:w="28" w:type="dxa"/>
            </w:tcM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714" w:type="dxa"/>
            <w:tcBorders>
              <w:bottom w:val="single" w:sz="12" w:space="0" w:color="000000"/>
            </w:tcBorders>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(204</w:t>
            </w:r>
          </w:p>
        </w:tc>
        <w:tc>
          <w:tcPr>
            <w:tcW w:w="104"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78" w:type="dxa"/>
            <w:tcBorders/>
            <w:vAlign w:val="center"/>
          </w:tcPr>
          <w:p>
            <w:pPr>
              <w:pStyle w:val="TableContents"/>
              <w:bidi w:val="0"/>
              <w:spacing w:before="0" w:after="283"/>
              <w:jc w:val="left"/>
              <w:rPr/>
            </w:pPr>
            <w:r>
              <w:rPr/>
              <w:t> </w:t>
            </w:r>
          </w:p>
        </w:tc>
        <w:tc>
          <w:tcPr>
            <w:tcW w:w="163" w:type="dxa"/>
            <w:tcBorders>
              <w:bottom w:val="single" w:sz="12" w:space="0" w:color="000000"/>
            </w:tcBorders>
            <w:tcMar>
              <w:bottom w:w="28" w:type="dxa"/>
            </w:tcM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852" w:type="dxa"/>
            <w:tcBorders>
              <w:bottom w:val="single" w:sz="12" w:space="0" w:color="000000"/>
            </w:tcBorders>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207</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 w:type="dxa"/>
            <w:tcBorders>
              <w:bottom w:val="single" w:sz="12" w:space="0" w:color="000000"/>
            </w:tcBorders>
            <w:tcMar>
              <w:bottom w:w="28" w:type="dxa"/>
            </w:tcM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833" w:type="dxa"/>
            <w:tcBorders>
              <w:bottom w:val="single" w:sz="12" w:space="0" w:color="000000"/>
            </w:tcBorders>
            <w:tcMar>
              <w:bottom w:w="28" w:type="dxa"/>
            </w:tcMar>
            <w:vAlign w:val="center"/>
          </w:tcPr>
          <w:p>
            <w:pPr>
              <w:pStyle w:val="TableContents"/>
              <w:bidi w:val="0"/>
              <w:spacing w:lineRule="auto" w:line="300" w:before="0" w:after="0"/>
              <w:jc w:val="right"/>
              <w:rPr/>
            </w:pPr>
            <w:r>
              <w:rPr/>
              <w:t>(204</w:t>
            </w:r>
          </w:p>
        </w:tc>
        <w:tc>
          <w:tcPr>
            <w:tcW w:w="88"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6" w:type="dxa"/>
            <w:tcBorders/>
            <w:vAlign w:val="center"/>
          </w:tcPr>
          <w:p>
            <w:pPr>
              <w:pStyle w:val="TableContents"/>
              <w:bidi w:val="0"/>
              <w:spacing w:before="0" w:after="283"/>
              <w:jc w:val="left"/>
              <w:rPr/>
            </w:pPr>
            <w:r>
              <w:rPr/>
              <w:t> </w:t>
            </w:r>
          </w:p>
        </w:tc>
        <w:tc>
          <w:tcPr>
            <w:tcW w:w="154" w:type="dxa"/>
            <w:tcBorders>
              <w:bottom w:val="single" w:sz="12" w:space="0" w:color="000000"/>
            </w:tcBorders>
            <w:tcMar>
              <w:bottom w:w="28" w:type="dxa"/>
            </w:tcM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833" w:type="dxa"/>
            <w:tcBorders>
              <w:bottom w:val="single" w:sz="12" w:space="0" w:color="000000"/>
            </w:tcBorders>
            <w:tcMar>
              <w:bottom w:w="28" w:type="dxa"/>
            </w:tcMar>
            <w:vAlign w:val="center"/>
          </w:tcPr>
          <w:p>
            <w:pPr>
              <w:pStyle w:val="TableContents"/>
              <w:bidi w:val="0"/>
              <w:spacing w:lineRule="auto" w:line="300" w:before="0" w:after="0"/>
              <w:jc w:val="right"/>
              <w:rPr/>
            </w:pPr>
            <w:r>
              <w:rPr/>
              <w:t>207</w:t>
            </w:r>
          </w:p>
        </w:tc>
        <w:tc>
          <w:tcPr>
            <w:tcW w:w="103" w:type="dxa"/>
            <w:tcBorders/>
            <w:vAlign w:val="center"/>
          </w:tcPr>
          <w:p>
            <w:pPr>
              <w:pStyle w:val="TableContents"/>
              <w:bidi w:val="0"/>
              <w:spacing w:before="0" w:after="283"/>
              <w:jc w:val="left"/>
              <w:rPr/>
            </w:pPr>
            <w:r>
              <w:rPr/>
              <w:t> </w:t>
            </w:r>
          </w:p>
        </w:tc>
      </w:tr>
      <w:tr>
        <w:trPr/>
        <w:tc>
          <w:tcPr>
            <w:tcW w:w="5717" w:type="dxa"/>
            <w:tcBorders/>
            <w:shd w:fill="CCEEFF" w:val="clear"/>
            <w:vAlign w:val="center"/>
          </w:tcPr>
          <w:p>
            <w:pPr>
              <w:pStyle w:val="TableContents"/>
              <w:bidi w:val="0"/>
              <w:spacing w:lineRule="auto" w:line="300" w:before="0" w:after="0"/>
              <w:jc w:val="left"/>
              <w:rPr>
                <w:rFonts w:ascii="Times New Roman;Times;serif" w:hAnsi="Times New Roman;Times;serif"/>
                <w:b/>
                <w:sz w:val="20"/>
              </w:rPr>
            </w:pPr>
            <w:r>
              <w:rPr>
                <w:rFonts w:ascii="Times New Roman;Times;serif" w:hAnsi="Times New Roman;Times;serif"/>
                <w:b/>
                <w:sz w:val="20"/>
              </w:rPr>
              <w:t>Unrealized gains (losses) on cash flow hedges</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714" w:type="dxa"/>
            <w:tcBorders/>
            <w:shd w:fill="CCEEFF" w:val="clear"/>
            <w:vAlign w:val="center"/>
          </w:tcPr>
          <w:p>
            <w:pPr>
              <w:pStyle w:val="TableContents"/>
              <w:bidi w:val="0"/>
              <w:spacing w:before="0" w:after="283"/>
              <w:jc w:val="right"/>
              <w:rPr/>
            </w:pPr>
            <w:r>
              <w:rPr/>
              <w:t> </w:t>
            </w:r>
          </w:p>
        </w:tc>
        <w:tc>
          <w:tcPr>
            <w:tcW w:w="104"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852"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pPr>
            <w:r>
              <w:rPr/>
              <w:t> </w:t>
            </w:r>
          </w:p>
        </w:tc>
        <w:tc>
          <w:tcPr>
            <w:tcW w:w="833" w:type="dxa"/>
            <w:tcBorders/>
            <w:shd w:fill="CCEEFF" w:val="clear"/>
            <w:vAlign w:val="center"/>
          </w:tcPr>
          <w:p>
            <w:pPr>
              <w:pStyle w:val="TableContents"/>
              <w:bidi w:val="0"/>
              <w:spacing w:before="0" w:after="283"/>
              <w:jc w:val="right"/>
              <w:rPr/>
            </w:pPr>
            <w:r>
              <w:rPr/>
              <w:t> </w:t>
            </w:r>
          </w:p>
        </w:tc>
        <w:tc>
          <w:tcPr>
            <w:tcW w:w="88"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833" w:type="dxa"/>
            <w:tcBorders/>
            <w:shd w:fill="CCEEFF" w:val="clear"/>
            <w:vAlign w:val="center"/>
          </w:tcPr>
          <w:p>
            <w:pPr>
              <w:pStyle w:val="TableContents"/>
              <w:bidi w:val="0"/>
              <w:spacing w:before="0" w:after="283"/>
              <w:jc w:val="right"/>
              <w:rPr/>
            </w:pPr>
            <w:r>
              <w:rPr/>
              <w:t> </w:t>
            </w:r>
          </w:p>
        </w:tc>
        <w:tc>
          <w:tcPr>
            <w:tcW w:w="103" w:type="dxa"/>
            <w:tcBorders/>
            <w:shd w:fill="CCEEFF" w:val="clear"/>
            <w:vAlign w:val="center"/>
          </w:tcPr>
          <w:p>
            <w:pPr>
              <w:pStyle w:val="TableContents"/>
              <w:bidi w:val="0"/>
              <w:spacing w:before="0" w:after="283"/>
              <w:jc w:val="left"/>
              <w:rPr/>
            </w:pPr>
            <w:r>
              <w:rPr/>
              <w:t> </w:t>
            </w:r>
          </w:p>
        </w:tc>
      </w:tr>
      <w:tr>
        <w:trPr/>
        <w:tc>
          <w:tcPr>
            <w:tcW w:w="5717"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Beginning balance</w:t>
            </w:r>
          </w:p>
        </w:tc>
        <w:tc>
          <w:tcPr>
            <w:tcW w:w="60" w:type="dxa"/>
            <w:tcBorders/>
            <w:vAlign w:val="center"/>
          </w:tcPr>
          <w:p>
            <w:pPr>
              <w:pStyle w:val="TableContents"/>
              <w:bidi w:val="0"/>
              <w:spacing w:before="0" w:after="283"/>
              <w:jc w:val="left"/>
              <w:rPr/>
            </w:pPr>
            <w:r>
              <w:rPr/>
              <w:t> </w:t>
            </w:r>
          </w:p>
        </w:tc>
        <w:tc>
          <w:tcPr>
            <w:tcW w:w="163"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714"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(22</w:t>
            </w:r>
          </w:p>
        </w:tc>
        <w:tc>
          <w:tcPr>
            <w:tcW w:w="104"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78" w:type="dxa"/>
            <w:tcBorders/>
            <w:vAlign w:val="center"/>
          </w:tcPr>
          <w:p>
            <w:pPr>
              <w:pStyle w:val="TableContents"/>
              <w:bidi w:val="0"/>
              <w:spacing w:before="0" w:after="283"/>
              <w:jc w:val="left"/>
              <w:rPr/>
            </w:pPr>
            <w:r>
              <w:rPr/>
              <w:t> </w:t>
            </w:r>
          </w:p>
        </w:tc>
        <w:tc>
          <w:tcPr>
            <w:tcW w:w="163"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852"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116</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833" w:type="dxa"/>
            <w:tcBorders/>
            <w:vAlign w:val="center"/>
          </w:tcPr>
          <w:p>
            <w:pPr>
              <w:pStyle w:val="TableContents"/>
              <w:bidi w:val="0"/>
              <w:spacing w:lineRule="auto" w:line="300" w:before="0" w:after="0"/>
              <w:jc w:val="right"/>
              <w:rPr/>
            </w:pPr>
            <w:r>
              <w:rPr/>
              <w:t>705</w:t>
            </w:r>
          </w:p>
        </w:tc>
        <w:tc>
          <w:tcPr>
            <w:tcW w:w="88" w:type="dxa"/>
            <w:tcBorders/>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283"/>
              <w:jc w:val="left"/>
              <w:rPr/>
            </w:pPr>
            <w:r>
              <w:rPr/>
              <w:t> </w:t>
            </w:r>
          </w:p>
        </w:tc>
        <w:tc>
          <w:tcPr>
            <w:tcW w:w="154"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833" w:type="dxa"/>
            <w:tcBorders/>
            <w:vAlign w:val="center"/>
          </w:tcPr>
          <w:p>
            <w:pPr>
              <w:pStyle w:val="TableContents"/>
              <w:bidi w:val="0"/>
              <w:spacing w:lineRule="auto" w:line="300" w:before="0" w:after="0"/>
              <w:jc w:val="right"/>
              <w:rPr/>
            </w:pPr>
            <w:r>
              <w:rPr/>
              <w:t>1,262</w:t>
            </w:r>
          </w:p>
        </w:tc>
        <w:tc>
          <w:tcPr>
            <w:tcW w:w="103" w:type="dxa"/>
            <w:tcBorders/>
            <w:vAlign w:val="center"/>
          </w:tcPr>
          <w:p>
            <w:pPr>
              <w:pStyle w:val="TableContents"/>
              <w:bidi w:val="0"/>
              <w:spacing w:before="0" w:after="283"/>
              <w:jc w:val="left"/>
              <w:rPr/>
            </w:pPr>
            <w:r>
              <w:rPr/>
              <w:t> </w:t>
            </w:r>
          </w:p>
        </w:tc>
      </w:tr>
      <w:tr>
        <w:trPr/>
        <w:tc>
          <w:tcPr>
            <w:tcW w:w="5717" w:type="dxa"/>
            <w:tcBorders/>
            <w:shd w:fill="CCEEFF" w:val="clear"/>
            <w:vAlign w:val="center"/>
          </w:tcPr>
          <w:p>
            <w:pPr>
              <w:pStyle w:val="TableContents"/>
              <w:bidi w:val="0"/>
              <w:spacing w:lineRule="auto" w:line="300" w:before="0" w:after="0"/>
              <w:jc w:val="left"/>
              <w:rPr/>
            </w:pPr>
            <w:r>
              <w:rPr/>
              <w:t>      </w:t>
            </w:r>
            <w:r>
              <w:rPr>
                <w:rFonts w:ascii="Times New Roman;Times;serif" w:hAnsi="Times New Roman;Times;serif"/>
                <w:sz w:val="20"/>
              </w:rPr>
              <w:t>Revaluation</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714"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7,402</w:t>
            </w:r>
          </w:p>
        </w:tc>
        <w:tc>
          <w:tcPr>
            <w:tcW w:w="104"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852"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6,994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pPr>
            <w:r>
              <w:rPr/>
              <w:t> </w:t>
            </w:r>
          </w:p>
        </w:tc>
        <w:tc>
          <w:tcPr>
            <w:tcW w:w="833" w:type="dxa"/>
            <w:tcBorders/>
            <w:shd w:fill="CCEEFF" w:val="clear"/>
            <w:vAlign w:val="center"/>
          </w:tcPr>
          <w:p>
            <w:pPr>
              <w:pStyle w:val="TableContents"/>
              <w:bidi w:val="0"/>
              <w:spacing w:lineRule="auto" w:line="300" w:before="0" w:after="0"/>
              <w:jc w:val="right"/>
              <w:rPr/>
            </w:pPr>
            <w:r>
              <w:rPr/>
              <w:t>7,770</w:t>
            </w:r>
          </w:p>
        </w:tc>
        <w:tc>
          <w:tcPr>
            <w:tcW w:w="88"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833" w:type="dxa"/>
            <w:tcBorders/>
            <w:shd w:fill="CCEEFF" w:val="clear"/>
            <w:vAlign w:val="center"/>
          </w:tcPr>
          <w:p>
            <w:pPr>
              <w:pStyle w:val="TableContents"/>
              <w:bidi w:val="0"/>
              <w:spacing w:lineRule="auto" w:line="300" w:before="0" w:after="0"/>
              <w:jc w:val="right"/>
              <w:rPr/>
            </w:pPr>
            <w:r>
              <w:rPr/>
              <w:t>6,596</w:t>
            </w:r>
          </w:p>
        </w:tc>
        <w:tc>
          <w:tcPr>
            <w:tcW w:w="103" w:type="dxa"/>
            <w:tcBorders/>
            <w:shd w:fill="CCEEFF" w:val="clear"/>
            <w:vAlign w:val="center"/>
          </w:tcPr>
          <w:p>
            <w:pPr>
              <w:pStyle w:val="TableContents"/>
              <w:bidi w:val="0"/>
              <w:spacing w:before="0" w:after="283"/>
              <w:jc w:val="left"/>
              <w:rPr/>
            </w:pPr>
            <w:r>
              <w:rPr/>
              <w:t> </w:t>
            </w:r>
          </w:p>
        </w:tc>
      </w:tr>
      <w:tr>
        <w:trPr/>
        <w:tc>
          <w:tcPr>
            <w:tcW w:w="5717" w:type="dxa"/>
            <w:tcBorders/>
            <w:vAlign w:val="center"/>
          </w:tcPr>
          <w:p>
            <w:pPr>
              <w:pStyle w:val="TableContents"/>
              <w:bidi w:val="0"/>
              <w:spacing w:lineRule="auto" w:line="300" w:before="0" w:after="0"/>
              <w:jc w:val="left"/>
              <w:rPr/>
            </w:pPr>
            <w:r>
              <w:rPr/>
              <w:t>      </w:t>
            </w:r>
            <w:r>
              <w:rPr>
                <w:rFonts w:ascii="Times New Roman;Times;serif" w:hAnsi="Times New Roman;Times;serif"/>
                <w:sz w:val="20"/>
              </w:rPr>
              <w:t>Tax on revaluation</w:t>
            </w:r>
          </w:p>
        </w:tc>
        <w:tc>
          <w:tcPr>
            <w:tcW w:w="60" w:type="dxa"/>
            <w:tcBorders/>
            <w:vAlign w:val="center"/>
          </w:tcPr>
          <w:p>
            <w:pPr>
              <w:pStyle w:val="TableContents"/>
              <w:bidi w:val="0"/>
              <w:spacing w:before="0" w:after="283"/>
              <w:jc w:val="left"/>
              <w:rPr/>
            </w:pPr>
            <w:r>
              <w:rPr/>
              <w:t> </w:t>
            </w:r>
          </w:p>
        </w:tc>
        <w:tc>
          <w:tcPr>
            <w:tcW w:w="163" w:type="dxa"/>
            <w:tcBorders>
              <w:bottom w:val="single" w:sz="12" w:space="0" w:color="000000"/>
            </w:tcBorders>
            <w:tcMar>
              <w:bottom w:w="28" w:type="dxa"/>
            </w:tcMar>
            <w:vAlign w:val="center"/>
          </w:tcPr>
          <w:p>
            <w:pPr>
              <w:pStyle w:val="TableContents"/>
              <w:bidi w:val="0"/>
              <w:spacing w:before="0" w:after="283"/>
              <w:jc w:val="left"/>
              <w:rPr/>
            </w:pPr>
            <w:r>
              <w:rPr/>
              <w:t> </w:t>
            </w:r>
          </w:p>
        </w:tc>
        <w:tc>
          <w:tcPr>
            <w:tcW w:w="714" w:type="dxa"/>
            <w:tcBorders>
              <w:bottom w:val="single" w:sz="12" w:space="0" w:color="000000"/>
            </w:tcBorders>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(421</w:t>
            </w:r>
          </w:p>
        </w:tc>
        <w:tc>
          <w:tcPr>
            <w:tcW w:w="104"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78" w:type="dxa"/>
            <w:tcBorders/>
            <w:vAlign w:val="center"/>
          </w:tcPr>
          <w:p>
            <w:pPr>
              <w:pStyle w:val="TableContents"/>
              <w:bidi w:val="0"/>
              <w:spacing w:before="0" w:after="283"/>
              <w:jc w:val="left"/>
              <w:rPr/>
            </w:pPr>
            <w:r>
              <w:rPr/>
              <w:t> </w:t>
            </w:r>
          </w:p>
        </w:tc>
        <w:tc>
          <w:tcPr>
            <w:tcW w:w="163" w:type="dxa"/>
            <w:tcBorders>
              <w:bottom w:val="single" w:sz="12" w:space="0" w:color="000000"/>
            </w:tcBorders>
            <w:tcMar>
              <w:bottom w:w="28" w:type="dxa"/>
            </w:tcMar>
            <w:vAlign w:val="center"/>
          </w:tcPr>
          <w:p>
            <w:pPr>
              <w:pStyle w:val="TableContents"/>
              <w:bidi w:val="0"/>
              <w:spacing w:before="0" w:after="283"/>
              <w:jc w:val="left"/>
              <w:rPr/>
            </w:pPr>
            <w:r>
              <w:rPr/>
              <w:t> </w:t>
            </w:r>
          </w:p>
        </w:tc>
        <w:tc>
          <w:tcPr>
            <w:tcW w:w="852" w:type="dxa"/>
            <w:tcBorders>
              <w:bottom w:val="single" w:sz="12" w:space="0" w:color="000000"/>
            </w:tcBorders>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(208</w:t>
            </w:r>
          </w:p>
        </w:tc>
        <w:tc>
          <w:tcPr>
            <w:tcW w:w="80"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vAlign w:val="center"/>
          </w:tcPr>
          <w:p>
            <w:pPr>
              <w:pStyle w:val="TableContents"/>
              <w:bidi w:val="0"/>
              <w:spacing w:before="0" w:after="283"/>
              <w:jc w:val="left"/>
              <w:rPr/>
            </w:pPr>
            <w:r>
              <w:rPr/>
              <w:t> </w:t>
            </w:r>
          </w:p>
        </w:tc>
        <w:tc>
          <w:tcPr>
            <w:tcW w:w="137" w:type="dxa"/>
            <w:tcBorders>
              <w:bottom w:val="single" w:sz="12" w:space="0" w:color="000000"/>
            </w:tcBorders>
            <w:tcMar>
              <w:bottom w:w="28" w:type="dxa"/>
            </w:tcMar>
            <w:vAlign w:val="center"/>
          </w:tcPr>
          <w:p>
            <w:pPr>
              <w:pStyle w:val="TableContents"/>
              <w:bidi w:val="0"/>
              <w:spacing w:before="0" w:after="283"/>
              <w:jc w:val="left"/>
              <w:rPr/>
            </w:pPr>
            <w:r>
              <w:rPr/>
              <w:t> </w:t>
            </w:r>
          </w:p>
        </w:tc>
        <w:tc>
          <w:tcPr>
            <w:tcW w:w="833" w:type="dxa"/>
            <w:tcBorders>
              <w:bottom w:val="single" w:sz="12" w:space="0" w:color="000000"/>
            </w:tcBorders>
            <w:tcMar>
              <w:bottom w:w="28" w:type="dxa"/>
            </w:tcMar>
            <w:vAlign w:val="center"/>
          </w:tcPr>
          <w:p>
            <w:pPr>
              <w:pStyle w:val="TableContents"/>
              <w:bidi w:val="0"/>
              <w:spacing w:lineRule="auto" w:line="300" w:before="0" w:after="0"/>
              <w:jc w:val="right"/>
              <w:rPr/>
            </w:pPr>
            <w:r>
              <w:rPr/>
              <w:t>(552</w:t>
            </w:r>
          </w:p>
        </w:tc>
        <w:tc>
          <w:tcPr>
            <w:tcW w:w="88"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6" w:type="dxa"/>
            <w:tcBorders/>
            <w:vAlign w:val="center"/>
          </w:tcPr>
          <w:p>
            <w:pPr>
              <w:pStyle w:val="TableContents"/>
              <w:bidi w:val="0"/>
              <w:spacing w:before="0" w:after="283"/>
              <w:jc w:val="left"/>
              <w:rPr/>
            </w:pPr>
            <w:r>
              <w:rPr/>
              <w:t> </w:t>
            </w:r>
          </w:p>
        </w:tc>
        <w:tc>
          <w:tcPr>
            <w:tcW w:w="154" w:type="dxa"/>
            <w:tcBorders>
              <w:bottom w:val="single" w:sz="12" w:space="0" w:color="000000"/>
            </w:tcBorders>
            <w:tcMar>
              <w:bottom w:w="28" w:type="dxa"/>
            </w:tcMar>
            <w:vAlign w:val="center"/>
          </w:tcPr>
          <w:p>
            <w:pPr>
              <w:pStyle w:val="TableContents"/>
              <w:bidi w:val="0"/>
              <w:spacing w:before="0" w:after="283"/>
              <w:jc w:val="left"/>
              <w:rPr/>
            </w:pPr>
            <w:r>
              <w:rPr/>
              <w:t> </w:t>
            </w:r>
          </w:p>
        </w:tc>
        <w:tc>
          <w:tcPr>
            <w:tcW w:w="833" w:type="dxa"/>
            <w:tcBorders>
              <w:bottom w:val="single" w:sz="12" w:space="0" w:color="000000"/>
            </w:tcBorders>
            <w:tcMar>
              <w:bottom w:w="28" w:type="dxa"/>
            </w:tcMar>
            <w:vAlign w:val="center"/>
          </w:tcPr>
          <w:p>
            <w:pPr>
              <w:pStyle w:val="TableContents"/>
              <w:bidi w:val="0"/>
              <w:spacing w:lineRule="auto" w:line="300" w:before="0" w:after="0"/>
              <w:jc w:val="right"/>
              <w:rPr/>
            </w:pPr>
            <w:r>
              <w:rPr/>
              <w:t>(298</w:t>
            </w:r>
          </w:p>
        </w:tc>
        <w:tc>
          <w:tcPr>
            <w:tcW w:w="103"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r>
      <w:tr>
        <w:trPr/>
        <w:tc>
          <w:tcPr>
            <w:tcW w:w="5717"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Other comprehensive income before reclassifications</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714"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6,981</w:t>
            </w:r>
          </w:p>
        </w:tc>
        <w:tc>
          <w:tcPr>
            <w:tcW w:w="104"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852"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6,786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pPr>
            <w:r>
              <w:rPr/>
              <w:t> </w:t>
            </w:r>
          </w:p>
        </w:tc>
        <w:tc>
          <w:tcPr>
            <w:tcW w:w="833" w:type="dxa"/>
            <w:tcBorders/>
            <w:shd w:fill="CCEEFF" w:val="clear"/>
            <w:vAlign w:val="center"/>
          </w:tcPr>
          <w:p>
            <w:pPr>
              <w:pStyle w:val="TableContents"/>
              <w:bidi w:val="0"/>
              <w:spacing w:lineRule="auto" w:line="300" w:before="0" w:after="0"/>
              <w:jc w:val="right"/>
              <w:rPr/>
            </w:pPr>
            <w:r>
              <w:rPr/>
              <w:t>7,218</w:t>
            </w:r>
          </w:p>
        </w:tc>
        <w:tc>
          <w:tcPr>
            <w:tcW w:w="88"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833" w:type="dxa"/>
            <w:tcBorders/>
            <w:shd w:fill="CCEEFF" w:val="clear"/>
            <w:vAlign w:val="center"/>
          </w:tcPr>
          <w:p>
            <w:pPr>
              <w:pStyle w:val="TableContents"/>
              <w:bidi w:val="0"/>
              <w:spacing w:lineRule="auto" w:line="300" w:before="0" w:after="0"/>
              <w:jc w:val="right"/>
              <w:rPr/>
            </w:pPr>
            <w:r>
              <w:rPr/>
              <w:t>6,298</w:t>
            </w:r>
          </w:p>
        </w:tc>
        <w:tc>
          <w:tcPr>
            <w:tcW w:w="103" w:type="dxa"/>
            <w:tcBorders/>
            <w:shd w:fill="CCEEFF" w:val="clear"/>
            <w:vAlign w:val="center"/>
          </w:tcPr>
          <w:p>
            <w:pPr>
              <w:pStyle w:val="TableContents"/>
              <w:bidi w:val="0"/>
              <w:spacing w:before="0" w:after="283"/>
              <w:jc w:val="left"/>
              <w:rPr/>
            </w:pPr>
            <w:r>
              <w:rPr/>
              <w:t> </w:t>
            </w:r>
          </w:p>
        </w:tc>
      </w:tr>
      <w:tr>
        <w:trPr/>
        <w:tc>
          <w:tcPr>
            <w:tcW w:w="5717" w:type="dxa"/>
            <w:tcBorders/>
            <w:vAlign w:val="center"/>
          </w:tcPr>
          <w:p>
            <w:pPr>
              <w:pStyle w:val="TableContents"/>
              <w:bidi w:val="0"/>
              <w:spacing w:lineRule="auto" w:line="300" w:before="0" w:after="0"/>
              <w:ind w:left="240" w:right="0" w:hanging="0"/>
              <w:jc w:val="left"/>
              <w:rPr>
                <w:rFonts w:ascii="Times New Roman;Times;serif" w:hAnsi="Times New Roman;Times;serif"/>
                <w:sz w:val="20"/>
              </w:rPr>
            </w:pPr>
            <w:r>
              <w:rPr>
                <w:rFonts w:ascii="Times New Roman;Times;serif" w:hAnsi="Times New Roman;Times;serif"/>
                <w:sz w:val="20"/>
              </w:rPr>
              <w:t>Reclassification</w:t>
            </w:r>
          </w:p>
        </w:tc>
        <w:tc>
          <w:tcPr>
            <w:tcW w:w="60" w:type="dxa"/>
            <w:tcBorders/>
            <w:vAlign w:val="center"/>
          </w:tcPr>
          <w:p>
            <w:pPr>
              <w:pStyle w:val="TableContents"/>
              <w:bidi w:val="0"/>
              <w:spacing w:before="0" w:after="283"/>
              <w:jc w:val="left"/>
              <w:rPr/>
            </w:pPr>
            <w:r>
              <w:rPr/>
              <w:t> </w:t>
            </w:r>
          </w:p>
        </w:tc>
        <w:tc>
          <w:tcPr>
            <w:tcW w:w="163" w:type="dxa"/>
            <w:tcBorders/>
            <w:vAlign w:val="center"/>
          </w:tcPr>
          <w:p>
            <w:pPr>
              <w:pStyle w:val="TableContents"/>
              <w:bidi w:val="0"/>
              <w:spacing w:before="0" w:after="283"/>
              <w:jc w:val="left"/>
              <w:rPr/>
            </w:pPr>
            <w:r>
              <w:rPr/>
              <w:t> </w:t>
            </w:r>
          </w:p>
        </w:tc>
        <w:tc>
          <w:tcPr>
            <w:tcW w:w="714"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(3,508</w:t>
            </w:r>
          </w:p>
        </w:tc>
        <w:tc>
          <w:tcPr>
            <w:tcW w:w="104"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78" w:type="dxa"/>
            <w:tcBorders/>
            <w:vAlign w:val="center"/>
          </w:tcPr>
          <w:p>
            <w:pPr>
              <w:pStyle w:val="TableContents"/>
              <w:bidi w:val="0"/>
              <w:spacing w:before="0" w:after="283"/>
              <w:jc w:val="left"/>
              <w:rPr/>
            </w:pPr>
            <w:r>
              <w:rPr/>
              <w:t> </w:t>
            </w:r>
          </w:p>
        </w:tc>
        <w:tc>
          <w:tcPr>
            <w:tcW w:w="163" w:type="dxa"/>
            <w:tcBorders/>
            <w:vAlign w:val="center"/>
          </w:tcPr>
          <w:p>
            <w:pPr>
              <w:pStyle w:val="TableContents"/>
              <w:bidi w:val="0"/>
              <w:spacing w:before="0" w:after="283"/>
              <w:jc w:val="left"/>
              <w:rPr/>
            </w:pPr>
            <w:r>
              <w:rPr/>
              <w:t> </w:t>
            </w:r>
          </w:p>
        </w:tc>
        <w:tc>
          <w:tcPr>
            <w:tcW w:w="852"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(1,739</w:t>
            </w:r>
          </w:p>
        </w:tc>
        <w:tc>
          <w:tcPr>
            <w:tcW w:w="80"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vAlign w:val="center"/>
          </w:tcPr>
          <w:p>
            <w:pPr>
              <w:pStyle w:val="TableContents"/>
              <w:bidi w:val="0"/>
              <w:spacing w:before="0" w:after="283"/>
              <w:jc w:val="left"/>
              <w:rPr/>
            </w:pPr>
            <w:r>
              <w:rPr/>
              <w:t> </w:t>
            </w:r>
          </w:p>
        </w:tc>
        <w:tc>
          <w:tcPr>
            <w:tcW w:w="137" w:type="dxa"/>
            <w:tcBorders/>
            <w:vAlign w:val="center"/>
          </w:tcPr>
          <w:p>
            <w:pPr>
              <w:pStyle w:val="TableContents"/>
              <w:bidi w:val="0"/>
              <w:spacing w:before="0" w:after="283"/>
              <w:jc w:val="left"/>
              <w:rPr/>
            </w:pPr>
            <w:r>
              <w:rPr/>
              <w:t> </w:t>
            </w:r>
          </w:p>
        </w:tc>
        <w:tc>
          <w:tcPr>
            <w:tcW w:w="833" w:type="dxa"/>
            <w:tcBorders/>
            <w:vAlign w:val="center"/>
          </w:tcPr>
          <w:p>
            <w:pPr>
              <w:pStyle w:val="TableContents"/>
              <w:bidi w:val="0"/>
              <w:spacing w:lineRule="auto" w:line="300" w:before="0" w:after="0"/>
              <w:jc w:val="right"/>
              <w:rPr/>
            </w:pPr>
            <w:r>
              <w:rPr/>
              <w:t>(4,603</w:t>
            </w:r>
          </w:p>
        </w:tc>
        <w:tc>
          <w:tcPr>
            <w:tcW w:w="88"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6" w:type="dxa"/>
            <w:tcBorders/>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283"/>
              <w:jc w:val="left"/>
              <w:rPr/>
            </w:pPr>
            <w:r>
              <w:rPr/>
              <w:t> </w:t>
            </w:r>
          </w:p>
        </w:tc>
        <w:tc>
          <w:tcPr>
            <w:tcW w:w="833" w:type="dxa"/>
            <w:tcBorders/>
            <w:vAlign w:val="center"/>
          </w:tcPr>
          <w:p>
            <w:pPr>
              <w:pStyle w:val="TableContents"/>
              <w:bidi w:val="0"/>
              <w:spacing w:lineRule="auto" w:line="300" w:before="0" w:after="0"/>
              <w:jc w:val="right"/>
              <w:rPr/>
            </w:pPr>
            <w:r>
              <w:rPr/>
              <w:t>(2,487</w:t>
            </w:r>
          </w:p>
        </w:tc>
        <w:tc>
          <w:tcPr>
            <w:tcW w:w="103"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r>
      <w:tr>
        <w:trPr/>
        <w:tc>
          <w:tcPr>
            <w:tcW w:w="5717" w:type="dxa"/>
            <w:tcBorders/>
            <w:shd w:fill="CCEEFF" w:val="clear"/>
            <w:vAlign w:val="center"/>
          </w:tcPr>
          <w:p>
            <w:pPr>
              <w:pStyle w:val="TableContents"/>
              <w:bidi w:val="0"/>
              <w:spacing w:lineRule="auto" w:line="300" w:before="0" w:after="0"/>
              <w:ind w:left="240" w:right="0" w:hanging="0"/>
              <w:jc w:val="left"/>
              <w:rPr>
                <w:rFonts w:ascii="Times New Roman;Times;serif" w:hAnsi="Times New Roman;Times;serif"/>
                <w:sz w:val="20"/>
              </w:rPr>
            </w:pPr>
            <w:r>
              <w:rPr>
                <w:rFonts w:ascii="Times New Roman;Times;serif" w:hAnsi="Times New Roman;Times;serif"/>
                <w:sz w:val="20"/>
              </w:rPr>
              <w:t>Tax on reclassification</w:t>
            </w:r>
          </w:p>
        </w:tc>
        <w:tc>
          <w:tcPr>
            <w:tcW w:w="60" w:type="dxa"/>
            <w:tcBorders/>
            <w:shd w:fill="CCEEFF" w:val="clear"/>
            <w:vAlign w:val="center"/>
          </w:tcPr>
          <w:p>
            <w:pPr>
              <w:pStyle w:val="TableContents"/>
              <w:bidi w:val="0"/>
              <w:spacing w:before="0" w:after="283"/>
              <w:jc w:val="left"/>
              <w:rPr/>
            </w:pPr>
            <w:r>
              <w:rPr/>
              <w:t> </w:t>
            </w:r>
          </w:p>
        </w:tc>
        <w:tc>
          <w:tcPr>
            <w:tcW w:w="16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14" w:type="dxa"/>
            <w:tcBorders>
              <w:bottom w:val="single" w:sz="12" w:space="0" w:color="000000"/>
            </w:tcBorders>
            <w:shd w:fill="CCEEFF" w:val="clear"/>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421</w:t>
            </w:r>
          </w:p>
        </w:tc>
        <w:tc>
          <w:tcPr>
            <w:tcW w:w="104"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6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52" w:type="dxa"/>
            <w:tcBorders>
              <w:bottom w:val="single" w:sz="12" w:space="0" w:color="000000"/>
            </w:tcBorders>
            <w:shd w:fill="CCEEFF" w:val="clear"/>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208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33" w:type="dxa"/>
            <w:tcBorders>
              <w:bottom w:val="single" w:sz="12" w:space="0" w:color="000000"/>
            </w:tcBorders>
            <w:shd w:fill="CCEEFF" w:val="clear"/>
            <w:tcMar>
              <w:bottom w:w="28" w:type="dxa"/>
            </w:tcMar>
            <w:vAlign w:val="center"/>
          </w:tcPr>
          <w:p>
            <w:pPr>
              <w:pStyle w:val="TableContents"/>
              <w:bidi w:val="0"/>
              <w:spacing w:lineRule="auto" w:line="300" w:before="0" w:after="0"/>
              <w:jc w:val="right"/>
              <w:rPr/>
            </w:pPr>
            <w:r>
              <w:rPr/>
              <w:t>552</w:t>
            </w:r>
          </w:p>
        </w:tc>
        <w:tc>
          <w:tcPr>
            <w:tcW w:w="88"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5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33" w:type="dxa"/>
            <w:tcBorders>
              <w:bottom w:val="single" w:sz="12" w:space="0" w:color="000000"/>
            </w:tcBorders>
            <w:shd w:fill="CCEEFF" w:val="clear"/>
            <w:tcMar>
              <w:bottom w:w="28" w:type="dxa"/>
            </w:tcMar>
            <w:vAlign w:val="center"/>
          </w:tcPr>
          <w:p>
            <w:pPr>
              <w:pStyle w:val="TableContents"/>
              <w:bidi w:val="0"/>
              <w:spacing w:lineRule="auto" w:line="300" w:before="0" w:after="0"/>
              <w:jc w:val="right"/>
              <w:rPr/>
            </w:pPr>
            <w:r>
              <w:rPr/>
              <w:t>298</w:t>
            </w:r>
          </w:p>
        </w:tc>
        <w:tc>
          <w:tcPr>
            <w:tcW w:w="103" w:type="dxa"/>
            <w:tcBorders/>
            <w:shd w:fill="CCEEFF" w:val="clear"/>
            <w:vAlign w:val="center"/>
          </w:tcPr>
          <w:p>
            <w:pPr>
              <w:pStyle w:val="TableContents"/>
              <w:bidi w:val="0"/>
              <w:spacing w:before="0" w:after="283"/>
              <w:jc w:val="left"/>
              <w:rPr/>
            </w:pPr>
            <w:r>
              <w:rPr/>
              <w:t> </w:t>
            </w:r>
          </w:p>
        </w:tc>
      </w:tr>
      <w:tr>
        <w:trPr/>
        <w:tc>
          <w:tcPr>
            <w:tcW w:w="5717"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Gains reclassified from accumulated other comprehensive income (loss)</w:t>
            </w:r>
          </w:p>
        </w:tc>
        <w:tc>
          <w:tcPr>
            <w:tcW w:w="60" w:type="dxa"/>
            <w:tcBorders/>
            <w:vAlign w:val="center"/>
          </w:tcPr>
          <w:p>
            <w:pPr>
              <w:pStyle w:val="TableContents"/>
              <w:bidi w:val="0"/>
              <w:spacing w:before="0" w:after="283"/>
              <w:jc w:val="left"/>
              <w:rPr/>
            </w:pPr>
            <w:r>
              <w:rPr/>
              <w:t> </w:t>
            </w:r>
          </w:p>
        </w:tc>
        <w:tc>
          <w:tcPr>
            <w:tcW w:w="163" w:type="dxa"/>
            <w:tcBorders/>
            <w:vAlign w:val="center"/>
          </w:tcPr>
          <w:p>
            <w:pPr>
              <w:pStyle w:val="TableContents"/>
              <w:bidi w:val="0"/>
              <w:spacing w:before="0" w:after="283"/>
              <w:jc w:val="left"/>
              <w:rPr/>
            </w:pPr>
            <w:r>
              <w:rPr/>
              <w:t> </w:t>
            </w:r>
          </w:p>
        </w:tc>
        <w:tc>
          <w:tcPr>
            <w:tcW w:w="714"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(3,087</w:t>
            </w:r>
          </w:p>
        </w:tc>
        <w:tc>
          <w:tcPr>
            <w:tcW w:w="104"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78" w:type="dxa"/>
            <w:tcBorders/>
            <w:vAlign w:val="center"/>
          </w:tcPr>
          <w:p>
            <w:pPr>
              <w:pStyle w:val="TableContents"/>
              <w:bidi w:val="0"/>
              <w:spacing w:before="0" w:after="283"/>
              <w:jc w:val="left"/>
              <w:rPr/>
            </w:pPr>
            <w:r>
              <w:rPr/>
              <w:t> </w:t>
            </w:r>
          </w:p>
        </w:tc>
        <w:tc>
          <w:tcPr>
            <w:tcW w:w="163" w:type="dxa"/>
            <w:tcBorders/>
            <w:vAlign w:val="center"/>
          </w:tcPr>
          <w:p>
            <w:pPr>
              <w:pStyle w:val="TableContents"/>
              <w:bidi w:val="0"/>
              <w:spacing w:before="0" w:after="283"/>
              <w:jc w:val="left"/>
              <w:rPr/>
            </w:pPr>
            <w:r>
              <w:rPr/>
              <w:t> </w:t>
            </w:r>
          </w:p>
        </w:tc>
        <w:tc>
          <w:tcPr>
            <w:tcW w:w="852"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(1,531</w:t>
            </w:r>
          </w:p>
        </w:tc>
        <w:tc>
          <w:tcPr>
            <w:tcW w:w="80"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vAlign w:val="center"/>
          </w:tcPr>
          <w:p>
            <w:pPr>
              <w:pStyle w:val="TableContents"/>
              <w:bidi w:val="0"/>
              <w:spacing w:before="0" w:after="283"/>
              <w:jc w:val="left"/>
              <w:rPr/>
            </w:pPr>
            <w:r>
              <w:rPr/>
              <w:t> </w:t>
            </w:r>
          </w:p>
        </w:tc>
        <w:tc>
          <w:tcPr>
            <w:tcW w:w="137" w:type="dxa"/>
            <w:tcBorders/>
            <w:vAlign w:val="center"/>
          </w:tcPr>
          <w:p>
            <w:pPr>
              <w:pStyle w:val="TableContents"/>
              <w:bidi w:val="0"/>
              <w:spacing w:before="0" w:after="283"/>
              <w:jc w:val="left"/>
              <w:rPr/>
            </w:pPr>
            <w:r>
              <w:rPr/>
              <w:t> </w:t>
            </w:r>
          </w:p>
        </w:tc>
        <w:tc>
          <w:tcPr>
            <w:tcW w:w="833" w:type="dxa"/>
            <w:tcBorders/>
            <w:vAlign w:val="center"/>
          </w:tcPr>
          <w:p>
            <w:pPr>
              <w:pStyle w:val="TableContents"/>
              <w:bidi w:val="0"/>
              <w:spacing w:lineRule="auto" w:line="300" w:before="0" w:after="0"/>
              <w:jc w:val="right"/>
              <w:rPr/>
            </w:pPr>
            <w:r>
              <w:rPr/>
              <w:t>(4,051</w:t>
            </w:r>
          </w:p>
        </w:tc>
        <w:tc>
          <w:tcPr>
            <w:tcW w:w="88"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6" w:type="dxa"/>
            <w:tcBorders/>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283"/>
              <w:jc w:val="left"/>
              <w:rPr/>
            </w:pPr>
            <w:r>
              <w:rPr/>
              <w:t> </w:t>
            </w:r>
          </w:p>
        </w:tc>
        <w:tc>
          <w:tcPr>
            <w:tcW w:w="833" w:type="dxa"/>
            <w:tcBorders/>
            <w:vAlign w:val="center"/>
          </w:tcPr>
          <w:p>
            <w:pPr>
              <w:pStyle w:val="TableContents"/>
              <w:bidi w:val="0"/>
              <w:spacing w:lineRule="auto" w:line="300" w:before="0" w:after="0"/>
              <w:jc w:val="right"/>
              <w:rPr/>
            </w:pPr>
            <w:r>
              <w:rPr/>
              <w:t>(2,189</w:t>
            </w:r>
          </w:p>
        </w:tc>
        <w:tc>
          <w:tcPr>
            <w:tcW w:w="103"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r>
      <w:tr>
        <w:trPr/>
        <w:tc>
          <w:tcPr>
            <w:tcW w:w="5717"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Net current period other comprehensive income</w:t>
            </w:r>
          </w:p>
        </w:tc>
        <w:tc>
          <w:tcPr>
            <w:tcW w:w="60" w:type="dxa"/>
            <w:tcBorders/>
            <w:shd w:fill="CCEEFF" w:val="clear"/>
            <w:vAlign w:val="center"/>
          </w:tcPr>
          <w:p>
            <w:pPr>
              <w:pStyle w:val="TableContents"/>
              <w:bidi w:val="0"/>
              <w:spacing w:before="0" w:after="283"/>
              <w:jc w:val="left"/>
              <w:rPr/>
            </w:pPr>
            <w:r>
              <w:rPr/>
              <w:t> </w:t>
            </w:r>
          </w:p>
        </w:tc>
        <w:tc>
          <w:tcPr>
            <w:tcW w:w="16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14" w:type="dxa"/>
            <w:tcBorders>
              <w:bottom w:val="single" w:sz="12" w:space="0" w:color="000000"/>
            </w:tcBorders>
            <w:shd w:fill="CCEEFF" w:val="clear"/>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3,894</w:t>
            </w:r>
          </w:p>
        </w:tc>
        <w:tc>
          <w:tcPr>
            <w:tcW w:w="104"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6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52" w:type="dxa"/>
            <w:tcBorders>
              <w:bottom w:val="single" w:sz="12" w:space="0" w:color="000000"/>
            </w:tcBorders>
            <w:shd w:fill="CCEEFF" w:val="clear"/>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5,255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33" w:type="dxa"/>
            <w:tcBorders>
              <w:bottom w:val="single" w:sz="12" w:space="0" w:color="000000"/>
            </w:tcBorders>
            <w:shd w:fill="CCEEFF" w:val="clear"/>
            <w:tcMar>
              <w:bottom w:w="28" w:type="dxa"/>
            </w:tcMar>
            <w:vAlign w:val="center"/>
          </w:tcPr>
          <w:p>
            <w:pPr>
              <w:pStyle w:val="TableContents"/>
              <w:bidi w:val="0"/>
              <w:spacing w:lineRule="auto" w:line="300" w:before="0" w:after="0"/>
              <w:jc w:val="right"/>
              <w:rPr/>
            </w:pPr>
            <w:r>
              <w:rPr/>
              <w:t>3,167</w:t>
            </w:r>
          </w:p>
        </w:tc>
        <w:tc>
          <w:tcPr>
            <w:tcW w:w="88"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5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33" w:type="dxa"/>
            <w:tcBorders>
              <w:bottom w:val="single" w:sz="12" w:space="0" w:color="000000"/>
            </w:tcBorders>
            <w:shd w:fill="CCEEFF" w:val="clear"/>
            <w:tcMar>
              <w:bottom w:w="28" w:type="dxa"/>
            </w:tcMar>
            <w:vAlign w:val="center"/>
          </w:tcPr>
          <w:p>
            <w:pPr>
              <w:pStyle w:val="TableContents"/>
              <w:bidi w:val="0"/>
              <w:spacing w:lineRule="auto" w:line="300" w:before="0" w:after="0"/>
              <w:jc w:val="right"/>
              <w:rPr/>
            </w:pPr>
            <w:r>
              <w:rPr/>
              <w:t>4,109</w:t>
            </w:r>
          </w:p>
        </w:tc>
        <w:tc>
          <w:tcPr>
            <w:tcW w:w="103" w:type="dxa"/>
            <w:tcBorders/>
            <w:shd w:fill="CCEEFF" w:val="clear"/>
            <w:vAlign w:val="center"/>
          </w:tcPr>
          <w:p>
            <w:pPr>
              <w:pStyle w:val="TableContents"/>
              <w:bidi w:val="0"/>
              <w:spacing w:before="0" w:after="283"/>
              <w:jc w:val="left"/>
              <w:rPr/>
            </w:pPr>
            <w:r>
              <w:rPr/>
              <w:t> </w:t>
            </w:r>
          </w:p>
        </w:tc>
      </w:tr>
      <w:tr>
        <w:trPr/>
        <w:tc>
          <w:tcPr>
            <w:tcW w:w="5717"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Ending balance</w:t>
            </w:r>
          </w:p>
        </w:tc>
        <w:tc>
          <w:tcPr>
            <w:tcW w:w="60" w:type="dxa"/>
            <w:tcBorders/>
            <w:vAlign w:val="center"/>
          </w:tcPr>
          <w:p>
            <w:pPr>
              <w:pStyle w:val="TableContents"/>
              <w:bidi w:val="0"/>
              <w:spacing w:before="0" w:after="283"/>
              <w:jc w:val="left"/>
              <w:rPr/>
            </w:pPr>
            <w:r>
              <w:rPr/>
              <w:t> </w:t>
            </w:r>
          </w:p>
        </w:tc>
        <w:tc>
          <w:tcPr>
            <w:tcW w:w="163" w:type="dxa"/>
            <w:tcBorders>
              <w:bottom w:val="single" w:sz="12" w:space="0" w:color="000000"/>
            </w:tcBorders>
            <w:tcMar>
              <w:bottom w:w="28" w:type="dxa"/>
            </w:tcM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714" w:type="dxa"/>
            <w:tcBorders>
              <w:bottom w:val="single" w:sz="12" w:space="0" w:color="000000"/>
            </w:tcBorders>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3,872</w:t>
            </w:r>
          </w:p>
        </w:tc>
        <w:tc>
          <w:tcPr>
            <w:tcW w:w="104"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pPr>
            <w:r>
              <w:rPr/>
              <w:t> </w:t>
            </w:r>
          </w:p>
        </w:tc>
        <w:tc>
          <w:tcPr>
            <w:tcW w:w="163" w:type="dxa"/>
            <w:tcBorders>
              <w:bottom w:val="single" w:sz="12" w:space="0" w:color="000000"/>
            </w:tcBorders>
            <w:tcMar>
              <w:bottom w:w="28" w:type="dxa"/>
            </w:tcM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852" w:type="dxa"/>
            <w:tcBorders>
              <w:bottom w:val="single" w:sz="12" w:space="0" w:color="000000"/>
            </w:tcBorders>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5,371</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 w:type="dxa"/>
            <w:tcBorders>
              <w:bottom w:val="single" w:sz="12" w:space="0" w:color="000000"/>
            </w:tcBorders>
            <w:tcMar>
              <w:bottom w:w="28" w:type="dxa"/>
            </w:tcM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833" w:type="dxa"/>
            <w:tcBorders>
              <w:bottom w:val="single" w:sz="12" w:space="0" w:color="000000"/>
            </w:tcBorders>
            <w:tcMar>
              <w:bottom w:w="28" w:type="dxa"/>
            </w:tcMar>
            <w:vAlign w:val="center"/>
          </w:tcPr>
          <w:p>
            <w:pPr>
              <w:pStyle w:val="TableContents"/>
              <w:bidi w:val="0"/>
              <w:spacing w:lineRule="auto" w:line="300" w:before="0" w:after="0"/>
              <w:jc w:val="right"/>
              <w:rPr/>
            </w:pPr>
            <w:r>
              <w:rPr/>
              <w:t>3,872</w:t>
            </w:r>
          </w:p>
        </w:tc>
        <w:tc>
          <w:tcPr>
            <w:tcW w:w="88" w:type="dxa"/>
            <w:tcBorders/>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283"/>
              <w:jc w:val="left"/>
              <w:rPr/>
            </w:pPr>
            <w:r>
              <w:rPr/>
              <w:t> </w:t>
            </w:r>
          </w:p>
        </w:tc>
        <w:tc>
          <w:tcPr>
            <w:tcW w:w="154" w:type="dxa"/>
            <w:tcBorders>
              <w:bottom w:val="single" w:sz="12" w:space="0" w:color="000000"/>
            </w:tcBorders>
            <w:tcMar>
              <w:bottom w:w="28" w:type="dxa"/>
            </w:tcM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833" w:type="dxa"/>
            <w:tcBorders>
              <w:bottom w:val="single" w:sz="12" w:space="0" w:color="000000"/>
            </w:tcBorders>
            <w:tcMar>
              <w:bottom w:w="28" w:type="dxa"/>
            </w:tcMar>
            <w:vAlign w:val="center"/>
          </w:tcPr>
          <w:p>
            <w:pPr>
              <w:pStyle w:val="TableContents"/>
              <w:bidi w:val="0"/>
              <w:spacing w:lineRule="auto" w:line="300" w:before="0" w:after="0"/>
              <w:jc w:val="right"/>
              <w:rPr/>
            </w:pPr>
            <w:r>
              <w:rPr/>
              <w:t>5,371</w:t>
            </w:r>
          </w:p>
        </w:tc>
        <w:tc>
          <w:tcPr>
            <w:tcW w:w="103" w:type="dxa"/>
            <w:tcBorders/>
            <w:vAlign w:val="center"/>
          </w:tcPr>
          <w:p>
            <w:pPr>
              <w:pStyle w:val="TableContents"/>
              <w:bidi w:val="0"/>
              <w:spacing w:before="0" w:after="283"/>
              <w:jc w:val="left"/>
              <w:rPr/>
            </w:pPr>
            <w:r>
              <w:rPr/>
              <w:t> </w:t>
            </w:r>
          </w:p>
        </w:tc>
      </w:tr>
      <w:tr>
        <w:trPr/>
        <w:tc>
          <w:tcPr>
            <w:tcW w:w="5717" w:type="dxa"/>
            <w:tcBorders/>
            <w:shd w:fill="CCEEFF" w:val="clear"/>
            <w:vAlign w:val="center"/>
          </w:tcPr>
          <w:p>
            <w:pPr>
              <w:pStyle w:val="TableContents"/>
              <w:bidi w:val="0"/>
              <w:spacing w:lineRule="auto" w:line="300" w:before="0" w:after="0"/>
              <w:jc w:val="left"/>
              <w:rPr>
                <w:rFonts w:ascii="Times New Roman;Times;serif" w:hAnsi="Times New Roman;Times;serif"/>
                <w:b/>
                <w:sz w:val="20"/>
              </w:rPr>
            </w:pPr>
            <w:r>
              <w:rPr>
                <w:rFonts w:ascii="Times New Roman;Times;serif" w:hAnsi="Times New Roman;Times;serif"/>
                <w:b/>
                <w:sz w:val="20"/>
              </w:rPr>
              <w:t>Foreign currency translation adjustments on intra-entity transactions that are of a long-term investment in nature</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714" w:type="dxa"/>
            <w:tcBorders/>
            <w:shd w:fill="CCEEFF" w:val="clear"/>
            <w:vAlign w:val="center"/>
          </w:tcPr>
          <w:p>
            <w:pPr>
              <w:pStyle w:val="TableContents"/>
              <w:bidi w:val="0"/>
              <w:spacing w:before="0" w:after="283"/>
              <w:jc w:val="right"/>
              <w:rPr/>
            </w:pPr>
            <w:r>
              <w:rPr/>
              <w:t> </w:t>
            </w:r>
          </w:p>
        </w:tc>
        <w:tc>
          <w:tcPr>
            <w:tcW w:w="104"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852"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pPr>
            <w:r>
              <w:rPr/>
              <w:t> </w:t>
            </w:r>
          </w:p>
        </w:tc>
        <w:tc>
          <w:tcPr>
            <w:tcW w:w="833" w:type="dxa"/>
            <w:tcBorders/>
            <w:shd w:fill="CCEEFF" w:val="clear"/>
            <w:vAlign w:val="center"/>
          </w:tcPr>
          <w:p>
            <w:pPr>
              <w:pStyle w:val="TableContents"/>
              <w:bidi w:val="0"/>
              <w:spacing w:before="0" w:after="283"/>
              <w:jc w:val="right"/>
              <w:rPr/>
            </w:pPr>
            <w:r>
              <w:rPr/>
              <w:t> </w:t>
            </w:r>
          </w:p>
        </w:tc>
        <w:tc>
          <w:tcPr>
            <w:tcW w:w="88"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833" w:type="dxa"/>
            <w:tcBorders/>
            <w:shd w:fill="CCEEFF" w:val="clear"/>
            <w:vAlign w:val="center"/>
          </w:tcPr>
          <w:p>
            <w:pPr>
              <w:pStyle w:val="TableContents"/>
              <w:bidi w:val="0"/>
              <w:spacing w:before="0" w:after="283"/>
              <w:jc w:val="right"/>
              <w:rPr/>
            </w:pPr>
            <w:r>
              <w:rPr/>
              <w:t> </w:t>
            </w:r>
          </w:p>
        </w:tc>
        <w:tc>
          <w:tcPr>
            <w:tcW w:w="103" w:type="dxa"/>
            <w:tcBorders/>
            <w:shd w:fill="CCEEFF" w:val="clear"/>
            <w:vAlign w:val="center"/>
          </w:tcPr>
          <w:p>
            <w:pPr>
              <w:pStyle w:val="TableContents"/>
              <w:bidi w:val="0"/>
              <w:spacing w:before="0" w:after="283"/>
              <w:jc w:val="left"/>
              <w:rPr/>
            </w:pPr>
            <w:r>
              <w:rPr/>
              <w:t> </w:t>
            </w:r>
          </w:p>
        </w:tc>
      </w:tr>
      <w:tr>
        <w:trPr/>
        <w:tc>
          <w:tcPr>
            <w:tcW w:w="5717"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Beginning balance</w:t>
            </w:r>
          </w:p>
        </w:tc>
        <w:tc>
          <w:tcPr>
            <w:tcW w:w="60" w:type="dxa"/>
            <w:tcBorders/>
            <w:vAlign w:val="center"/>
          </w:tcPr>
          <w:p>
            <w:pPr>
              <w:pStyle w:val="TableContents"/>
              <w:bidi w:val="0"/>
              <w:spacing w:before="0" w:after="283"/>
              <w:jc w:val="left"/>
              <w:rPr/>
            </w:pPr>
            <w:r>
              <w:rPr/>
              <w:t> </w:t>
            </w:r>
          </w:p>
        </w:tc>
        <w:tc>
          <w:tcPr>
            <w:tcW w:w="163"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714"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w:t>
            </w:r>
          </w:p>
        </w:tc>
        <w:tc>
          <w:tcPr>
            <w:tcW w:w="104"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pPr>
            <w:r>
              <w:rPr/>
              <w:t> </w:t>
            </w:r>
          </w:p>
        </w:tc>
        <w:tc>
          <w:tcPr>
            <w:tcW w:w="163"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852"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(79,642</w:t>
            </w:r>
          </w:p>
        </w:tc>
        <w:tc>
          <w:tcPr>
            <w:tcW w:w="80"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vAlign w:val="center"/>
          </w:tcPr>
          <w:p>
            <w:pPr>
              <w:pStyle w:val="TableContents"/>
              <w:bidi w:val="0"/>
              <w:spacing w:before="0" w:after="283"/>
              <w:jc w:val="left"/>
              <w:rPr/>
            </w:pPr>
            <w:r>
              <w:rPr/>
              <w:t> </w:t>
            </w:r>
          </w:p>
        </w:tc>
        <w:tc>
          <w:tcPr>
            <w:tcW w:w="137"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833" w:type="dxa"/>
            <w:tcBorders/>
            <w:vAlign w:val="center"/>
          </w:tcPr>
          <w:p>
            <w:pPr>
              <w:pStyle w:val="TableContents"/>
              <w:bidi w:val="0"/>
              <w:spacing w:lineRule="auto" w:line="300" w:before="0" w:after="0"/>
              <w:jc w:val="right"/>
              <w:rPr/>
            </w:pPr>
            <w:r>
              <w:rPr/>
              <w:t>(11,840</w:t>
            </w:r>
          </w:p>
        </w:tc>
        <w:tc>
          <w:tcPr>
            <w:tcW w:w="88"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6" w:type="dxa"/>
            <w:tcBorders/>
            <w:vAlign w:val="center"/>
          </w:tcPr>
          <w:p>
            <w:pPr>
              <w:pStyle w:val="TableContents"/>
              <w:bidi w:val="0"/>
              <w:spacing w:before="0" w:after="283"/>
              <w:jc w:val="left"/>
              <w:rPr/>
            </w:pPr>
            <w:r>
              <w:rPr/>
              <w:t> </w:t>
            </w:r>
          </w:p>
        </w:tc>
        <w:tc>
          <w:tcPr>
            <w:tcW w:w="154"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833" w:type="dxa"/>
            <w:tcBorders/>
            <w:vAlign w:val="center"/>
          </w:tcPr>
          <w:p>
            <w:pPr>
              <w:pStyle w:val="TableContents"/>
              <w:bidi w:val="0"/>
              <w:spacing w:lineRule="auto" w:line="300" w:before="0" w:after="0"/>
              <w:jc w:val="right"/>
              <w:rPr/>
            </w:pPr>
            <w:r>
              <w:rPr/>
              <w:t>(78,714</w:t>
            </w:r>
          </w:p>
        </w:tc>
        <w:tc>
          <w:tcPr>
            <w:tcW w:w="103"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r>
      <w:tr>
        <w:trPr/>
        <w:tc>
          <w:tcPr>
            <w:tcW w:w="5717" w:type="dxa"/>
            <w:tcBorders/>
            <w:shd w:fill="CCEEFF" w:val="clear"/>
            <w:vAlign w:val="center"/>
          </w:tcPr>
          <w:p>
            <w:pPr>
              <w:pStyle w:val="TableContents"/>
              <w:bidi w:val="0"/>
              <w:spacing w:lineRule="auto" w:line="300" w:before="0" w:after="0"/>
              <w:jc w:val="left"/>
              <w:rPr/>
            </w:pPr>
            <w:r>
              <w:rPr/>
              <w:t>     </w:t>
            </w:r>
            <w:r>
              <w:rPr>
                <w:rFonts w:ascii="Times New Roman;Times;serif" w:hAnsi="Times New Roman;Times;serif"/>
                <w:sz w:val="20"/>
              </w:rPr>
              <w:t>Revaluation</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714"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w:t>
            </w:r>
          </w:p>
        </w:tc>
        <w:tc>
          <w:tcPr>
            <w:tcW w:w="104"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852"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1,756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pPr>
            <w:r>
              <w:rPr/>
              <w:t> </w:t>
            </w:r>
          </w:p>
        </w:tc>
        <w:tc>
          <w:tcPr>
            <w:tcW w:w="833" w:type="dxa"/>
            <w:tcBorders/>
            <w:shd w:fill="CCEEFF" w:val="clear"/>
            <w:vAlign w:val="center"/>
          </w:tcPr>
          <w:p>
            <w:pPr>
              <w:pStyle w:val="TableContents"/>
              <w:bidi w:val="0"/>
              <w:spacing w:lineRule="auto" w:line="300" w:before="0" w:after="0"/>
              <w:jc w:val="right"/>
              <w:rPr/>
            </w:pPr>
            <w:r>
              <w:rPr/>
              <w:t>(225</w:t>
            </w:r>
          </w:p>
        </w:tc>
        <w:tc>
          <w:tcPr>
            <w:tcW w:w="88"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6"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833" w:type="dxa"/>
            <w:tcBorders/>
            <w:shd w:fill="CCEEFF" w:val="clear"/>
            <w:vAlign w:val="center"/>
          </w:tcPr>
          <w:p>
            <w:pPr>
              <w:pStyle w:val="TableContents"/>
              <w:bidi w:val="0"/>
              <w:spacing w:lineRule="auto" w:line="300" w:before="0" w:after="0"/>
              <w:jc w:val="right"/>
              <w:rPr/>
            </w:pPr>
            <w:r>
              <w:rPr/>
              <w:t>828</w:t>
            </w:r>
          </w:p>
        </w:tc>
        <w:tc>
          <w:tcPr>
            <w:tcW w:w="103" w:type="dxa"/>
            <w:tcBorders/>
            <w:shd w:fill="CCEEFF" w:val="clear"/>
            <w:vAlign w:val="center"/>
          </w:tcPr>
          <w:p>
            <w:pPr>
              <w:pStyle w:val="TableContents"/>
              <w:bidi w:val="0"/>
              <w:spacing w:before="0" w:after="283"/>
              <w:jc w:val="left"/>
              <w:rPr/>
            </w:pPr>
            <w:r>
              <w:rPr/>
              <w:t> </w:t>
            </w:r>
          </w:p>
        </w:tc>
      </w:tr>
      <w:tr>
        <w:trPr/>
        <w:tc>
          <w:tcPr>
            <w:tcW w:w="5717" w:type="dxa"/>
            <w:tcBorders/>
            <w:vAlign w:val="center"/>
          </w:tcPr>
          <w:p>
            <w:pPr>
              <w:pStyle w:val="TableContents"/>
              <w:bidi w:val="0"/>
              <w:spacing w:lineRule="auto" w:line="300" w:before="0" w:after="0"/>
              <w:ind w:left="240" w:right="0" w:hanging="0"/>
              <w:jc w:val="left"/>
              <w:rPr>
                <w:rFonts w:ascii="Times New Roman;Times;serif" w:hAnsi="Times New Roman;Times;serif"/>
                <w:sz w:val="20"/>
              </w:rPr>
            </w:pPr>
            <w:r>
              <w:rPr>
                <w:rFonts w:ascii="Times New Roman;Times;serif" w:hAnsi="Times New Roman;Times;serif"/>
                <w:sz w:val="20"/>
              </w:rPr>
              <w:t>Reclassification</w:t>
            </w:r>
          </w:p>
        </w:tc>
        <w:tc>
          <w:tcPr>
            <w:tcW w:w="60" w:type="dxa"/>
            <w:tcBorders/>
            <w:vAlign w:val="center"/>
          </w:tcPr>
          <w:p>
            <w:pPr>
              <w:pStyle w:val="TableContents"/>
              <w:bidi w:val="0"/>
              <w:spacing w:before="0" w:after="283"/>
              <w:jc w:val="left"/>
              <w:rPr/>
            </w:pPr>
            <w:r>
              <w:rPr/>
              <w:t> </w:t>
            </w:r>
          </w:p>
        </w:tc>
        <w:tc>
          <w:tcPr>
            <w:tcW w:w="163" w:type="dxa"/>
            <w:tcBorders/>
            <w:vAlign w:val="center"/>
          </w:tcPr>
          <w:p>
            <w:pPr>
              <w:pStyle w:val="TableContents"/>
              <w:bidi w:val="0"/>
              <w:spacing w:before="0" w:after="283"/>
              <w:jc w:val="left"/>
              <w:rPr/>
            </w:pPr>
            <w:r>
              <w:rPr/>
              <w:t> </w:t>
            </w:r>
          </w:p>
        </w:tc>
        <w:tc>
          <w:tcPr>
            <w:tcW w:w="714"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w:t>
            </w:r>
          </w:p>
        </w:tc>
        <w:tc>
          <w:tcPr>
            <w:tcW w:w="104"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pPr>
            <w:r>
              <w:rPr/>
              <w:t> </w:t>
            </w:r>
          </w:p>
        </w:tc>
        <w:tc>
          <w:tcPr>
            <w:tcW w:w="163" w:type="dxa"/>
            <w:tcBorders/>
            <w:vAlign w:val="center"/>
          </w:tcPr>
          <w:p>
            <w:pPr>
              <w:pStyle w:val="TableContents"/>
              <w:bidi w:val="0"/>
              <w:spacing w:before="0" w:after="283"/>
              <w:jc w:val="left"/>
              <w:rPr/>
            </w:pPr>
            <w:r>
              <w:rPr/>
              <w:t> </w:t>
            </w:r>
          </w:p>
        </w:tc>
        <w:tc>
          <w:tcPr>
            <w:tcW w:w="852"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 w:type="dxa"/>
            <w:tcBorders/>
            <w:vAlign w:val="center"/>
          </w:tcPr>
          <w:p>
            <w:pPr>
              <w:pStyle w:val="TableContents"/>
              <w:bidi w:val="0"/>
              <w:spacing w:before="0" w:after="283"/>
              <w:jc w:val="left"/>
              <w:rPr/>
            </w:pPr>
            <w:r>
              <w:rPr/>
              <w:t> </w:t>
            </w:r>
          </w:p>
        </w:tc>
        <w:tc>
          <w:tcPr>
            <w:tcW w:w="833" w:type="dxa"/>
            <w:tcBorders/>
            <w:vAlign w:val="center"/>
          </w:tcPr>
          <w:p>
            <w:pPr>
              <w:pStyle w:val="TableContents"/>
              <w:bidi w:val="0"/>
              <w:spacing w:lineRule="auto" w:line="300" w:before="0" w:after="0"/>
              <w:jc w:val="right"/>
              <w:rPr/>
            </w:pPr>
            <w:r>
              <w:rPr/>
              <w:t>12,065</w:t>
            </w:r>
          </w:p>
        </w:tc>
        <w:tc>
          <w:tcPr>
            <w:tcW w:w="88" w:type="dxa"/>
            <w:tcBorders/>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283"/>
              <w:jc w:val="left"/>
              <w:rPr/>
            </w:pPr>
            <w:r>
              <w:rPr/>
              <w:t> </w:t>
            </w:r>
          </w:p>
        </w:tc>
        <w:tc>
          <w:tcPr>
            <w:tcW w:w="833" w:type="dxa"/>
            <w:tcBorders/>
            <w:vAlign w:val="center"/>
          </w:tcPr>
          <w:p>
            <w:pPr>
              <w:pStyle w:val="TableContents"/>
              <w:bidi w:val="0"/>
              <w:spacing w:lineRule="auto" w:line="300" w:before="0" w:after="0"/>
              <w:jc w:val="right"/>
              <w:rPr/>
            </w:pPr>
            <w:r>
              <w:rPr/>
              <w:t>-</w:t>
            </w:r>
          </w:p>
        </w:tc>
        <w:tc>
          <w:tcPr>
            <w:tcW w:w="103" w:type="dxa"/>
            <w:tcBorders/>
            <w:vAlign w:val="center"/>
          </w:tcPr>
          <w:p>
            <w:pPr>
              <w:pStyle w:val="TableContents"/>
              <w:bidi w:val="0"/>
              <w:spacing w:before="0" w:after="283"/>
              <w:jc w:val="left"/>
              <w:rPr/>
            </w:pPr>
            <w:r>
              <w:rPr/>
              <w:t> </w:t>
            </w:r>
          </w:p>
        </w:tc>
      </w:tr>
      <w:tr>
        <w:trPr/>
        <w:tc>
          <w:tcPr>
            <w:tcW w:w="5717"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Net current period other comprehensive income</w:t>
            </w:r>
          </w:p>
        </w:tc>
        <w:tc>
          <w:tcPr>
            <w:tcW w:w="60" w:type="dxa"/>
            <w:tcBorders/>
            <w:shd w:fill="CCEEFF" w:val="clear"/>
            <w:vAlign w:val="center"/>
          </w:tcPr>
          <w:p>
            <w:pPr>
              <w:pStyle w:val="TableContents"/>
              <w:bidi w:val="0"/>
              <w:spacing w:before="0" w:after="283"/>
              <w:jc w:val="left"/>
              <w:rPr/>
            </w:pPr>
            <w:r>
              <w:rPr/>
              <w:t> </w:t>
            </w:r>
          </w:p>
        </w:tc>
        <w:tc>
          <w:tcPr>
            <w:tcW w:w="16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14" w:type="dxa"/>
            <w:tcBorders>
              <w:bottom w:val="single" w:sz="12" w:space="0" w:color="000000"/>
            </w:tcBorders>
            <w:shd w:fill="CCEEFF" w:val="clear"/>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w:t>
            </w:r>
          </w:p>
        </w:tc>
        <w:tc>
          <w:tcPr>
            <w:tcW w:w="104"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6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52" w:type="dxa"/>
            <w:tcBorders>
              <w:bottom w:val="single" w:sz="12" w:space="0" w:color="000000"/>
            </w:tcBorders>
            <w:shd w:fill="CCEEFF" w:val="clear"/>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1,756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33" w:type="dxa"/>
            <w:tcBorders>
              <w:bottom w:val="single" w:sz="12" w:space="0" w:color="000000"/>
            </w:tcBorders>
            <w:shd w:fill="CCEEFF" w:val="clear"/>
            <w:tcMar>
              <w:bottom w:w="28" w:type="dxa"/>
            </w:tcMar>
            <w:vAlign w:val="center"/>
          </w:tcPr>
          <w:p>
            <w:pPr>
              <w:pStyle w:val="TableContents"/>
              <w:bidi w:val="0"/>
              <w:spacing w:lineRule="auto" w:line="300" w:before="0" w:after="0"/>
              <w:jc w:val="right"/>
              <w:rPr/>
            </w:pPr>
            <w:r>
              <w:rPr/>
              <w:t>11,840</w:t>
            </w:r>
          </w:p>
        </w:tc>
        <w:tc>
          <w:tcPr>
            <w:tcW w:w="88"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5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33" w:type="dxa"/>
            <w:tcBorders>
              <w:bottom w:val="single" w:sz="12" w:space="0" w:color="000000"/>
            </w:tcBorders>
            <w:shd w:fill="CCEEFF" w:val="clear"/>
            <w:tcMar>
              <w:bottom w:w="28" w:type="dxa"/>
            </w:tcMar>
            <w:vAlign w:val="center"/>
          </w:tcPr>
          <w:p>
            <w:pPr>
              <w:pStyle w:val="TableContents"/>
              <w:bidi w:val="0"/>
              <w:spacing w:lineRule="auto" w:line="300" w:before="0" w:after="0"/>
              <w:jc w:val="right"/>
              <w:rPr/>
            </w:pPr>
            <w:r>
              <w:rPr/>
              <w:t>828</w:t>
            </w:r>
          </w:p>
        </w:tc>
        <w:tc>
          <w:tcPr>
            <w:tcW w:w="103" w:type="dxa"/>
            <w:tcBorders/>
            <w:shd w:fill="CCEEFF" w:val="clear"/>
            <w:vAlign w:val="center"/>
          </w:tcPr>
          <w:p>
            <w:pPr>
              <w:pStyle w:val="TableContents"/>
              <w:bidi w:val="0"/>
              <w:spacing w:before="0" w:after="283"/>
              <w:jc w:val="left"/>
              <w:rPr/>
            </w:pPr>
            <w:r>
              <w:rPr/>
              <w:t> </w:t>
            </w:r>
          </w:p>
        </w:tc>
      </w:tr>
      <w:tr>
        <w:trPr/>
        <w:tc>
          <w:tcPr>
            <w:tcW w:w="5717"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Ending balance</w:t>
            </w:r>
          </w:p>
        </w:tc>
        <w:tc>
          <w:tcPr>
            <w:tcW w:w="60" w:type="dxa"/>
            <w:tcBorders/>
            <w:vAlign w:val="center"/>
          </w:tcPr>
          <w:p>
            <w:pPr>
              <w:pStyle w:val="TableContents"/>
              <w:bidi w:val="0"/>
              <w:spacing w:before="0" w:after="283"/>
              <w:jc w:val="left"/>
              <w:rPr/>
            </w:pPr>
            <w:r>
              <w:rPr/>
              <w:t> </w:t>
            </w:r>
          </w:p>
        </w:tc>
        <w:tc>
          <w:tcPr>
            <w:tcW w:w="163" w:type="dxa"/>
            <w:tcBorders>
              <w:bottom w:val="single" w:sz="12" w:space="0" w:color="000000"/>
            </w:tcBorders>
            <w:tcMar>
              <w:bottom w:w="28" w:type="dxa"/>
            </w:tcM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714" w:type="dxa"/>
            <w:tcBorders>
              <w:bottom w:val="single" w:sz="12" w:space="0" w:color="000000"/>
            </w:tcBorders>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w:t>
            </w:r>
          </w:p>
        </w:tc>
        <w:tc>
          <w:tcPr>
            <w:tcW w:w="104"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pPr>
            <w:r>
              <w:rPr/>
              <w:t> </w:t>
            </w:r>
          </w:p>
        </w:tc>
        <w:tc>
          <w:tcPr>
            <w:tcW w:w="163" w:type="dxa"/>
            <w:tcBorders>
              <w:bottom w:val="single" w:sz="12" w:space="0" w:color="000000"/>
            </w:tcBorders>
            <w:tcMar>
              <w:bottom w:w="28" w:type="dxa"/>
            </w:tcM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852" w:type="dxa"/>
            <w:tcBorders>
              <w:bottom w:val="single" w:sz="12" w:space="0" w:color="000000"/>
            </w:tcBorders>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(77,886</w:t>
            </w:r>
          </w:p>
        </w:tc>
        <w:tc>
          <w:tcPr>
            <w:tcW w:w="80"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vAlign w:val="center"/>
          </w:tcPr>
          <w:p>
            <w:pPr>
              <w:pStyle w:val="TableContents"/>
              <w:bidi w:val="0"/>
              <w:spacing w:before="0" w:after="283"/>
              <w:jc w:val="left"/>
              <w:rPr/>
            </w:pPr>
            <w:r>
              <w:rPr/>
              <w:t> </w:t>
            </w:r>
          </w:p>
        </w:tc>
        <w:tc>
          <w:tcPr>
            <w:tcW w:w="137" w:type="dxa"/>
            <w:tcBorders>
              <w:bottom w:val="single" w:sz="12" w:space="0" w:color="000000"/>
            </w:tcBorders>
            <w:tcMar>
              <w:bottom w:w="28" w:type="dxa"/>
            </w:tcM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833" w:type="dxa"/>
            <w:tcBorders>
              <w:bottom w:val="single" w:sz="12" w:space="0" w:color="000000"/>
            </w:tcBorders>
            <w:tcMar>
              <w:bottom w:w="28" w:type="dxa"/>
            </w:tcMar>
            <w:vAlign w:val="center"/>
          </w:tcPr>
          <w:p>
            <w:pPr>
              <w:pStyle w:val="TableContents"/>
              <w:bidi w:val="0"/>
              <w:spacing w:lineRule="auto" w:line="300" w:before="0" w:after="0"/>
              <w:jc w:val="right"/>
              <w:rPr/>
            </w:pPr>
            <w:r>
              <w:rPr/>
              <w:t>-</w:t>
            </w:r>
          </w:p>
        </w:tc>
        <w:tc>
          <w:tcPr>
            <w:tcW w:w="88" w:type="dxa"/>
            <w:tcBorders/>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283"/>
              <w:jc w:val="left"/>
              <w:rPr/>
            </w:pPr>
            <w:r>
              <w:rPr/>
              <w:t> </w:t>
            </w:r>
          </w:p>
        </w:tc>
        <w:tc>
          <w:tcPr>
            <w:tcW w:w="154" w:type="dxa"/>
            <w:tcBorders>
              <w:bottom w:val="single" w:sz="12" w:space="0" w:color="000000"/>
            </w:tcBorders>
            <w:tcMar>
              <w:bottom w:w="28" w:type="dxa"/>
            </w:tcMar>
            <w:vAlign w:val="center"/>
          </w:tcPr>
          <w:p>
            <w:pPr>
              <w:pStyle w:val="TableContents"/>
              <w:bidi w:val="0"/>
              <w:spacing w:before="0" w:after="283"/>
              <w:jc w:val="left"/>
              <w:rPr/>
            </w:pPr>
            <w:r>
              <w:rPr/>
              <w:t>$</w:t>
            </w:r>
          </w:p>
        </w:tc>
        <w:tc>
          <w:tcPr>
            <w:tcW w:w="833" w:type="dxa"/>
            <w:tcBorders>
              <w:bottom w:val="single" w:sz="12" w:space="0" w:color="000000"/>
            </w:tcBorders>
            <w:tcMar>
              <w:bottom w:w="28" w:type="dxa"/>
            </w:tcMar>
            <w:vAlign w:val="center"/>
          </w:tcPr>
          <w:p>
            <w:pPr>
              <w:pStyle w:val="TableContents"/>
              <w:bidi w:val="0"/>
              <w:spacing w:lineRule="auto" w:line="300" w:before="0" w:after="0"/>
              <w:jc w:val="right"/>
              <w:rPr/>
            </w:pPr>
            <w:r>
              <w:rPr/>
              <w:t>(77,886</w:t>
            </w:r>
          </w:p>
        </w:tc>
        <w:tc>
          <w:tcPr>
            <w:tcW w:w="103"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r>
      <w:tr>
        <w:trPr/>
        <w:tc>
          <w:tcPr>
            <w:tcW w:w="5717" w:type="dxa"/>
            <w:tcBorders/>
            <w:shd w:fill="CCEEFF" w:val="clear"/>
            <w:vAlign w:val="center"/>
          </w:tcPr>
          <w:p>
            <w:pPr>
              <w:pStyle w:val="TableContents"/>
              <w:bidi w:val="0"/>
              <w:spacing w:lineRule="auto" w:line="300" w:before="0" w:after="0"/>
              <w:jc w:val="left"/>
              <w:rPr>
                <w:rFonts w:ascii="Times New Roman;Times;serif" w:hAnsi="Times New Roman;Times;serif"/>
                <w:b/>
                <w:sz w:val="20"/>
              </w:rPr>
            </w:pPr>
            <w:r>
              <w:rPr>
                <w:rFonts w:ascii="Times New Roman;Times;serif" w:hAnsi="Times New Roman;Times;serif"/>
                <w:b/>
                <w:sz w:val="20"/>
              </w:rPr>
              <w:t>Unrealized gains (losses) on foreign currency translation</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714" w:type="dxa"/>
            <w:tcBorders/>
            <w:shd w:fill="CCEEFF" w:val="clear"/>
            <w:vAlign w:val="center"/>
          </w:tcPr>
          <w:p>
            <w:pPr>
              <w:pStyle w:val="TableContents"/>
              <w:bidi w:val="0"/>
              <w:spacing w:before="0" w:after="283"/>
              <w:jc w:val="right"/>
              <w:rPr/>
            </w:pPr>
            <w:r>
              <w:rPr/>
              <w:t> </w:t>
            </w:r>
          </w:p>
        </w:tc>
        <w:tc>
          <w:tcPr>
            <w:tcW w:w="104"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852"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pPr>
            <w:r>
              <w:rPr/>
              <w:t> </w:t>
            </w:r>
          </w:p>
        </w:tc>
        <w:tc>
          <w:tcPr>
            <w:tcW w:w="833" w:type="dxa"/>
            <w:tcBorders/>
            <w:shd w:fill="CCEEFF" w:val="clear"/>
            <w:vAlign w:val="center"/>
          </w:tcPr>
          <w:p>
            <w:pPr>
              <w:pStyle w:val="TableContents"/>
              <w:bidi w:val="0"/>
              <w:spacing w:before="0" w:after="283"/>
              <w:jc w:val="right"/>
              <w:rPr/>
            </w:pPr>
            <w:r>
              <w:rPr/>
              <w:t> </w:t>
            </w:r>
          </w:p>
        </w:tc>
        <w:tc>
          <w:tcPr>
            <w:tcW w:w="88"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833" w:type="dxa"/>
            <w:tcBorders/>
            <w:shd w:fill="CCEEFF" w:val="clear"/>
            <w:vAlign w:val="center"/>
          </w:tcPr>
          <w:p>
            <w:pPr>
              <w:pStyle w:val="TableContents"/>
              <w:bidi w:val="0"/>
              <w:spacing w:before="0" w:after="283"/>
              <w:jc w:val="right"/>
              <w:rPr/>
            </w:pPr>
            <w:r>
              <w:rPr/>
              <w:t> </w:t>
            </w:r>
          </w:p>
        </w:tc>
        <w:tc>
          <w:tcPr>
            <w:tcW w:w="103" w:type="dxa"/>
            <w:tcBorders/>
            <w:shd w:fill="CCEEFF" w:val="clear"/>
            <w:vAlign w:val="center"/>
          </w:tcPr>
          <w:p>
            <w:pPr>
              <w:pStyle w:val="TableContents"/>
              <w:bidi w:val="0"/>
              <w:spacing w:before="0" w:after="283"/>
              <w:jc w:val="left"/>
              <w:rPr/>
            </w:pPr>
            <w:r>
              <w:rPr/>
              <w:t> </w:t>
            </w:r>
          </w:p>
        </w:tc>
      </w:tr>
      <w:tr>
        <w:trPr/>
        <w:tc>
          <w:tcPr>
            <w:tcW w:w="5717"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Beginning balance</w:t>
            </w:r>
          </w:p>
        </w:tc>
        <w:tc>
          <w:tcPr>
            <w:tcW w:w="60" w:type="dxa"/>
            <w:tcBorders/>
            <w:vAlign w:val="center"/>
          </w:tcPr>
          <w:p>
            <w:pPr>
              <w:pStyle w:val="TableContents"/>
              <w:bidi w:val="0"/>
              <w:spacing w:before="0" w:after="283"/>
              <w:jc w:val="left"/>
              <w:rPr/>
            </w:pPr>
            <w:r>
              <w:rPr/>
              <w:t> </w:t>
            </w:r>
          </w:p>
        </w:tc>
        <w:tc>
          <w:tcPr>
            <w:tcW w:w="163"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714"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5,157</w:t>
            </w:r>
          </w:p>
        </w:tc>
        <w:tc>
          <w:tcPr>
            <w:tcW w:w="104"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pPr>
            <w:r>
              <w:rPr/>
              <w:t> </w:t>
            </w:r>
          </w:p>
        </w:tc>
        <w:tc>
          <w:tcPr>
            <w:tcW w:w="163"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852"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4,826</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833" w:type="dxa"/>
            <w:tcBorders/>
            <w:vAlign w:val="center"/>
          </w:tcPr>
          <w:p>
            <w:pPr>
              <w:pStyle w:val="TableContents"/>
              <w:bidi w:val="0"/>
              <w:spacing w:lineRule="auto" w:line="300" w:before="0" w:after="0"/>
              <w:jc w:val="right"/>
              <w:rPr/>
            </w:pPr>
            <w:r>
              <w:rPr/>
              <w:t>(722</w:t>
            </w:r>
          </w:p>
        </w:tc>
        <w:tc>
          <w:tcPr>
            <w:tcW w:w="88"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6" w:type="dxa"/>
            <w:tcBorders/>
            <w:vAlign w:val="center"/>
          </w:tcPr>
          <w:p>
            <w:pPr>
              <w:pStyle w:val="TableContents"/>
              <w:bidi w:val="0"/>
              <w:spacing w:before="0" w:after="283"/>
              <w:jc w:val="left"/>
              <w:rPr/>
            </w:pPr>
            <w:r>
              <w:rPr/>
              <w:t> </w:t>
            </w:r>
          </w:p>
        </w:tc>
        <w:tc>
          <w:tcPr>
            <w:tcW w:w="154"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833" w:type="dxa"/>
            <w:tcBorders/>
            <w:vAlign w:val="center"/>
          </w:tcPr>
          <w:p>
            <w:pPr>
              <w:pStyle w:val="TableContents"/>
              <w:bidi w:val="0"/>
              <w:spacing w:lineRule="auto" w:line="300" w:before="0" w:after="0"/>
              <w:jc w:val="right"/>
              <w:rPr/>
            </w:pPr>
            <w:r>
              <w:rPr/>
              <w:t>1,360</w:t>
            </w:r>
          </w:p>
        </w:tc>
        <w:tc>
          <w:tcPr>
            <w:tcW w:w="103" w:type="dxa"/>
            <w:tcBorders/>
            <w:vAlign w:val="center"/>
          </w:tcPr>
          <w:p>
            <w:pPr>
              <w:pStyle w:val="TableContents"/>
              <w:bidi w:val="0"/>
              <w:spacing w:before="0" w:after="283"/>
              <w:jc w:val="left"/>
              <w:rPr/>
            </w:pPr>
            <w:r>
              <w:rPr/>
              <w:t> </w:t>
            </w:r>
          </w:p>
        </w:tc>
      </w:tr>
      <w:tr>
        <w:trPr/>
        <w:tc>
          <w:tcPr>
            <w:tcW w:w="5717" w:type="dxa"/>
            <w:tcBorders/>
            <w:shd w:fill="CCEEFF" w:val="clear"/>
            <w:vAlign w:val="center"/>
          </w:tcPr>
          <w:p>
            <w:pPr>
              <w:pStyle w:val="TableContents"/>
              <w:bidi w:val="0"/>
              <w:spacing w:lineRule="auto" w:line="300" w:before="0" w:after="0"/>
              <w:jc w:val="left"/>
              <w:rPr/>
            </w:pPr>
            <w:r>
              <w:rPr/>
              <w:t>     </w:t>
            </w:r>
            <w:r>
              <w:rPr>
                <w:rFonts w:ascii="Times New Roman;Times;serif" w:hAnsi="Times New Roman;Times;serif"/>
                <w:sz w:val="20"/>
              </w:rPr>
              <w:t>Revaluation</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714"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(12</w:t>
            </w:r>
          </w:p>
        </w:tc>
        <w:tc>
          <w:tcPr>
            <w:tcW w:w="104"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78"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852"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9,614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pPr>
            <w:r>
              <w:rPr/>
              <w:t> </w:t>
            </w:r>
          </w:p>
        </w:tc>
        <w:tc>
          <w:tcPr>
            <w:tcW w:w="833" w:type="dxa"/>
            <w:tcBorders/>
            <w:shd w:fill="CCEEFF" w:val="clear"/>
            <w:vAlign w:val="center"/>
          </w:tcPr>
          <w:p>
            <w:pPr>
              <w:pStyle w:val="TableContents"/>
              <w:bidi w:val="0"/>
              <w:spacing w:lineRule="auto" w:line="300" w:before="0" w:after="0"/>
              <w:jc w:val="right"/>
              <w:rPr/>
            </w:pPr>
            <w:r>
              <w:rPr/>
              <w:t>(1,531</w:t>
            </w:r>
          </w:p>
        </w:tc>
        <w:tc>
          <w:tcPr>
            <w:tcW w:w="88"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6"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833" w:type="dxa"/>
            <w:tcBorders/>
            <w:shd w:fill="CCEEFF" w:val="clear"/>
            <w:vAlign w:val="center"/>
          </w:tcPr>
          <w:p>
            <w:pPr>
              <w:pStyle w:val="TableContents"/>
              <w:bidi w:val="0"/>
              <w:spacing w:lineRule="auto" w:line="300" w:before="0" w:after="0"/>
              <w:jc w:val="right"/>
              <w:rPr/>
            </w:pPr>
            <w:r>
              <w:rPr/>
              <w:t>13,080</w:t>
            </w:r>
          </w:p>
        </w:tc>
        <w:tc>
          <w:tcPr>
            <w:tcW w:w="103" w:type="dxa"/>
            <w:tcBorders/>
            <w:shd w:fill="CCEEFF" w:val="clear"/>
            <w:vAlign w:val="center"/>
          </w:tcPr>
          <w:p>
            <w:pPr>
              <w:pStyle w:val="TableContents"/>
              <w:bidi w:val="0"/>
              <w:spacing w:before="0" w:after="283"/>
              <w:jc w:val="left"/>
              <w:rPr/>
            </w:pPr>
            <w:r>
              <w:rPr/>
              <w:t> </w:t>
            </w:r>
          </w:p>
        </w:tc>
      </w:tr>
      <w:tr>
        <w:trPr/>
        <w:tc>
          <w:tcPr>
            <w:tcW w:w="5717" w:type="dxa"/>
            <w:tcBorders/>
            <w:vAlign w:val="center"/>
          </w:tcPr>
          <w:p>
            <w:pPr>
              <w:pStyle w:val="TableContents"/>
              <w:bidi w:val="0"/>
              <w:spacing w:lineRule="auto" w:line="300" w:before="0" w:after="0"/>
              <w:ind w:left="240" w:right="0" w:hanging="0"/>
              <w:jc w:val="left"/>
              <w:rPr>
                <w:rFonts w:ascii="Times New Roman;Times;serif" w:hAnsi="Times New Roman;Times;serif"/>
                <w:sz w:val="20"/>
              </w:rPr>
            </w:pPr>
            <w:r>
              <w:rPr>
                <w:rFonts w:ascii="Times New Roman;Times;serif" w:hAnsi="Times New Roman;Times;serif"/>
                <w:sz w:val="20"/>
              </w:rPr>
              <w:t>Reclassification</w:t>
            </w:r>
          </w:p>
        </w:tc>
        <w:tc>
          <w:tcPr>
            <w:tcW w:w="60" w:type="dxa"/>
            <w:tcBorders/>
            <w:vAlign w:val="center"/>
          </w:tcPr>
          <w:p>
            <w:pPr>
              <w:pStyle w:val="TableContents"/>
              <w:bidi w:val="0"/>
              <w:spacing w:before="0" w:after="283"/>
              <w:jc w:val="left"/>
              <w:rPr/>
            </w:pPr>
            <w:r>
              <w:rPr/>
              <w:t> </w:t>
            </w:r>
          </w:p>
        </w:tc>
        <w:tc>
          <w:tcPr>
            <w:tcW w:w="163" w:type="dxa"/>
            <w:tcBorders/>
            <w:vAlign w:val="center"/>
          </w:tcPr>
          <w:p>
            <w:pPr>
              <w:pStyle w:val="TableContents"/>
              <w:bidi w:val="0"/>
              <w:spacing w:before="0" w:after="283"/>
              <w:jc w:val="left"/>
              <w:rPr/>
            </w:pPr>
            <w:r>
              <w:rPr/>
              <w:t> </w:t>
            </w:r>
          </w:p>
        </w:tc>
        <w:tc>
          <w:tcPr>
            <w:tcW w:w="714"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w:t>
            </w:r>
          </w:p>
        </w:tc>
        <w:tc>
          <w:tcPr>
            <w:tcW w:w="104"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pPr>
            <w:r>
              <w:rPr/>
              <w:t> </w:t>
            </w:r>
          </w:p>
        </w:tc>
        <w:tc>
          <w:tcPr>
            <w:tcW w:w="163" w:type="dxa"/>
            <w:tcBorders/>
            <w:vAlign w:val="center"/>
          </w:tcPr>
          <w:p>
            <w:pPr>
              <w:pStyle w:val="TableContents"/>
              <w:bidi w:val="0"/>
              <w:spacing w:before="0" w:after="283"/>
              <w:jc w:val="left"/>
              <w:rPr/>
            </w:pPr>
            <w:r>
              <w:rPr/>
              <w:t> </w:t>
            </w:r>
          </w:p>
        </w:tc>
        <w:tc>
          <w:tcPr>
            <w:tcW w:w="852"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 w:type="dxa"/>
            <w:tcBorders/>
            <w:vAlign w:val="center"/>
          </w:tcPr>
          <w:p>
            <w:pPr>
              <w:pStyle w:val="TableContents"/>
              <w:bidi w:val="0"/>
              <w:spacing w:before="0" w:after="283"/>
              <w:jc w:val="left"/>
              <w:rPr/>
            </w:pPr>
            <w:r>
              <w:rPr/>
              <w:t> </w:t>
            </w:r>
          </w:p>
        </w:tc>
        <w:tc>
          <w:tcPr>
            <w:tcW w:w="833" w:type="dxa"/>
            <w:tcBorders/>
            <w:vAlign w:val="center"/>
          </w:tcPr>
          <w:p>
            <w:pPr>
              <w:pStyle w:val="TableContents"/>
              <w:bidi w:val="0"/>
              <w:spacing w:lineRule="auto" w:line="300" w:before="0" w:after="0"/>
              <w:jc w:val="right"/>
              <w:rPr/>
            </w:pPr>
            <w:r>
              <w:rPr/>
              <w:t>7,398</w:t>
            </w:r>
          </w:p>
        </w:tc>
        <w:tc>
          <w:tcPr>
            <w:tcW w:w="88" w:type="dxa"/>
            <w:tcBorders/>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283"/>
              <w:jc w:val="left"/>
              <w:rPr/>
            </w:pPr>
            <w:r>
              <w:rPr/>
              <w:t> </w:t>
            </w:r>
          </w:p>
        </w:tc>
        <w:tc>
          <w:tcPr>
            <w:tcW w:w="833" w:type="dxa"/>
            <w:tcBorders/>
            <w:vAlign w:val="center"/>
          </w:tcPr>
          <w:p>
            <w:pPr>
              <w:pStyle w:val="TableContents"/>
              <w:bidi w:val="0"/>
              <w:spacing w:lineRule="auto" w:line="300" w:before="0" w:after="0"/>
              <w:jc w:val="right"/>
              <w:rPr/>
            </w:pPr>
            <w:r>
              <w:rPr/>
              <w:t>-</w:t>
            </w:r>
          </w:p>
        </w:tc>
        <w:tc>
          <w:tcPr>
            <w:tcW w:w="103" w:type="dxa"/>
            <w:tcBorders/>
            <w:vAlign w:val="center"/>
          </w:tcPr>
          <w:p>
            <w:pPr>
              <w:pStyle w:val="TableContents"/>
              <w:bidi w:val="0"/>
              <w:spacing w:before="0" w:after="283"/>
              <w:jc w:val="left"/>
              <w:rPr/>
            </w:pPr>
            <w:r>
              <w:rPr/>
              <w:t> </w:t>
            </w:r>
          </w:p>
        </w:tc>
      </w:tr>
      <w:tr>
        <w:trPr/>
        <w:tc>
          <w:tcPr>
            <w:tcW w:w="5717"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Net current period other comprehensive income (loss)</w:t>
            </w:r>
          </w:p>
        </w:tc>
        <w:tc>
          <w:tcPr>
            <w:tcW w:w="60" w:type="dxa"/>
            <w:tcBorders/>
            <w:shd w:fill="CCEEFF" w:val="clear"/>
            <w:vAlign w:val="center"/>
          </w:tcPr>
          <w:p>
            <w:pPr>
              <w:pStyle w:val="TableContents"/>
              <w:bidi w:val="0"/>
              <w:spacing w:before="0" w:after="283"/>
              <w:jc w:val="left"/>
              <w:rPr/>
            </w:pPr>
            <w:r>
              <w:rPr/>
              <w:t> </w:t>
            </w:r>
          </w:p>
        </w:tc>
        <w:tc>
          <w:tcPr>
            <w:tcW w:w="16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14" w:type="dxa"/>
            <w:tcBorders>
              <w:bottom w:val="single" w:sz="12" w:space="0" w:color="000000"/>
            </w:tcBorders>
            <w:shd w:fill="CCEEFF" w:val="clear"/>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(12</w:t>
            </w:r>
          </w:p>
        </w:tc>
        <w:tc>
          <w:tcPr>
            <w:tcW w:w="104"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78" w:type="dxa"/>
            <w:tcBorders/>
            <w:shd w:fill="CCEEFF" w:val="clear"/>
            <w:vAlign w:val="center"/>
          </w:tcPr>
          <w:p>
            <w:pPr>
              <w:pStyle w:val="TableContents"/>
              <w:bidi w:val="0"/>
              <w:spacing w:before="0" w:after="283"/>
              <w:jc w:val="left"/>
              <w:rPr/>
            </w:pPr>
            <w:r>
              <w:rPr/>
              <w:t> </w:t>
            </w:r>
          </w:p>
        </w:tc>
        <w:tc>
          <w:tcPr>
            <w:tcW w:w="16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52" w:type="dxa"/>
            <w:tcBorders>
              <w:bottom w:val="single" w:sz="12" w:space="0" w:color="000000"/>
            </w:tcBorders>
            <w:shd w:fill="CCEEFF" w:val="clear"/>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9,614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33" w:type="dxa"/>
            <w:tcBorders>
              <w:bottom w:val="single" w:sz="12" w:space="0" w:color="000000"/>
            </w:tcBorders>
            <w:shd w:fill="CCEEFF" w:val="clear"/>
            <w:tcMar>
              <w:bottom w:w="28" w:type="dxa"/>
            </w:tcMar>
            <w:vAlign w:val="center"/>
          </w:tcPr>
          <w:p>
            <w:pPr>
              <w:pStyle w:val="TableContents"/>
              <w:bidi w:val="0"/>
              <w:spacing w:lineRule="auto" w:line="300" w:before="0" w:after="0"/>
              <w:jc w:val="right"/>
              <w:rPr/>
            </w:pPr>
            <w:r>
              <w:rPr/>
              <w:t>5,867</w:t>
            </w:r>
          </w:p>
        </w:tc>
        <w:tc>
          <w:tcPr>
            <w:tcW w:w="88"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5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33" w:type="dxa"/>
            <w:tcBorders>
              <w:bottom w:val="single" w:sz="12" w:space="0" w:color="000000"/>
            </w:tcBorders>
            <w:shd w:fill="CCEEFF" w:val="clear"/>
            <w:tcMar>
              <w:bottom w:w="28" w:type="dxa"/>
            </w:tcMar>
            <w:vAlign w:val="center"/>
          </w:tcPr>
          <w:p>
            <w:pPr>
              <w:pStyle w:val="TableContents"/>
              <w:bidi w:val="0"/>
              <w:spacing w:lineRule="auto" w:line="300" w:before="0" w:after="0"/>
              <w:jc w:val="right"/>
              <w:rPr/>
            </w:pPr>
            <w:r>
              <w:rPr/>
              <w:t>13,080</w:t>
            </w:r>
          </w:p>
        </w:tc>
        <w:tc>
          <w:tcPr>
            <w:tcW w:w="103" w:type="dxa"/>
            <w:tcBorders/>
            <w:shd w:fill="CCEEFF" w:val="clear"/>
            <w:vAlign w:val="center"/>
          </w:tcPr>
          <w:p>
            <w:pPr>
              <w:pStyle w:val="TableContents"/>
              <w:bidi w:val="0"/>
              <w:spacing w:before="0" w:after="283"/>
              <w:jc w:val="left"/>
              <w:rPr/>
            </w:pPr>
            <w:r>
              <w:rPr/>
              <w:t> </w:t>
            </w:r>
          </w:p>
        </w:tc>
      </w:tr>
      <w:tr>
        <w:trPr/>
        <w:tc>
          <w:tcPr>
            <w:tcW w:w="5717"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Ending balance</w:t>
            </w:r>
          </w:p>
        </w:tc>
        <w:tc>
          <w:tcPr>
            <w:tcW w:w="60" w:type="dxa"/>
            <w:tcBorders/>
            <w:vAlign w:val="center"/>
          </w:tcPr>
          <w:p>
            <w:pPr>
              <w:pStyle w:val="TableContents"/>
              <w:bidi w:val="0"/>
              <w:spacing w:before="0" w:after="283"/>
              <w:jc w:val="left"/>
              <w:rPr/>
            </w:pPr>
            <w:r>
              <w:rPr/>
              <w:t> </w:t>
            </w:r>
          </w:p>
        </w:tc>
        <w:tc>
          <w:tcPr>
            <w:tcW w:w="163" w:type="dxa"/>
            <w:tcBorders>
              <w:bottom w:val="single" w:sz="12" w:space="0" w:color="000000"/>
            </w:tcBorders>
            <w:tcMar>
              <w:bottom w:w="28" w:type="dxa"/>
            </w:tcM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714" w:type="dxa"/>
            <w:tcBorders>
              <w:bottom w:val="single" w:sz="12" w:space="0" w:color="000000"/>
            </w:tcBorders>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5,145</w:t>
            </w:r>
          </w:p>
        </w:tc>
        <w:tc>
          <w:tcPr>
            <w:tcW w:w="104"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pPr>
            <w:r>
              <w:rPr/>
              <w:t> </w:t>
            </w:r>
          </w:p>
        </w:tc>
        <w:tc>
          <w:tcPr>
            <w:tcW w:w="163" w:type="dxa"/>
            <w:tcBorders>
              <w:bottom w:val="single" w:sz="12" w:space="0" w:color="000000"/>
            </w:tcBorders>
            <w:tcMar>
              <w:bottom w:w="28" w:type="dxa"/>
            </w:tcM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852" w:type="dxa"/>
            <w:tcBorders>
              <w:bottom w:val="single" w:sz="12" w:space="0" w:color="000000"/>
            </w:tcBorders>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14,440</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 w:type="dxa"/>
            <w:tcBorders>
              <w:bottom w:val="single" w:sz="12" w:space="0" w:color="000000"/>
            </w:tcBorders>
            <w:tcMar>
              <w:bottom w:w="28" w:type="dxa"/>
            </w:tcM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833" w:type="dxa"/>
            <w:tcBorders>
              <w:bottom w:val="single" w:sz="12" w:space="0" w:color="000000"/>
            </w:tcBorders>
            <w:tcMar>
              <w:bottom w:w="28" w:type="dxa"/>
            </w:tcMar>
            <w:vAlign w:val="center"/>
          </w:tcPr>
          <w:p>
            <w:pPr>
              <w:pStyle w:val="TableContents"/>
              <w:bidi w:val="0"/>
              <w:spacing w:lineRule="auto" w:line="300" w:before="0" w:after="0"/>
              <w:jc w:val="right"/>
              <w:rPr/>
            </w:pPr>
            <w:r>
              <w:rPr/>
              <w:t>5,145</w:t>
            </w:r>
          </w:p>
        </w:tc>
        <w:tc>
          <w:tcPr>
            <w:tcW w:w="88" w:type="dxa"/>
            <w:tcBorders/>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283"/>
              <w:jc w:val="left"/>
              <w:rPr/>
            </w:pPr>
            <w:r>
              <w:rPr/>
              <w:t> </w:t>
            </w:r>
          </w:p>
        </w:tc>
        <w:tc>
          <w:tcPr>
            <w:tcW w:w="154" w:type="dxa"/>
            <w:tcBorders>
              <w:bottom w:val="single" w:sz="12" w:space="0" w:color="000000"/>
            </w:tcBorders>
            <w:tcMar>
              <w:bottom w:w="28" w:type="dxa"/>
            </w:tcM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833" w:type="dxa"/>
            <w:tcBorders>
              <w:bottom w:val="single" w:sz="12" w:space="0" w:color="000000"/>
            </w:tcBorders>
            <w:tcMar>
              <w:bottom w:w="28" w:type="dxa"/>
            </w:tcMar>
            <w:vAlign w:val="center"/>
          </w:tcPr>
          <w:p>
            <w:pPr>
              <w:pStyle w:val="TableContents"/>
              <w:bidi w:val="0"/>
              <w:spacing w:lineRule="auto" w:line="300" w:before="0" w:after="0"/>
              <w:jc w:val="right"/>
              <w:rPr/>
            </w:pPr>
            <w:r>
              <w:rPr/>
              <w:t>14,440</w:t>
            </w:r>
          </w:p>
        </w:tc>
        <w:tc>
          <w:tcPr>
            <w:tcW w:w="103" w:type="dxa"/>
            <w:tcBorders/>
            <w:vAlign w:val="center"/>
          </w:tcPr>
          <w:p>
            <w:pPr>
              <w:pStyle w:val="TableContents"/>
              <w:bidi w:val="0"/>
              <w:spacing w:before="0" w:after="283"/>
              <w:jc w:val="left"/>
              <w:rPr/>
            </w:pPr>
            <w:r>
              <w:rPr/>
              <w:t> </w:t>
            </w:r>
          </w:p>
        </w:tc>
      </w:tr>
      <w:tr>
        <w:trPr/>
        <w:tc>
          <w:tcPr>
            <w:tcW w:w="5717" w:type="dxa"/>
            <w:tcBorders/>
            <w:shd w:fill="CCEEFF" w:val="clear"/>
            <w:vAlign w:val="center"/>
          </w:tcPr>
          <w:p>
            <w:pPr>
              <w:pStyle w:val="TableContents"/>
              <w:bidi w:val="0"/>
              <w:spacing w:lineRule="auto" w:line="300" w:before="0" w:after="0"/>
              <w:jc w:val="left"/>
              <w:rPr>
                <w:rFonts w:ascii="Times New Roman;Times;serif" w:hAnsi="Times New Roman;Times;serif"/>
                <w:b/>
                <w:sz w:val="20"/>
              </w:rPr>
            </w:pPr>
            <w:r>
              <w:rPr>
                <w:rFonts w:ascii="Times New Roman;Times;serif" w:hAnsi="Times New Roman;Times;serif"/>
                <w:b/>
                <w:sz w:val="20"/>
              </w:rPr>
              <w:t>Total</w:t>
            </w:r>
          </w:p>
        </w:tc>
        <w:tc>
          <w:tcPr>
            <w:tcW w:w="60" w:type="dxa"/>
            <w:tcBorders/>
            <w:shd w:fill="CCEEFF" w:val="clear"/>
            <w:vAlign w:val="center"/>
          </w:tcPr>
          <w:p>
            <w:pPr>
              <w:pStyle w:val="TableContents"/>
              <w:bidi w:val="0"/>
              <w:spacing w:before="0" w:after="283"/>
              <w:jc w:val="left"/>
              <w:rPr/>
            </w:pPr>
            <w:r>
              <w:rPr/>
              <w:t> </w:t>
            </w:r>
          </w:p>
        </w:tc>
        <w:tc>
          <w:tcPr>
            <w:tcW w:w="163" w:type="dxa"/>
            <w:tcBorders>
              <w:bottom w:val="double" w:sz="8" w:space="0" w:color="000000"/>
            </w:tcBorders>
            <w:shd w:fill="CCEEFF" w:val="clear"/>
            <w:tcMar>
              <w:bottom w:w="28" w:type="dxa"/>
            </w:tcM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714" w:type="dxa"/>
            <w:tcBorders>
              <w:bottom w:val="double" w:sz="8" w:space="0" w:color="000000"/>
            </w:tcBorders>
            <w:shd w:fill="CCEEFF" w:val="clear"/>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8,813</w:t>
            </w:r>
          </w:p>
        </w:tc>
        <w:tc>
          <w:tcPr>
            <w:tcW w:w="104"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63" w:type="dxa"/>
            <w:tcBorders>
              <w:bottom w:val="double" w:sz="8" w:space="0" w:color="000000"/>
            </w:tcBorders>
            <w:shd w:fill="CCEEFF" w:val="clear"/>
            <w:tcMar>
              <w:bottom w:w="28" w:type="dxa"/>
            </w:tcM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852" w:type="dxa"/>
            <w:tcBorders>
              <w:bottom w:val="double" w:sz="8" w:space="0" w:color="000000"/>
            </w:tcBorders>
            <w:shd w:fill="CCEEFF" w:val="clear"/>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(57,868</w:t>
            </w:r>
          </w:p>
        </w:tc>
        <w:tc>
          <w:tcPr>
            <w:tcW w:w="80"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37" w:type="dxa"/>
            <w:tcBorders>
              <w:bottom w:val="double" w:sz="8" w:space="0" w:color="000000"/>
            </w:tcBorders>
            <w:shd w:fill="CCEEFF" w:val="clear"/>
            <w:tcMar>
              <w:bottom w:w="28" w:type="dxa"/>
            </w:tcM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833" w:type="dxa"/>
            <w:tcBorders>
              <w:bottom w:val="double" w:sz="8" w:space="0" w:color="000000"/>
            </w:tcBorders>
            <w:shd w:fill="CCEEFF" w:val="clear"/>
            <w:tcMar>
              <w:bottom w:w="28" w:type="dxa"/>
            </w:tcMar>
            <w:vAlign w:val="center"/>
          </w:tcPr>
          <w:p>
            <w:pPr>
              <w:pStyle w:val="TableContents"/>
              <w:bidi w:val="0"/>
              <w:spacing w:lineRule="auto" w:line="300" w:before="0" w:after="0"/>
              <w:jc w:val="right"/>
              <w:rPr/>
            </w:pPr>
            <w:r>
              <w:rPr/>
              <w:t>8,813</w:t>
            </w:r>
          </w:p>
        </w:tc>
        <w:tc>
          <w:tcPr>
            <w:tcW w:w="88"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54" w:type="dxa"/>
            <w:tcBorders>
              <w:bottom w:val="double" w:sz="8" w:space="0" w:color="000000"/>
            </w:tcBorders>
            <w:shd w:fill="CCEEFF" w:val="clear"/>
            <w:tcMar>
              <w:bottom w:w="28" w:type="dxa"/>
            </w:tcM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833" w:type="dxa"/>
            <w:tcBorders>
              <w:bottom w:val="double" w:sz="8" w:space="0" w:color="000000"/>
            </w:tcBorders>
            <w:shd w:fill="CCEEFF" w:val="clear"/>
            <w:tcMar>
              <w:bottom w:w="28" w:type="dxa"/>
            </w:tcMar>
            <w:vAlign w:val="center"/>
          </w:tcPr>
          <w:p>
            <w:pPr>
              <w:pStyle w:val="TableContents"/>
              <w:bidi w:val="0"/>
              <w:spacing w:lineRule="auto" w:line="300" w:before="0" w:after="0"/>
              <w:jc w:val="right"/>
              <w:rPr/>
            </w:pPr>
            <w:r>
              <w:rPr/>
              <w:t>(57,868</w:t>
            </w:r>
          </w:p>
        </w:tc>
        <w:tc>
          <w:tcPr>
            <w:tcW w:w="103"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pPr>
      <w:r>
        <w:rPr/>
        <w:t> </w:t>
      </w:r>
    </w:p>
    <w:p>
      <w:pPr>
        <w:pStyle w:val="TextBody"/>
        <w:bidi w:val="0"/>
        <w:spacing w:lineRule="auto" w:line="300" w:before="200" w:after="283"/>
        <w:jc w:val="center"/>
        <w:rPr/>
      </w:pPr>
      <w:r>
        <w:rPr>
          <w:b w:val="false"/>
          <w:i w:val="false"/>
          <w:caps w:val="false"/>
          <w:smallCaps w:val="false"/>
        </w:rPr>
        <w:t xml:space="preserve">SOLAREDGE TECHNOLOGIES INC. | 2026 Form 10-Q | F - </w:t>
      </w:r>
      <w:r>
        <w:rPr>
          <w:rFonts w:ascii="Times New Roman;Times;serif" w:hAnsi="Times New Roman;Times;serif"/>
          <w:sz w:val="20"/>
        </w:rPr>
        <w:t>26</w:t>
      </w:r>
    </w:p>
    <w:p>
      <w:pPr>
        <w:pStyle w:val="HorizontalLine"/>
        <w:bidi w:val="0"/>
        <w:spacing w:lineRule="auto" w:line="300" w:before="0" w:after="0"/>
        <w:jc w:val="left"/>
        <w:rPr/>
      </w:pPr>
      <w:r>
        <w:rPr/>
      </w:r>
    </w:p>
    <w:p>
      <w:pPr>
        <w:pStyle w:val="TextBody"/>
        <w:bidi w:val="0"/>
        <w:spacing w:lineRule="auto" w:line="300" w:before="0" w:after="0"/>
        <w:jc w:val="left"/>
        <w:rPr/>
      </w:pPr>
      <w:r>
        <w:rPr/>
        <w:t> </w:t>
      </w:r>
    </w:p>
    <w:p>
      <w:pPr>
        <w:pStyle w:val="TextBody"/>
        <w:bidi w:val="0"/>
        <w:spacing w:lineRule="auto" w:line="300" w:before="0" w:after="0"/>
        <w:ind w:left="360" w:right="360" w:hanging="0"/>
        <w:jc w:val="center"/>
        <w:rPr>
          <w:b/>
        </w:rPr>
      </w:pPr>
      <w:r>
        <w:rPr>
          <w:b/>
        </w:rPr>
        <w:t>SOLAREDGE TECHNOLOGIES, INC.</w:t>
      </w:r>
    </w:p>
    <w:p>
      <w:pPr>
        <w:pStyle w:val="TextBody"/>
        <w:bidi w:val="0"/>
        <w:spacing w:lineRule="auto" w:line="300" w:before="0" w:after="0"/>
        <w:jc w:val="left"/>
        <w:rPr/>
      </w:pPr>
      <w:r>
        <w:rPr/>
        <w:t> </w:t>
      </w:r>
    </w:p>
    <w:p>
      <w:pPr>
        <w:pStyle w:val="TextBody"/>
        <w:bidi w:val="0"/>
        <w:spacing w:lineRule="auto" w:line="300" w:before="0" w:after="0"/>
        <w:ind w:left="360" w:right="360" w:hanging="0"/>
        <w:jc w:val="center"/>
        <w:rPr>
          <w:b/>
        </w:rPr>
      </w:pPr>
      <w:r>
        <w:rPr>
          <w:b/>
        </w:rPr>
        <w:t>NOTES TO CONDENSED CONSOLIDATED FINANCIAL STATEMENTS (Unaudited)</w:t>
      </w:r>
    </w:p>
    <w:p>
      <w:pPr>
        <w:pStyle w:val="TextBody"/>
        <w:bidi w:val="0"/>
        <w:spacing w:lineRule="auto" w:line="300" w:before="0" w:after="0"/>
        <w:jc w:val="left"/>
        <w:rPr/>
      </w:pPr>
      <w:r>
        <w:rPr/>
        <w:t> </w:t>
      </w:r>
    </w:p>
    <w:p>
      <w:pPr>
        <w:pStyle w:val="TextBody"/>
        <w:bidi w:val="0"/>
        <w:spacing w:lineRule="auto" w:line="300"/>
        <w:ind w:left="360" w:right="360" w:hanging="0"/>
        <w:jc w:val="center"/>
        <w:rPr/>
      </w:pPr>
      <w:r>
        <w:rPr>
          <w:b/>
        </w:rPr>
        <w:t>(in thousands, except per share data</w:t>
      </w:r>
      <w:r>
        <w:rPr/>
        <w:t>)</w:t>
      </w:r>
    </w:p>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sz w:val="20"/>
        </w:rPr>
      </w:pPr>
      <w:r>
        <w:rPr>
          <w:rFonts w:ascii="Times New Roman;Times;serif" w:hAnsi="Times New Roman;Times;serif"/>
          <w:sz w:val="20"/>
        </w:rPr>
        <w:t>The following table summarizes the reclassification out of “Accumulated other comprehensive income (loss)”, net of taxes:</w:t>
      </w:r>
    </w:p>
    <w:p>
      <w:pPr>
        <w:pStyle w:val="TextBody"/>
        <w:bidi w:val="0"/>
        <w:spacing w:lineRule="auto" w:line="300" w:before="0" w:after="0"/>
        <w:jc w:val="both"/>
        <w:rPr/>
      </w:pPr>
      <w:r>
        <w:rPr/>
        <w:t> </w:t>
      </w:r>
    </w:p>
    <w:tbl>
      <w:tblPr>
        <w:tblW w:w="10205" w:type="dxa"/>
        <w:jc w:val="left"/>
        <w:tblInd w:w="0" w:type="dxa"/>
        <w:tblLayout w:type="fixed"/>
        <w:tblCellMar>
          <w:top w:w="0" w:type="dxa"/>
          <w:left w:w="0" w:type="dxa"/>
          <w:bottom w:w="28" w:type="dxa"/>
          <w:right w:w="0" w:type="dxa"/>
        </w:tblCellMar>
      </w:tblPr>
      <w:tblGrid>
        <w:gridCol w:w="4136"/>
        <w:gridCol w:w="60"/>
        <w:gridCol w:w="163"/>
        <w:gridCol w:w="635"/>
        <w:gridCol w:w="104"/>
        <w:gridCol w:w="78"/>
        <w:gridCol w:w="163"/>
        <w:gridCol w:w="635"/>
        <w:gridCol w:w="80"/>
        <w:gridCol w:w="60"/>
        <w:gridCol w:w="140"/>
        <w:gridCol w:w="849"/>
        <w:gridCol w:w="89"/>
        <w:gridCol w:w="67"/>
        <w:gridCol w:w="140"/>
        <w:gridCol w:w="629"/>
        <w:gridCol w:w="80"/>
        <w:gridCol w:w="2097"/>
      </w:tblGrid>
      <w:tr>
        <w:trPr/>
        <w:tc>
          <w:tcPr>
            <w:tcW w:w="4136" w:type="dxa"/>
            <w:tcBorders>
              <w:bottom w:val="single" w:sz="12" w:space="0" w:color="000000"/>
            </w:tcBorders>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Details about Accumulated Other Comprehensive Income (Loss) Components</w:t>
            </w:r>
          </w:p>
        </w:tc>
        <w:tc>
          <w:tcPr>
            <w:tcW w:w="60" w:type="dxa"/>
            <w:tcBorders/>
            <w:tcMar>
              <w:bottom w:w="0" w:type="dxa"/>
            </w:tcMar>
            <w:vAlign w:val="center"/>
          </w:tcPr>
          <w:p>
            <w:pPr>
              <w:pStyle w:val="TableContents"/>
              <w:bidi w:val="0"/>
              <w:spacing w:before="0" w:after="283"/>
              <w:jc w:val="left"/>
              <w:rPr/>
            </w:pPr>
            <w:r>
              <w:rPr/>
              <w:t> </w:t>
            </w:r>
          </w:p>
        </w:tc>
        <w:tc>
          <w:tcPr>
            <w:tcW w:w="1778" w:type="dxa"/>
            <w:gridSpan w:val="6"/>
            <w:tcBorders>
              <w:bottom w:val="single" w:sz="12" w:space="0" w:color="000000"/>
            </w:tcBorders>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Three Months Ended June 30,</w:t>
            </w:r>
          </w:p>
        </w:tc>
        <w:tc>
          <w:tcPr>
            <w:tcW w:w="8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914" w:type="dxa"/>
            <w:gridSpan w:val="6"/>
            <w:tcBorders>
              <w:bottom w:val="single" w:sz="12" w:space="0" w:color="000000"/>
            </w:tcBorders>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Six Months Ended June 30,</w:t>
            </w:r>
          </w:p>
        </w:tc>
        <w:tc>
          <w:tcPr>
            <w:tcW w:w="80" w:type="dxa"/>
            <w:tcBorders/>
            <w:tcMar>
              <w:bottom w:w="0" w:type="dxa"/>
            </w:tcMar>
            <w:vAlign w:val="center"/>
          </w:tcPr>
          <w:p>
            <w:pPr>
              <w:pStyle w:val="TableContents"/>
              <w:bidi w:val="0"/>
              <w:spacing w:before="0" w:after="283"/>
              <w:jc w:val="left"/>
              <w:rPr/>
            </w:pPr>
            <w:r>
              <w:rPr/>
              <w:t> </w:t>
            </w:r>
          </w:p>
        </w:tc>
        <w:tc>
          <w:tcPr>
            <w:tcW w:w="2097" w:type="dxa"/>
            <w:tcBorders>
              <w:bottom w:val="single" w:sz="12" w:space="0" w:color="000000"/>
            </w:tcBorders>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Affected Line Item in the  Statement of Loss</w:t>
            </w:r>
          </w:p>
        </w:tc>
      </w:tr>
      <w:tr>
        <w:trPr/>
        <w:tc>
          <w:tcPr>
            <w:tcW w:w="4136"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798" w:type="dxa"/>
            <w:gridSpan w:val="2"/>
            <w:tcBorders>
              <w:bottom w:val="single" w:sz="12" w:space="0" w:color="000000"/>
            </w:tcBorders>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2026</w:t>
            </w:r>
          </w:p>
        </w:tc>
        <w:tc>
          <w:tcPr>
            <w:tcW w:w="104" w:type="dxa"/>
            <w:tcBorders/>
            <w:tcMar>
              <w:bottom w:w="0" w:type="dxa"/>
            </w:tcMar>
            <w:vAlign w:val="center"/>
          </w:tcPr>
          <w:p>
            <w:pPr>
              <w:pStyle w:val="TableContents"/>
              <w:bidi w:val="0"/>
              <w:spacing w:before="0" w:after="283"/>
              <w:jc w:val="left"/>
              <w:rPr/>
            </w:pPr>
            <w:r>
              <w:rPr/>
              <w:t> </w:t>
            </w:r>
          </w:p>
        </w:tc>
        <w:tc>
          <w:tcPr>
            <w:tcW w:w="78" w:type="dxa"/>
            <w:tcBorders/>
            <w:tcMar>
              <w:bottom w:w="0" w:type="dxa"/>
            </w:tcMar>
            <w:vAlign w:val="center"/>
          </w:tcPr>
          <w:p>
            <w:pPr>
              <w:pStyle w:val="TableContents"/>
              <w:bidi w:val="0"/>
              <w:spacing w:before="0" w:after="283"/>
              <w:jc w:val="left"/>
              <w:rPr/>
            </w:pPr>
            <w:r>
              <w:rPr/>
              <w:t> </w:t>
            </w:r>
          </w:p>
        </w:tc>
        <w:tc>
          <w:tcPr>
            <w:tcW w:w="798" w:type="dxa"/>
            <w:gridSpan w:val="2"/>
            <w:tcBorders>
              <w:bottom w:val="single" w:sz="12" w:space="0" w:color="000000"/>
            </w:tcBorders>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2025</w:t>
            </w:r>
          </w:p>
        </w:tc>
        <w:tc>
          <w:tcPr>
            <w:tcW w:w="8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89" w:type="dxa"/>
            <w:gridSpan w:val="2"/>
            <w:tcBorders>
              <w:bottom w:val="single" w:sz="12" w:space="0" w:color="000000"/>
            </w:tcBorders>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2026</w:t>
            </w:r>
          </w:p>
        </w:tc>
        <w:tc>
          <w:tcPr>
            <w:tcW w:w="89" w:type="dxa"/>
            <w:tcBorders/>
            <w:tcMar>
              <w:bottom w:w="0" w:type="dxa"/>
            </w:tcMar>
            <w:vAlign w:val="center"/>
          </w:tcPr>
          <w:p>
            <w:pPr>
              <w:pStyle w:val="TableContents"/>
              <w:bidi w:val="0"/>
              <w:spacing w:before="0" w:after="283"/>
              <w:jc w:val="left"/>
              <w:rPr/>
            </w:pPr>
            <w:r>
              <w:rPr/>
              <w:t> </w:t>
            </w:r>
          </w:p>
        </w:tc>
        <w:tc>
          <w:tcPr>
            <w:tcW w:w="67" w:type="dxa"/>
            <w:tcBorders/>
            <w:tcMar>
              <w:bottom w:w="0" w:type="dxa"/>
            </w:tcMar>
            <w:vAlign w:val="center"/>
          </w:tcPr>
          <w:p>
            <w:pPr>
              <w:pStyle w:val="TableContents"/>
              <w:bidi w:val="0"/>
              <w:spacing w:before="0" w:after="283"/>
              <w:jc w:val="left"/>
              <w:rPr/>
            </w:pPr>
            <w:r>
              <w:rPr/>
              <w:t> </w:t>
            </w:r>
          </w:p>
        </w:tc>
        <w:tc>
          <w:tcPr>
            <w:tcW w:w="769" w:type="dxa"/>
            <w:gridSpan w:val="2"/>
            <w:tcBorders>
              <w:bottom w:val="single" w:sz="12" w:space="0" w:color="000000"/>
            </w:tcBorders>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2025</w:t>
            </w:r>
          </w:p>
        </w:tc>
        <w:tc>
          <w:tcPr>
            <w:tcW w:w="80" w:type="dxa"/>
            <w:tcBorders/>
            <w:tcMar>
              <w:bottom w:w="0" w:type="dxa"/>
            </w:tcMar>
            <w:vAlign w:val="center"/>
          </w:tcPr>
          <w:p>
            <w:pPr>
              <w:pStyle w:val="TableContents"/>
              <w:bidi w:val="0"/>
              <w:spacing w:before="0" w:after="283"/>
              <w:jc w:val="left"/>
              <w:rPr/>
            </w:pPr>
            <w:r>
              <w:rPr/>
              <w:t> </w:t>
            </w:r>
          </w:p>
        </w:tc>
        <w:tc>
          <w:tcPr>
            <w:tcW w:w="2097" w:type="dxa"/>
            <w:tcBorders/>
            <w:tcMar>
              <w:bottom w:w="0" w:type="dxa"/>
            </w:tcMar>
            <w:vAlign w:val="center"/>
          </w:tcPr>
          <w:p>
            <w:pPr>
              <w:pStyle w:val="TableContents"/>
              <w:bidi w:val="0"/>
              <w:spacing w:before="0" w:after="283"/>
              <w:jc w:val="left"/>
              <w:rPr/>
            </w:pPr>
            <w:r>
              <w:rPr/>
              <w:t> </w:t>
            </w:r>
          </w:p>
        </w:tc>
      </w:tr>
      <w:tr>
        <w:trPr/>
        <w:tc>
          <w:tcPr>
            <w:tcW w:w="4136" w:type="dxa"/>
            <w:tcBorders/>
            <w:shd w:fill="CCEEFF" w:val="clear"/>
            <w:tcMar>
              <w:bottom w:w="0" w:type="dxa"/>
            </w:tcM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Cash flow hedges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798" w:type="dxa"/>
            <w:gridSpan w:val="2"/>
            <w:tcBorders/>
            <w:shd w:fill="CCEEFF" w:val="clear"/>
            <w:tcMar>
              <w:bottom w:w="0" w:type="dxa"/>
            </w:tcMar>
            <w:vAlign w:val="center"/>
          </w:tcPr>
          <w:p>
            <w:pPr>
              <w:pStyle w:val="TableContents"/>
              <w:bidi w:val="0"/>
              <w:spacing w:before="0" w:after="283"/>
              <w:jc w:val="left"/>
              <w:rPr/>
            </w:pPr>
            <w:r>
              <w:rPr/>
              <w:t> </w:t>
            </w:r>
          </w:p>
        </w:tc>
        <w:tc>
          <w:tcPr>
            <w:tcW w:w="104" w:type="dxa"/>
            <w:tcBorders/>
            <w:shd w:fill="CCEEFF" w:val="clear"/>
            <w:tcMar>
              <w:bottom w:w="0" w:type="dxa"/>
            </w:tcMar>
            <w:vAlign w:val="center"/>
          </w:tcPr>
          <w:p>
            <w:pPr>
              <w:pStyle w:val="TableContents"/>
              <w:bidi w:val="0"/>
              <w:spacing w:before="0" w:after="283"/>
              <w:jc w:val="left"/>
              <w:rPr/>
            </w:pPr>
            <w:r>
              <w:rPr/>
              <w:t> </w:t>
            </w:r>
          </w:p>
        </w:tc>
        <w:tc>
          <w:tcPr>
            <w:tcW w:w="78" w:type="dxa"/>
            <w:tcBorders/>
            <w:shd w:fill="CCEEFF" w:val="clear"/>
            <w:tcMar>
              <w:bottom w:w="0" w:type="dxa"/>
            </w:tcMar>
            <w:vAlign w:val="center"/>
          </w:tcPr>
          <w:p>
            <w:pPr>
              <w:pStyle w:val="TableContents"/>
              <w:bidi w:val="0"/>
              <w:spacing w:before="0" w:after="283"/>
              <w:jc w:val="left"/>
              <w:rPr/>
            </w:pPr>
            <w:r>
              <w:rPr/>
              <w:t> </w:t>
            </w:r>
          </w:p>
        </w:tc>
        <w:tc>
          <w:tcPr>
            <w:tcW w:w="798" w:type="dxa"/>
            <w:gridSpan w:val="2"/>
            <w:tcBorders/>
            <w:shd w:fill="CCEEFF" w:val="clear"/>
            <w:tcMar>
              <w:bottom w:w="0" w:type="dxa"/>
            </w:tcMar>
            <w:vAlign w:val="center"/>
          </w:tcPr>
          <w:p>
            <w:pPr>
              <w:pStyle w:val="TableContents"/>
              <w:bidi w:val="0"/>
              <w:spacing w:before="0" w:after="283"/>
              <w:jc w:val="left"/>
              <w:rPr/>
            </w:pPr>
            <w:r>
              <w:rPr/>
              <w:t> </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9" w:type="dxa"/>
            <w:gridSpan w:val="2"/>
            <w:tcBorders/>
            <w:shd w:fill="CCEEFF" w:val="clear"/>
            <w:tcMar>
              <w:bottom w:w="0" w:type="dxa"/>
            </w:tcMar>
            <w:vAlign w:val="center"/>
          </w:tcPr>
          <w:p>
            <w:pPr>
              <w:pStyle w:val="TableContents"/>
              <w:bidi w:val="0"/>
              <w:spacing w:before="0" w:after="283"/>
              <w:jc w:val="left"/>
              <w:rPr/>
            </w:pPr>
            <w:r>
              <w:rPr/>
              <w:t> </w:t>
            </w:r>
          </w:p>
        </w:tc>
        <w:tc>
          <w:tcPr>
            <w:tcW w:w="89" w:type="dxa"/>
            <w:tcBorders/>
            <w:shd w:fill="CCEEFF" w:val="clear"/>
            <w:tcMar>
              <w:bottom w:w="0" w:type="dxa"/>
            </w:tcMar>
            <w:vAlign w:val="center"/>
          </w:tcPr>
          <w:p>
            <w:pPr>
              <w:pStyle w:val="TableContents"/>
              <w:bidi w:val="0"/>
              <w:spacing w:before="0" w:after="283"/>
              <w:jc w:val="left"/>
              <w:rPr/>
            </w:pPr>
            <w:r>
              <w:rPr/>
              <w:t> </w:t>
            </w:r>
          </w:p>
        </w:tc>
        <w:tc>
          <w:tcPr>
            <w:tcW w:w="67" w:type="dxa"/>
            <w:tcBorders/>
            <w:shd w:fill="CCEEFF" w:val="clear"/>
            <w:tcMar>
              <w:bottom w:w="0" w:type="dxa"/>
            </w:tcMar>
            <w:vAlign w:val="center"/>
          </w:tcPr>
          <w:p>
            <w:pPr>
              <w:pStyle w:val="TableContents"/>
              <w:bidi w:val="0"/>
              <w:spacing w:before="0" w:after="283"/>
              <w:jc w:val="left"/>
              <w:rPr/>
            </w:pPr>
            <w:r>
              <w:rPr/>
              <w:t> </w:t>
            </w:r>
          </w:p>
        </w:tc>
        <w:tc>
          <w:tcPr>
            <w:tcW w:w="769" w:type="dxa"/>
            <w:gridSpan w:val="2"/>
            <w:tcBorders/>
            <w:shd w:fill="CCEEFF" w:val="clear"/>
            <w:tcMar>
              <w:bottom w:w="0" w:type="dxa"/>
            </w:tcMar>
            <w:vAlign w:val="center"/>
          </w:tcPr>
          <w:p>
            <w:pPr>
              <w:pStyle w:val="TableContents"/>
              <w:bidi w:val="0"/>
              <w:spacing w:before="0" w:after="283"/>
              <w:jc w:val="left"/>
              <w:rPr/>
            </w:pPr>
            <w:r>
              <w:rPr/>
              <w:t> </w:t>
            </w:r>
          </w:p>
        </w:tc>
        <w:tc>
          <w:tcPr>
            <w:tcW w:w="80" w:type="dxa"/>
            <w:tcBorders/>
            <w:shd w:fill="CCEEFF" w:val="clear"/>
            <w:tcMar>
              <w:bottom w:w="0" w:type="dxa"/>
            </w:tcMar>
            <w:vAlign w:val="center"/>
          </w:tcPr>
          <w:p>
            <w:pPr>
              <w:pStyle w:val="TableContents"/>
              <w:bidi w:val="0"/>
              <w:spacing w:before="0" w:after="283"/>
              <w:jc w:val="left"/>
              <w:rPr/>
            </w:pPr>
            <w:r>
              <w:rPr/>
              <w:t> </w:t>
            </w:r>
          </w:p>
        </w:tc>
        <w:tc>
          <w:tcPr>
            <w:tcW w:w="2097" w:type="dxa"/>
            <w:tcBorders/>
            <w:shd w:fill="CCEEFF" w:val="clear"/>
            <w:tcMar>
              <w:bottom w:w="0" w:type="dxa"/>
            </w:tcMar>
            <w:vAlign w:val="center"/>
          </w:tcPr>
          <w:p>
            <w:pPr>
              <w:pStyle w:val="TableContents"/>
              <w:bidi w:val="0"/>
              <w:spacing w:before="0" w:after="283"/>
              <w:jc w:val="left"/>
              <w:rPr/>
            </w:pPr>
            <w:r>
              <w:rPr/>
              <w:t>     </w:t>
            </w:r>
          </w:p>
        </w:tc>
      </w:tr>
      <w:tr>
        <w:trPr/>
        <w:tc>
          <w:tcPr>
            <w:tcW w:w="4136"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63" w:type="dxa"/>
            <w:tcBorders/>
            <w:tcMar>
              <w:bottom w:w="0" w:type="dxa"/>
            </w:tcM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35" w:type="dxa"/>
            <w:tcBorders/>
            <w:tcMar>
              <w:bottom w:w="0"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469</w:t>
            </w:r>
          </w:p>
        </w:tc>
        <w:tc>
          <w:tcPr>
            <w:tcW w:w="104" w:type="dxa"/>
            <w:tcBorders/>
            <w:tcMar>
              <w:bottom w:w="0" w:type="dxa"/>
            </w:tcMar>
            <w:vAlign w:val="center"/>
          </w:tcPr>
          <w:p>
            <w:pPr>
              <w:pStyle w:val="TableContents"/>
              <w:bidi w:val="0"/>
              <w:spacing w:before="0" w:after="283"/>
              <w:jc w:val="left"/>
              <w:rPr/>
            </w:pPr>
            <w:r>
              <w:rPr/>
              <w:t> </w:t>
            </w:r>
          </w:p>
        </w:tc>
        <w:tc>
          <w:tcPr>
            <w:tcW w:w="78" w:type="dxa"/>
            <w:tcBorders/>
            <w:tcMar>
              <w:bottom w:w="0" w:type="dxa"/>
            </w:tcMar>
            <w:vAlign w:val="center"/>
          </w:tcPr>
          <w:p>
            <w:pPr>
              <w:pStyle w:val="TableContents"/>
              <w:bidi w:val="0"/>
              <w:spacing w:before="0" w:after="283"/>
              <w:jc w:val="left"/>
              <w:rPr/>
            </w:pPr>
            <w:r>
              <w:rPr/>
              <w:t> </w:t>
            </w:r>
          </w:p>
        </w:tc>
        <w:tc>
          <w:tcPr>
            <w:tcW w:w="163" w:type="dxa"/>
            <w:tcBorders/>
            <w:tcMar>
              <w:bottom w:w="0" w:type="dxa"/>
            </w:tcM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35" w:type="dxa"/>
            <w:tcBorders/>
            <w:tcMar>
              <w:bottom w:w="0"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347</w:t>
            </w:r>
          </w:p>
        </w:tc>
        <w:tc>
          <w:tcPr>
            <w:tcW w:w="8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40" w:type="dxa"/>
            <w:tcBorders/>
            <w:tcMar>
              <w:bottom w:w="0" w:type="dxa"/>
            </w:tcM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849" w:type="dxa"/>
            <w:tcBorders/>
            <w:tcMar>
              <w:bottom w:w="0" w:type="dxa"/>
            </w:tcMar>
            <w:vAlign w:val="center"/>
          </w:tcPr>
          <w:p>
            <w:pPr>
              <w:pStyle w:val="TableContents"/>
              <w:bidi w:val="0"/>
              <w:spacing w:lineRule="auto" w:line="300" w:before="0" w:after="0"/>
              <w:jc w:val="right"/>
              <w:rPr/>
            </w:pPr>
            <w:r>
              <w:rPr/>
              <w:t>600</w:t>
            </w:r>
          </w:p>
        </w:tc>
        <w:tc>
          <w:tcPr>
            <w:tcW w:w="89" w:type="dxa"/>
            <w:tcBorders/>
            <w:tcMar>
              <w:bottom w:w="0" w:type="dxa"/>
            </w:tcMar>
            <w:vAlign w:val="center"/>
          </w:tcPr>
          <w:p>
            <w:pPr>
              <w:pStyle w:val="TableContents"/>
              <w:bidi w:val="0"/>
              <w:spacing w:before="0" w:after="283"/>
              <w:jc w:val="left"/>
              <w:rPr/>
            </w:pPr>
            <w:r>
              <w:rPr/>
              <w:t> </w:t>
            </w:r>
          </w:p>
        </w:tc>
        <w:tc>
          <w:tcPr>
            <w:tcW w:w="67" w:type="dxa"/>
            <w:tcBorders/>
            <w:tcMar>
              <w:bottom w:w="0" w:type="dxa"/>
            </w:tcMar>
            <w:vAlign w:val="center"/>
          </w:tcPr>
          <w:p>
            <w:pPr>
              <w:pStyle w:val="TableContents"/>
              <w:bidi w:val="0"/>
              <w:spacing w:before="0" w:after="283"/>
              <w:jc w:val="left"/>
              <w:rPr/>
            </w:pPr>
            <w:r>
              <w:rPr/>
              <w:t> </w:t>
            </w:r>
          </w:p>
        </w:tc>
        <w:tc>
          <w:tcPr>
            <w:tcW w:w="140" w:type="dxa"/>
            <w:tcBorders/>
            <w:tcMar>
              <w:bottom w:w="0" w:type="dxa"/>
            </w:tcM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29" w:type="dxa"/>
            <w:tcBorders/>
            <w:tcMar>
              <w:bottom w:w="0" w:type="dxa"/>
            </w:tcMar>
            <w:vAlign w:val="center"/>
          </w:tcPr>
          <w:p>
            <w:pPr>
              <w:pStyle w:val="TableContents"/>
              <w:bidi w:val="0"/>
              <w:spacing w:lineRule="auto" w:line="300" w:before="0" w:after="0"/>
              <w:jc w:val="right"/>
              <w:rPr/>
            </w:pPr>
            <w:r>
              <w:rPr/>
              <w:t>431</w:t>
            </w:r>
          </w:p>
        </w:tc>
        <w:tc>
          <w:tcPr>
            <w:tcW w:w="80" w:type="dxa"/>
            <w:tcBorders/>
            <w:tcMar>
              <w:bottom w:w="0" w:type="dxa"/>
            </w:tcMar>
            <w:vAlign w:val="center"/>
          </w:tcPr>
          <w:p>
            <w:pPr>
              <w:pStyle w:val="TableContents"/>
              <w:bidi w:val="0"/>
              <w:spacing w:before="0" w:after="283"/>
              <w:jc w:val="left"/>
              <w:rPr/>
            </w:pPr>
            <w:r>
              <w:rPr/>
              <w:t> </w:t>
            </w:r>
          </w:p>
        </w:tc>
        <w:tc>
          <w:tcPr>
            <w:tcW w:w="2097" w:type="dxa"/>
            <w:tcBorders/>
            <w:tcMar>
              <w:bottom w:w="0" w:type="dxa"/>
            </w:tcM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Cost of revenues</w:t>
            </w:r>
          </w:p>
        </w:tc>
      </w:tr>
      <w:tr>
        <w:trPr/>
        <w:tc>
          <w:tcPr>
            <w:tcW w:w="4136"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3" w:type="dxa"/>
            <w:tcBorders/>
            <w:shd w:fill="CCEEFF" w:val="clear"/>
            <w:tcMar>
              <w:bottom w:w="0" w:type="dxa"/>
            </w:tcMar>
            <w:vAlign w:val="center"/>
          </w:tcPr>
          <w:p>
            <w:pPr>
              <w:pStyle w:val="TableContents"/>
              <w:bidi w:val="0"/>
              <w:spacing w:before="0" w:after="283"/>
              <w:jc w:val="left"/>
              <w:rPr/>
            </w:pPr>
            <w:r>
              <w:rPr/>
              <w:t> </w:t>
            </w:r>
          </w:p>
        </w:tc>
        <w:tc>
          <w:tcPr>
            <w:tcW w:w="635" w:type="dxa"/>
            <w:tcBorders/>
            <w:shd w:fill="CCEEFF" w:val="clear"/>
            <w:tcMar>
              <w:bottom w:w="0"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1,930</w:t>
            </w:r>
          </w:p>
        </w:tc>
        <w:tc>
          <w:tcPr>
            <w:tcW w:w="104" w:type="dxa"/>
            <w:tcBorders/>
            <w:shd w:fill="CCEEFF" w:val="clear"/>
            <w:tcMar>
              <w:bottom w:w="0" w:type="dxa"/>
            </w:tcMar>
            <w:vAlign w:val="center"/>
          </w:tcPr>
          <w:p>
            <w:pPr>
              <w:pStyle w:val="TableContents"/>
              <w:bidi w:val="0"/>
              <w:spacing w:before="0" w:after="283"/>
              <w:jc w:val="left"/>
              <w:rPr/>
            </w:pPr>
            <w:r>
              <w:rPr/>
              <w:t> </w:t>
            </w:r>
          </w:p>
        </w:tc>
        <w:tc>
          <w:tcPr>
            <w:tcW w:w="78" w:type="dxa"/>
            <w:tcBorders/>
            <w:shd w:fill="CCEEFF" w:val="clear"/>
            <w:tcMar>
              <w:bottom w:w="0" w:type="dxa"/>
            </w:tcMar>
            <w:vAlign w:val="center"/>
          </w:tcPr>
          <w:p>
            <w:pPr>
              <w:pStyle w:val="TableContents"/>
              <w:bidi w:val="0"/>
              <w:spacing w:before="0" w:after="283"/>
              <w:jc w:val="left"/>
              <w:rPr/>
            </w:pPr>
            <w:r>
              <w:rPr/>
              <w:t> </w:t>
            </w:r>
          </w:p>
        </w:tc>
        <w:tc>
          <w:tcPr>
            <w:tcW w:w="163" w:type="dxa"/>
            <w:tcBorders/>
            <w:shd w:fill="CCEEFF" w:val="clear"/>
            <w:tcMar>
              <w:bottom w:w="0" w:type="dxa"/>
            </w:tcMar>
            <w:vAlign w:val="center"/>
          </w:tcPr>
          <w:p>
            <w:pPr>
              <w:pStyle w:val="TableContents"/>
              <w:bidi w:val="0"/>
              <w:spacing w:before="0" w:after="283"/>
              <w:jc w:val="left"/>
              <w:rPr/>
            </w:pPr>
            <w:r>
              <w:rPr/>
              <w:t> </w:t>
            </w:r>
          </w:p>
        </w:tc>
        <w:tc>
          <w:tcPr>
            <w:tcW w:w="635" w:type="dxa"/>
            <w:tcBorders/>
            <w:shd w:fill="CCEEFF" w:val="clear"/>
            <w:tcMar>
              <w:bottom w:w="0"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838</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849" w:type="dxa"/>
            <w:tcBorders/>
            <w:shd w:fill="CCEEFF" w:val="clear"/>
            <w:tcMar>
              <w:bottom w:w="0" w:type="dxa"/>
            </w:tcMar>
            <w:vAlign w:val="center"/>
          </w:tcPr>
          <w:p>
            <w:pPr>
              <w:pStyle w:val="TableContents"/>
              <w:bidi w:val="0"/>
              <w:spacing w:lineRule="auto" w:line="300" w:before="0" w:after="0"/>
              <w:jc w:val="right"/>
              <w:rPr/>
            </w:pPr>
            <w:r>
              <w:rPr/>
              <w:t>2,562</w:t>
            </w:r>
          </w:p>
        </w:tc>
        <w:tc>
          <w:tcPr>
            <w:tcW w:w="89" w:type="dxa"/>
            <w:tcBorders/>
            <w:shd w:fill="CCEEFF" w:val="clear"/>
            <w:tcMar>
              <w:bottom w:w="0" w:type="dxa"/>
            </w:tcMar>
            <w:vAlign w:val="center"/>
          </w:tcPr>
          <w:p>
            <w:pPr>
              <w:pStyle w:val="TableContents"/>
              <w:bidi w:val="0"/>
              <w:spacing w:before="0" w:after="283"/>
              <w:jc w:val="left"/>
              <w:rPr/>
            </w:pPr>
            <w:r>
              <w:rPr/>
              <w:t> </w:t>
            </w:r>
          </w:p>
        </w:tc>
        <w:tc>
          <w:tcPr>
            <w:tcW w:w="67"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629" w:type="dxa"/>
            <w:tcBorders/>
            <w:shd w:fill="CCEEFF" w:val="clear"/>
            <w:tcMar>
              <w:bottom w:w="0" w:type="dxa"/>
            </w:tcMar>
            <w:vAlign w:val="center"/>
          </w:tcPr>
          <w:p>
            <w:pPr>
              <w:pStyle w:val="TableContents"/>
              <w:bidi w:val="0"/>
              <w:spacing w:lineRule="auto" w:line="300" w:before="0" w:after="0"/>
              <w:jc w:val="right"/>
              <w:rPr/>
            </w:pPr>
            <w:r>
              <w:rPr/>
              <w:t>1,295</w:t>
            </w:r>
          </w:p>
        </w:tc>
        <w:tc>
          <w:tcPr>
            <w:tcW w:w="80" w:type="dxa"/>
            <w:tcBorders/>
            <w:shd w:fill="CCEEFF" w:val="clear"/>
            <w:tcMar>
              <w:bottom w:w="0" w:type="dxa"/>
            </w:tcMar>
            <w:vAlign w:val="center"/>
          </w:tcPr>
          <w:p>
            <w:pPr>
              <w:pStyle w:val="TableContents"/>
              <w:bidi w:val="0"/>
              <w:spacing w:before="0" w:after="283"/>
              <w:jc w:val="left"/>
              <w:rPr/>
            </w:pPr>
            <w:r>
              <w:rPr/>
              <w:t> </w:t>
            </w:r>
          </w:p>
        </w:tc>
        <w:tc>
          <w:tcPr>
            <w:tcW w:w="2097" w:type="dxa"/>
            <w:tcBorders/>
            <w:shd w:fill="CCEEFF" w:val="clear"/>
            <w:tcMar>
              <w:bottom w:w="0" w:type="dxa"/>
            </w:tcM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Research and development, net</w:t>
            </w:r>
          </w:p>
        </w:tc>
      </w:tr>
      <w:tr>
        <w:trPr/>
        <w:tc>
          <w:tcPr>
            <w:tcW w:w="4136"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63" w:type="dxa"/>
            <w:tcBorders/>
            <w:tcMar>
              <w:bottom w:w="0" w:type="dxa"/>
            </w:tcMar>
            <w:vAlign w:val="center"/>
          </w:tcPr>
          <w:p>
            <w:pPr>
              <w:pStyle w:val="TableContents"/>
              <w:bidi w:val="0"/>
              <w:spacing w:before="0" w:after="283"/>
              <w:jc w:val="left"/>
              <w:rPr/>
            </w:pPr>
            <w:r>
              <w:rPr/>
              <w:t> </w:t>
            </w:r>
          </w:p>
        </w:tc>
        <w:tc>
          <w:tcPr>
            <w:tcW w:w="635" w:type="dxa"/>
            <w:tcBorders/>
            <w:tcMar>
              <w:bottom w:w="0"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375</w:t>
            </w:r>
          </w:p>
        </w:tc>
        <w:tc>
          <w:tcPr>
            <w:tcW w:w="104" w:type="dxa"/>
            <w:tcBorders/>
            <w:tcMar>
              <w:bottom w:w="0" w:type="dxa"/>
            </w:tcMar>
            <w:vAlign w:val="center"/>
          </w:tcPr>
          <w:p>
            <w:pPr>
              <w:pStyle w:val="TableContents"/>
              <w:bidi w:val="0"/>
              <w:spacing w:before="0" w:after="283"/>
              <w:jc w:val="left"/>
              <w:rPr/>
            </w:pPr>
            <w:r>
              <w:rPr/>
              <w:t> </w:t>
            </w:r>
          </w:p>
        </w:tc>
        <w:tc>
          <w:tcPr>
            <w:tcW w:w="78" w:type="dxa"/>
            <w:tcBorders/>
            <w:tcMar>
              <w:bottom w:w="0" w:type="dxa"/>
            </w:tcMar>
            <w:vAlign w:val="center"/>
          </w:tcPr>
          <w:p>
            <w:pPr>
              <w:pStyle w:val="TableContents"/>
              <w:bidi w:val="0"/>
              <w:spacing w:before="0" w:after="283"/>
              <w:jc w:val="left"/>
              <w:rPr/>
            </w:pPr>
            <w:r>
              <w:rPr/>
              <w:t> </w:t>
            </w:r>
          </w:p>
        </w:tc>
        <w:tc>
          <w:tcPr>
            <w:tcW w:w="163" w:type="dxa"/>
            <w:tcBorders/>
            <w:tcMar>
              <w:bottom w:w="0" w:type="dxa"/>
            </w:tcMar>
            <w:vAlign w:val="center"/>
          </w:tcPr>
          <w:p>
            <w:pPr>
              <w:pStyle w:val="TableContents"/>
              <w:bidi w:val="0"/>
              <w:spacing w:before="0" w:after="283"/>
              <w:jc w:val="left"/>
              <w:rPr/>
            </w:pPr>
            <w:r>
              <w:rPr/>
              <w:t> </w:t>
            </w:r>
          </w:p>
        </w:tc>
        <w:tc>
          <w:tcPr>
            <w:tcW w:w="635" w:type="dxa"/>
            <w:tcBorders/>
            <w:tcMar>
              <w:bottom w:w="0"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243</w:t>
            </w:r>
          </w:p>
        </w:tc>
        <w:tc>
          <w:tcPr>
            <w:tcW w:w="8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40" w:type="dxa"/>
            <w:tcBorders/>
            <w:tcMar>
              <w:bottom w:w="0" w:type="dxa"/>
            </w:tcMar>
            <w:vAlign w:val="center"/>
          </w:tcPr>
          <w:p>
            <w:pPr>
              <w:pStyle w:val="TableContents"/>
              <w:bidi w:val="0"/>
              <w:spacing w:before="0" w:after="283"/>
              <w:jc w:val="left"/>
              <w:rPr/>
            </w:pPr>
            <w:r>
              <w:rPr/>
              <w:t> </w:t>
            </w:r>
          </w:p>
        </w:tc>
        <w:tc>
          <w:tcPr>
            <w:tcW w:w="849" w:type="dxa"/>
            <w:tcBorders/>
            <w:tcMar>
              <w:bottom w:w="0" w:type="dxa"/>
            </w:tcMar>
            <w:vAlign w:val="center"/>
          </w:tcPr>
          <w:p>
            <w:pPr>
              <w:pStyle w:val="TableContents"/>
              <w:bidi w:val="0"/>
              <w:spacing w:lineRule="auto" w:line="300" w:before="0" w:after="0"/>
              <w:jc w:val="right"/>
              <w:rPr/>
            </w:pPr>
            <w:r>
              <w:rPr/>
              <w:t>484</w:t>
            </w:r>
          </w:p>
        </w:tc>
        <w:tc>
          <w:tcPr>
            <w:tcW w:w="89" w:type="dxa"/>
            <w:tcBorders/>
            <w:tcMar>
              <w:bottom w:w="0" w:type="dxa"/>
            </w:tcMar>
            <w:vAlign w:val="center"/>
          </w:tcPr>
          <w:p>
            <w:pPr>
              <w:pStyle w:val="TableContents"/>
              <w:bidi w:val="0"/>
              <w:spacing w:before="0" w:after="283"/>
              <w:jc w:val="left"/>
              <w:rPr/>
            </w:pPr>
            <w:r>
              <w:rPr/>
              <w:t> </w:t>
            </w:r>
          </w:p>
        </w:tc>
        <w:tc>
          <w:tcPr>
            <w:tcW w:w="67" w:type="dxa"/>
            <w:tcBorders/>
            <w:tcMar>
              <w:bottom w:w="0" w:type="dxa"/>
            </w:tcMar>
            <w:vAlign w:val="center"/>
          </w:tcPr>
          <w:p>
            <w:pPr>
              <w:pStyle w:val="TableContents"/>
              <w:bidi w:val="0"/>
              <w:spacing w:before="0" w:after="283"/>
              <w:jc w:val="left"/>
              <w:rPr/>
            </w:pPr>
            <w:r>
              <w:rPr/>
              <w:t> </w:t>
            </w:r>
          </w:p>
        </w:tc>
        <w:tc>
          <w:tcPr>
            <w:tcW w:w="140" w:type="dxa"/>
            <w:tcBorders/>
            <w:tcMar>
              <w:bottom w:w="0" w:type="dxa"/>
            </w:tcMar>
            <w:vAlign w:val="center"/>
          </w:tcPr>
          <w:p>
            <w:pPr>
              <w:pStyle w:val="TableContents"/>
              <w:bidi w:val="0"/>
              <w:spacing w:before="0" w:after="283"/>
              <w:jc w:val="left"/>
              <w:rPr/>
            </w:pPr>
            <w:r>
              <w:rPr/>
              <w:t> </w:t>
            </w:r>
          </w:p>
        </w:tc>
        <w:tc>
          <w:tcPr>
            <w:tcW w:w="629" w:type="dxa"/>
            <w:tcBorders/>
            <w:tcMar>
              <w:bottom w:w="0" w:type="dxa"/>
            </w:tcMar>
            <w:vAlign w:val="center"/>
          </w:tcPr>
          <w:p>
            <w:pPr>
              <w:pStyle w:val="TableContents"/>
              <w:bidi w:val="0"/>
              <w:spacing w:lineRule="auto" w:line="300" w:before="0" w:after="0"/>
              <w:jc w:val="right"/>
              <w:rPr/>
            </w:pPr>
            <w:r>
              <w:rPr/>
              <w:t>317</w:t>
            </w:r>
          </w:p>
        </w:tc>
        <w:tc>
          <w:tcPr>
            <w:tcW w:w="80" w:type="dxa"/>
            <w:tcBorders/>
            <w:tcMar>
              <w:bottom w:w="0" w:type="dxa"/>
            </w:tcMar>
            <w:vAlign w:val="center"/>
          </w:tcPr>
          <w:p>
            <w:pPr>
              <w:pStyle w:val="TableContents"/>
              <w:bidi w:val="0"/>
              <w:spacing w:before="0" w:after="283"/>
              <w:jc w:val="left"/>
              <w:rPr/>
            </w:pPr>
            <w:r>
              <w:rPr/>
              <w:t> </w:t>
            </w:r>
          </w:p>
        </w:tc>
        <w:tc>
          <w:tcPr>
            <w:tcW w:w="2097" w:type="dxa"/>
            <w:tcBorders/>
            <w:tcMar>
              <w:bottom w:w="0" w:type="dxa"/>
            </w:tcM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Sales and marketing</w:t>
            </w:r>
          </w:p>
        </w:tc>
      </w:tr>
      <w:tr>
        <w:trPr/>
        <w:tc>
          <w:tcPr>
            <w:tcW w:w="4136"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3" w:type="dxa"/>
            <w:tcBorders>
              <w:bottom w:val="single" w:sz="12" w:space="0" w:color="000000"/>
            </w:tcBorders>
            <w:shd w:fill="CCEEFF" w:val="clear"/>
            <w:vAlign w:val="center"/>
          </w:tcPr>
          <w:p>
            <w:pPr>
              <w:pStyle w:val="TableContents"/>
              <w:bidi w:val="0"/>
              <w:spacing w:before="0" w:after="283"/>
              <w:jc w:val="left"/>
              <w:rPr/>
            </w:pPr>
            <w:r>
              <w:rPr/>
              <w:t> </w:t>
            </w:r>
          </w:p>
        </w:tc>
        <w:tc>
          <w:tcPr>
            <w:tcW w:w="635" w:type="dxa"/>
            <w:tcBorders>
              <w:bottom w:val="single" w:sz="12" w:space="0" w:color="000000"/>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734</w:t>
            </w:r>
          </w:p>
        </w:tc>
        <w:tc>
          <w:tcPr>
            <w:tcW w:w="104" w:type="dxa"/>
            <w:tcBorders/>
            <w:shd w:fill="CCEEFF" w:val="clear"/>
            <w:tcMar>
              <w:bottom w:w="0" w:type="dxa"/>
            </w:tcMar>
            <w:vAlign w:val="center"/>
          </w:tcPr>
          <w:p>
            <w:pPr>
              <w:pStyle w:val="TableContents"/>
              <w:bidi w:val="0"/>
              <w:spacing w:before="0" w:after="283"/>
              <w:jc w:val="left"/>
              <w:rPr/>
            </w:pPr>
            <w:r>
              <w:rPr/>
              <w:t> </w:t>
            </w:r>
          </w:p>
        </w:tc>
        <w:tc>
          <w:tcPr>
            <w:tcW w:w="78" w:type="dxa"/>
            <w:tcBorders/>
            <w:shd w:fill="CCEEFF" w:val="clear"/>
            <w:tcMar>
              <w:bottom w:w="0" w:type="dxa"/>
            </w:tcMar>
            <w:vAlign w:val="center"/>
          </w:tcPr>
          <w:p>
            <w:pPr>
              <w:pStyle w:val="TableContents"/>
              <w:bidi w:val="0"/>
              <w:spacing w:before="0" w:after="283"/>
              <w:jc w:val="left"/>
              <w:rPr/>
            </w:pPr>
            <w:r>
              <w:rPr/>
              <w:t> </w:t>
            </w:r>
          </w:p>
        </w:tc>
        <w:tc>
          <w:tcPr>
            <w:tcW w:w="163" w:type="dxa"/>
            <w:tcBorders>
              <w:bottom w:val="single" w:sz="12" w:space="0" w:color="000000"/>
            </w:tcBorders>
            <w:shd w:fill="CCEEFF" w:val="clear"/>
            <w:vAlign w:val="center"/>
          </w:tcPr>
          <w:p>
            <w:pPr>
              <w:pStyle w:val="TableContents"/>
              <w:bidi w:val="0"/>
              <w:spacing w:before="0" w:after="283"/>
              <w:jc w:val="left"/>
              <w:rPr/>
            </w:pPr>
            <w:r>
              <w:rPr/>
              <w:t> </w:t>
            </w:r>
          </w:p>
        </w:tc>
        <w:tc>
          <w:tcPr>
            <w:tcW w:w="635" w:type="dxa"/>
            <w:tcBorders>
              <w:bottom w:val="single" w:sz="12" w:space="0" w:color="000000"/>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311</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single" w:sz="12" w:space="0" w:color="000000"/>
            </w:tcBorders>
            <w:shd w:fill="CCEEFF" w:val="clear"/>
            <w:vAlign w:val="center"/>
          </w:tcPr>
          <w:p>
            <w:pPr>
              <w:pStyle w:val="TableContents"/>
              <w:bidi w:val="0"/>
              <w:spacing w:before="0" w:after="283"/>
              <w:jc w:val="left"/>
              <w:rPr/>
            </w:pPr>
            <w:r>
              <w:rPr/>
              <w:t> </w:t>
            </w:r>
          </w:p>
        </w:tc>
        <w:tc>
          <w:tcPr>
            <w:tcW w:w="849" w:type="dxa"/>
            <w:tcBorders>
              <w:bottom w:val="single" w:sz="12" w:space="0" w:color="000000"/>
            </w:tcBorders>
            <w:shd w:fill="CCEEFF" w:val="clear"/>
            <w:vAlign w:val="center"/>
          </w:tcPr>
          <w:p>
            <w:pPr>
              <w:pStyle w:val="TableContents"/>
              <w:bidi w:val="0"/>
              <w:spacing w:lineRule="auto" w:line="300" w:before="0" w:after="0"/>
              <w:jc w:val="right"/>
              <w:rPr/>
            </w:pPr>
            <w:r>
              <w:rPr/>
              <w:t>957</w:t>
            </w:r>
          </w:p>
        </w:tc>
        <w:tc>
          <w:tcPr>
            <w:tcW w:w="89" w:type="dxa"/>
            <w:tcBorders/>
            <w:shd w:fill="CCEEFF" w:val="clear"/>
            <w:tcMar>
              <w:bottom w:w="0" w:type="dxa"/>
            </w:tcMar>
            <w:vAlign w:val="center"/>
          </w:tcPr>
          <w:p>
            <w:pPr>
              <w:pStyle w:val="TableContents"/>
              <w:bidi w:val="0"/>
              <w:spacing w:before="0" w:after="283"/>
              <w:jc w:val="left"/>
              <w:rPr/>
            </w:pPr>
            <w:r>
              <w:rPr/>
              <w:t> </w:t>
            </w:r>
          </w:p>
        </w:tc>
        <w:tc>
          <w:tcPr>
            <w:tcW w:w="67"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single" w:sz="12" w:space="0" w:color="000000"/>
            </w:tcBorders>
            <w:shd w:fill="CCEEFF" w:val="clear"/>
            <w:vAlign w:val="center"/>
          </w:tcPr>
          <w:p>
            <w:pPr>
              <w:pStyle w:val="TableContents"/>
              <w:bidi w:val="0"/>
              <w:spacing w:before="0" w:after="283"/>
              <w:jc w:val="left"/>
              <w:rPr/>
            </w:pPr>
            <w:r>
              <w:rPr/>
              <w:t> </w:t>
            </w:r>
          </w:p>
        </w:tc>
        <w:tc>
          <w:tcPr>
            <w:tcW w:w="629" w:type="dxa"/>
            <w:tcBorders>
              <w:bottom w:val="single" w:sz="12" w:space="0" w:color="000000"/>
            </w:tcBorders>
            <w:shd w:fill="CCEEFF" w:val="clear"/>
            <w:vAlign w:val="center"/>
          </w:tcPr>
          <w:p>
            <w:pPr>
              <w:pStyle w:val="TableContents"/>
              <w:bidi w:val="0"/>
              <w:spacing w:lineRule="auto" w:line="300" w:before="0" w:after="0"/>
              <w:jc w:val="right"/>
              <w:rPr/>
            </w:pPr>
            <w:r>
              <w:rPr/>
              <w:t>444</w:t>
            </w:r>
          </w:p>
        </w:tc>
        <w:tc>
          <w:tcPr>
            <w:tcW w:w="80" w:type="dxa"/>
            <w:tcBorders/>
            <w:shd w:fill="CCEEFF" w:val="clear"/>
            <w:tcMar>
              <w:bottom w:w="0" w:type="dxa"/>
            </w:tcMar>
            <w:vAlign w:val="center"/>
          </w:tcPr>
          <w:p>
            <w:pPr>
              <w:pStyle w:val="TableContents"/>
              <w:bidi w:val="0"/>
              <w:spacing w:before="0" w:after="283"/>
              <w:jc w:val="left"/>
              <w:rPr/>
            </w:pPr>
            <w:r>
              <w:rPr/>
              <w:t> </w:t>
            </w:r>
          </w:p>
        </w:tc>
        <w:tc>
          <w:tcPr>
            <w:tcW w:w="2097" w:type="dxa"/>
            <w:tcBorders/>
            <w:shd w:fill="CCEEFF" w:val="clear"/>
            <w:tcMar>
              <w:bottom w:w="0" w:type="dxa"/>
            </w:tcM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General and administrative</w:t>
            </w:r>
          </w:p>
        </w:tc>
      </w:tr>
      <w:tr>
        <w:trPr/>
        <w:tc>
          <w:tcPr>
            <w:tcW w:w="4136"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63" w:type="dxa"/>
            <w:tcBorders/>
            <w:tcMar>
              <w:bottom w:w="0" w:type="dxa"/>
            </w:tcM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35" w:type="dxa"/>
            <w:tcBorders/>
            <w:tcMar>
              <w:bottom w:w="0"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3,508</w:t>
            </w:r>
          </w:p>
        </w:tc>
        <w:tc>
          <w:tcPr>
            <w:tcW w:w="104" w:type="dxa"/>
            <w:tcBorders/>
            <w:tcMar>
              <w:bottom w:w="0" w:type="dxa"/>
            </w:tcMar>
            <w:vAlign w:val="center"/>
          </w:tcPr>
          <w:p>
            <w:pPr>
              <w:pStyle w:val="TableContents"/>
              <w:bidi w:val="0"/>
              <w:spacing w:before="0" w:after="283"/>
              <w:jc w:val="left"/>
              <w:rPr/>
            </w:pPr>
            <w:r>
              <w:rPr/>
              <w:t> </w:t>
            </w:r>
          </w:p>
        </w:tc>
        <w:tc>
          <w:tcPr>
            <w:tcW w:w="78" w:type="dxa"/>
            <w:tcBorders/>
            <w:tcMar>
              <w:bottom w:w="0" w:type="dxa"/>
            </w:tcMar>
            <w:vAlign w:val="center"/>
          </w:tcPr>
          <w:p>
            <w:pPr>
              <w:pStyle w:val="TableContents"/>
              <w:bidi w:val="0"/>
              <w:spacing w:before="0" w:after="283"/>
              <w:jc w:val="left"/>
              <w:rPr/>
            </w:pPr>
            <w:r>
              <w:rPr/>
              <w:t> </w:t>
            </w:r>
          </w:p>
        </w:tc>
        <w:tc>
          <w:tcPr>
            <w:tcW w:w="163" w:type="dxa"/>
            <w:tcBorders/>
            <w:tcMar>
              <w:bottom w:w="0" w:type="dxa"/>
            </w:tcM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35" w:type="dxa"/>
            <w:tcBorders/>
            <w:tcMar>
              <w:bottom w:w="0"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1,739</w:t>
            </w:r>
          </w:p>
        </w:tc>
        <w:tc>
          <w:tcPr>
            <w:tcW w:w="8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40" w:type="dxa"/>
            <w:tcBorders/>
            <w:tcMar>
              <w:bottom w:w="0" w:type="dxa"/>
            </w:tcM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849" w:type="dxa"/>
            <w:tcBorders/>
            <w:tcMar>
              <w:bottom w:w="0" w:type="dxa"/>
            </w:tcMar>
            <w:vAlign w:val="center"/>
          </w:tcPr>
          <w:p>
            <w:pPr>
              <w:pStyle w:val="TableContents"/>
              <w:bidi w:val="0"/>
              <w:spacing w:lineRule="auto" w:line="300" w:before="0" w:after="0"/>
              <w:jc w:val="right"/>
              <w:rPr/>
            </w:pPr>
            <w:r>
              <w:rPr/>
              <w:t>4,603</w:t>
            </w:r>
          </w:p>
        </w:tc>
        <w:tc>
          <w:tcPr>
            <w:tcW w:w="89" w:type="dxa"/>
            <w:tcBorders/>
            <w:tcMar>
              <w:bottom w:w="0" w:type="dxa"/>
            </w:tcMar>
            <w:vAlign w:val="center"/>
          </w:tcPr>
          <w:p>
            <w:pPr>
              <w:pStyle w:val="TableContents"/>
              <w:bidi w:val="0"/>
              <w:spacing w:before="0" w:after="283"/>
              <w:jc w:val="left"/>
              <w:rPr/>
            </w:pPr>
            <w:r>
              <w:rPr/>
              <w:t> </w:t>
            </w:r>
          </w:p>
        </w:tc>
        <w:tc>
          <w:tcPr>
            <w:tcW w:w="67" w:type="dxa"/>
            <w:tcBorders/>
            <w:tcMar>
              <w:bottom w:w="0" w:type="dxa"/>
            </w:tcMar>
            <w:vAlign w:val="center"/>
          </w:tcPr>
          <w:p>
            <w:pPr>
              <w:pStyle w:val="TableContents"/>
              <w:bidi w:val="0"/>
              <w:spacing w:before="0" w:after="283"/>
              <w:jc w:val="left"/>
              <w:rPr/>
            </w:pPr>
            <w:r>
              <w:rPr/>
              <w:t> </w:t>
            </w:r>
          </w:p>
        </w:tc>
        <w:tc>
          <w:tcPr>
            <w:tcW w:w="140" w:type="dxa"/>
            <w:tcBorders/>
            <w:tcMar>
              <w:bottom w:w="0" w:type="dxa"/>
            </w:tcM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29" w:type="dxa"/>
            <w:tcBorders/>
            <w:tcMar>
              <w:bottom w:w="0" w:type="dxa"/>
            </w:tcMar>
            <w:vAlign w:val="center"/>
          </w:tcPr>
          <w:p>
            <w:pPr>
              <w:pStyle w:val="TableContents"/>
              <w:bidi w:val="0"/>
              <w:spacing w:lineRule="auto" w:line="300" w:before="0" w:after="0"/>
              <w:jc w:val="right"/>
              <w:rPr/>
            </w:pPr>
            <w:r>
              <w:rPr/>
              <w:t>2,487</w:t>
            </w:r>
          </w:p>
        </w:tc>
        <w:tc>
          <w:tcPr>
            <w:tcW w:w="80" w:type="dxa"/>
            <w:tcBorders/>
            <w:tcMar>
              <w:bottom w:w="0" w:type="dxa"/>
            </w:tcMar>
            <w:vAlign w:val="center"/>
          </w:tcPr>
          <w:p>
            <w:pPr>
              <w:pStyle w:val="TableContents"/>
              <w:bidi w:val="0"/>
              <w:spacing w:before="0" w:after="283"/>
              <w:jc w:val="left"/>
              <w:rPr/>
            </w:pPr>
            <w:r>
              <w:rPr/>
              <w:t> </w:t>
            </w:r>
          </w:p>
        </w:tc>
        <w:tc>
          <w:tcPr>
            <w:tcW w:w="2097" w:type="dxa"/>
            <w:tcBorders/>
            <w:tcMar>
              <w:bottom w:w="0" w:type="dxa"/>
            </w:tcM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Total, before income taxes</w:t>
            </w:r>
          </w:p>
        </w:tc>
      </w:tr>
      <w:tr>
        <w:trPr/>
        <w:tc>
          <w:tcPr>
            <w:tcW w:w="4136"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3" w:type="dxa"/>
            <w:tcBorders>
              <w:bottom w:val="single" w:sz="12" w:space="0" w:color="000000"/>
            </w:tcBorders>
            <w:shd w:fill="CCEEFF" w:val="clear"/>
            <w:vAlign w:val="center"/>
          </w:tcPr>
          <w:p>
            <w:pPr>
              <w:pStyle w:val="TableContents"/>
              <w:bidi w:val="0"/>
              <w:spacing w:before="0" w:after="283"/>
              <w:jc w:val="left"/>
              <w:rPr/>
            </w:pPr>
            <w:r>
              <w:rPr/>
              <w:t> </w:t>
            </w:r>
          </w:p>
        </w:tc>
        <w:tc>
          <w:tcPr>
            <w:tcW w:w="635" w:type="dxa"/>
            <w:tcBorders>
              <w:bottom w:val="single" w:sz="12" w:space="0" w:color="000000"/>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(421</w:t>
            </w:r>
          </w:p>
        </w:tc>
        <w:tc>
          <w:tcPr>
            <w:tcW w:w="104" w:type="dxa"/>
            <w:tcBorders/>
            <w:shd w:fill="CCEEFF" w:val="clear"/>
            <w:tcMar>
              <w:bottom w:w="0" w:type="dxa"/>
            </w:tcM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78" w:type="dxa"/>
            <w:tcBorders/>
            <w:shd w:fill="CCEEFF" w:val="clear"/>
            <w:tcMar>
              <w:bottom w:w="0" w:type="dxa"/>
            </w:tcMar>
            <w:vAlign w:val="center"/>
          </w:tcPr>
          <w:p>
            <w:pPr>
              <w:pStyle w:val="TableContents"/>
              <w:bidi w:val="0"/>
              <w:spacing w:before="0" w:after="283"/>
              <w:jc w:val="left"/>
              <w:rPr/>
            </w:pPr>
            <w:r>
              <w:rPr/>
              <w:t> </w:t>
            </w:r>
          </w:p>
        </w:tc>
        <w:tc>
          <w:tcPr>
            <w:tcW w:w="163" w:type="dxa"/>
            <w:tcBorders>
              <w:bottom w:val="single" w:sz="12" w:space="0" w:color="000000"/>
            </w:tcBorders>
            <w:shd w:fill="CCEEFF" w:val="clear"/>
            <w:vAlign w:val="center"/>
          </w:tcPr>
          <w:p>
            <w:pPr>
              <w:pStyle w:val="TableContents"/>
              <w:bidi w:val="0"/>
              <w:spacing w:before="0" w:after="283"/>
              <w:jc w:val="left"/>
              <w:rPr/>
            </w:pPr>
            <w:r>
              <w:rPr/>
              <w:t> </w:t>
            </w:r>
          </w:p>
        </w:tc>
        <w:tc>
          <w:tcPr>
            <w:tcW w:w="635" w:type="dxa"/>
            <w:tcBorders>
              <w:bottom w:val="single" w:sz="12" w:space="0" w:color="000000"/>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(208</w:t>
            </w:r>
          </w:p>
        </w:tc>
        <w:tc>
          <w:tcPr>
            <w:tcW w:w="80" w:type="dxa"/>
            <w:tcBorders/>
            <w:shd w:fill="CCEEFF" w:val="clear"/>
            <w:tcMar>
              <w:bottom w:w="0" w:type="dxa"/>
            </w:tcM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single" w:sz="12" w:space="0" w:color="000000"/>
            </w:tcBorders>
            <w:shd w:fill="CCEEFF" w:val="clear"/>
            <w:vAlign w:val="center"/>
          </w:tcPr>
          <w:p>
            <w:pPr>
              <w:pStyle w:val="TableContents"/>
              <w:bidi w:val="0"/>
              <w:spacing w:before="0" w:after="283"/>
              <w:jc w:val="left"/>
              <w:rPr/>
            </w:pPr>
            <w:r>
              <w:rPr/>
              <w:t> </w:t>
            </w:r>
          </w:p>
        </w:tc>
        <w:tc>
          <w:tcPr>
            <w:tcW w:w="849" w:type="dxa"/>
            <w:tcBorders>
              <w:bottom w:val="single" w:sz="12" w:space="0" w:color="000000"/>
            </w:tcBorders>
            <w:shd w:fill="CCEEFF" w:val="clear"/>
            <w:vAlign w:val="center"/>
          </w:tcPr>
          <w:p>
            <w:pPr>
              <w:pStyle w:val="TableContents"/>
              <w:bidi w:val="0"/>
              <w:spacing w:lineRule="auto" w:line="300" w:before="0" w:after="0"/>
              <w:jc w:val="right"/>
              <w:rPr/>
            </w:pPr>
            <w:r>
              <w:rPr/>
              <w:t>(552</w:t>
            </w:r>
          </w:p>
        </w:tc>
        <w:tc>
          <w:tcPr>
            <w:tcW w:w="89" w:type="dxa"/>
            <w:tcBorders/>
            <w:shd w:fill="CCEEFF" w:val="clear"/>
            <w:tcMar>
              <w:bottom w:w="0" w:type="dxa"/>
            </w:tcM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7"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single" w:sz="12" w:space="0" w:color="000000"/>
            </w:tcBorders>
            <w:shd w:fill="CCEEFF" w:val="clear"/>
            <w:vAlign w:val="center"/>
          </w:tcPr>
          <w:p>
            <w:pPr>
              <w:pStyle w:val="TableContents"/>
              <w:bidi w:val="0"/>
              <w:spacing w:before="0" w:after="283"/>
              <w:jc w:val="left"/>
              <w:rPr/>
            </w:pPr>
            <w:r>
              <w:rPr/>
              <w:t> </w:t>
            </w:r>
          </w:p>
        </w:tc>
        <w:tc>
          <w:tcPr>
            <w:tcW w:w="629" w:type="dxa"/>
            <w:tcBorders>
              <w:bottom w:val="single" w:sz="12" w:space="0" w:color="000000"/>
            </w:tcBorders>
            <w:shd w:fill="CCEEFF" w:val="clear"/>
            <w:vAlign w:val="center"/>
          </w:tcPr>
          <w:p>
            <w:pPr>
              <w:pStyle w:val="TableContents"/>
              <w:bidi w:val="0"/>
              <w:spacing w:lineRule="auto" w:line="300" w:before="0" w:after="0"/>
              <w:jc w:val="right"/>
              <w:rPr/>
            </w:pPr>
            <w:r>
              <w:rPr/>
              <w:t>(298</w:t>
            </w:r>
          </w:p>
        </w:tc>
        <w:tc>
          <w:tcPr>
            <w:tcW w:w="80" w:type="dxa"/>
            <w:tcBorders/>
            <w:shd w:fill="CCEEFF" w:val="clear"/>
            <w:tcMar>
              <w:bottom w:w="0" w:type="dxa"/>
            </w:tcM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2097" w:type="dxa"/>
            <w:tcBorders/>
            <w:shd w:fill="CCEEFF" w:val="clear"/>
            <w:tcMar>
              <w:bottom w:w="0" w:type="dxa"/>
            </w:tcM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Income taxes</w:t>
            </w:r>
          </w:p>
        </w:tc>
      </w:tr>
      <w:tr>
        <w:trPr/>
        <w:tc>
          <w:tcPr>
            <w:tcW w:w="4136"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63" w:type="dxa"/>
            <w:tcBorders>
              <w:bottom w:val="single" w:sz="12" w:space="0" w:color="000000"/>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35" w:type="dxa"/>
            <w:tcBorders>
              <w:bottom w:val="single" w:sz="12" w:space="0" w:color="000000"/>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3,087</w:t>
            </w:r>
          </w:p>
        </w:tc>
        <w:tc>
          <w:tcPr>
            <w:tcW w:w="104" w:type="dxa"/>
            <w:tcBorders/>
            <w:tcMar>
              <w:bottom w:w="0" w:type="dxa"/>
            </w:tcMar>
            <w:vAlign w:val="center"/>
          </w:tcPr>
          <w:p>
            <w:pPr>
              <w:pStyle w:val="TableContents"/>
              <w:bidi w:val="0"/>
              <w:spacing w:before="0" w:after="283"/>
              <w:jc w:val="left"/>
              <w:rPr/>
            </w:pPr>
            <w:r>
              <w:rPr/>
              <w:t> </w:t>
            </w:r>
          </w:p>
        </w:tc>
        <w:tc>
          <w:tcPr>
            <w:tcW w:w="78" w:type="dxa"/>
            <w:tcBorders/>
            <w:tcMar>
              <w:bottom w:w="0" w:type="dxa"/>
            </w:tcMar>
            <w:vAlign w:val="center"/>
          </w:tcPr>
          <w:p>
            <w:pPr>
              <w:pStyle w:val="TableContents"/>
              <w:bidi w:val="0"/>
              <w:spacing w:before="0" w:after="283"/>
              <w:jc w:val="left"/>
              <w:rPr/>
            </w:pPr>
            <w:r>
              <w:rPr/>
              <w:t> </w:t>
            </w:r>
          </w:p>
        </w:tc>
        <w:tc>
          <w:tcPr>
            <w:tcW w:w="163" w:type="dxa"/>
            <w:tcBorders>
              <w:bottom w:val="single" w:sz="12" w:space="0" w:color="000000"/>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35" w:type="dxa"/>
            <w:tcBorders>
              <w:bottom w:val="single" w:sz="12" w:space="0" w:color="000000"/>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1,531</w:t>
            </w:r>
          </w:p>
        </w:tc>
        <w:tc>
          <w:tcPr>
            <w:tcW w:w="8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40" w:type="dxa"/>
            <w:tcBorders>
              <w:bottom w:val="single" w:sz="12" w:space="0" w:color="000000"/>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849" w:type="dxa"/>
            <w:tcBorders>
              <w:bottom w:val="single" w:sz="12" w:space="0" w:color="000000"/>
            </w:tcBorders>
            <w:vAlign w:val="center"/>
          </w:tcPr>
          <w:p>
            <w:pPr>
              <w:pStyle w:val="TableContents"/>
              <w:bidi w:val="0"/>
              <w:spacing w:lineRule="auto" w:line="300" w:before="0" w:after="0"/>
              <w:jc w:val="right"/>
              <w:rPr/>
            </w:pPr>
            <w:r>
              <w:rPr/>
              <w:t>4,051</w:t>
            </w:r>
          </w:p>
        </w:tc>
        <w:tc>
          <w:tcPr>
            <w:tcW w:w="89" w:type="dxa"/>
            <w:tcBorders/>
            <w:tcMar>
              <w:bottom w:w="0" w:type="dxa"/>
            </w:tcMar>
            <w:vAlign w:val="center"/>
          </w:tcPr>
          <w:p>
            <w:pPr>
              <w:pStyle w:val="TableContents"/>
              <w:bidi w:val="0"/>
              <w:spacing w:before="0" w:after="283"/>
              <w:jc w:val="left"/>
              <w:rPr/>
            </w:pPr>
            <w:r>
              <w:rPr/>
              <w:t> </w:t>
            </w:r>
          </w:p>
        </w:tc>
        <w:tc>
          <w:tcPr>
            <w:tcW w:w="67" w:type="dxa"/>
            <w:tcBorders/>
            <w:tcMar>
              <w:bottom w:w="0" w:type="dxa"/>
            </w:tcMar>
            <w:vAlign w:val="center"/>
          </w:tcPr>
          <w:p>
            <w:pPr>
              <w:pStyle w:val="TableContents"/>
              <w:bidi w:val="0"/>
              <w:spacing w:before="0" w:after="283"/>
              <w:jc w:val="left"/>
              <w:rPr/>
            </w:pPr>
            <w:r>
              <w:rPr/>
              <w:t> </w:t>
            </w:r>
          </w:p>
        </w:tc>
        <w:tc>
          <w:tcPr>
            <w:tcW w:w="140" w:type="dxa"/>
            <w:tcBorders>
              <w:bottom w:val="single" w:sz="12" w:space="0" w:color="000000"/>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29" w:type="dxa"/>
            <w:tcBorders>
              <w:bottom w:val="single" w:sz="12" w:space="0" w:color="000000"/>
            </w:tcBorders>
            <w:vAlign w:val="center"/>
          </w:tcPr>
          <w:p>
            <w:pPr>
              <w:pStyle w:val="TableContents"/>
              <w:bidi w:val="0"/>
              <w:spacing w:lineRule="auto" w:line="300" w:before="0" w:after="0"/>
              <w:jc w:val="right"/>
              <w:rPr/>
            </w:pPr>
            <w:r>
              <w:rPr/>
              <w:t>2,189</w:t>
            </w:r>
          </w:p>
        </w:tc>
        <w:tc>
          <w:tcPr>
            <w:tcW w:w="80" w:type="dxa"/>
            <w:tcBorders/>
            <w:tcMar>
              <w:bottom w:w="0" w:type="dxa"/>
            </w:tcMar>
            <w:vAlign w:val="center"/>
          </w:tcPr>
          <w:p>
            <w:pPr>
              <w:pStyle w:val="TableContents"/>
              <w:bidi w:val="0"/>
              <w:spacing w:before="0" w:after="283"/>
              <w:jc w:val="left"/>
              <w:rPr/>
            </w:pPr>
            <w:r>
              <w:rPr/>
              <w:t> </w:t>
            </w:r>
          </w:p>
        </w:tc>
        <w:tc>
          <w:tcPr>
            <w:tcW w:w="2097" w:type="dxa"/>
            <w:tcBorders/>
            <w:tcMar>
              <w:bottom w:w="0" w:type="dxa"/>
            </w:tcM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Total, net of income taxes</w:t>
            </w:r>
          </w:p>
        </w:tc>
      </w:tr>
      <w:tr>
        <w:trPr/>
        <w:tc>
          <w:tcPr>
            <w:tcW w:w="4136" w:type="dxa"/>
            <w:tcBorders/>
            <w:shd w:fill="CCEEFF" w:val="clear"/>
            <w:tcMar>
              <w:bottom w:w="0" w:type="dxa"/>
            </w:tcM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Adjustment for substantial completion of liquidation of certain foreign subsidiaries: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3" w:type="dxa"/>
            <w:tcBorders/>
            <w:shd w:fill="CCEEFF" w:val="clear"/>
            <w:tcMar>
              <w:bottom w:w="0" w:type="dxa"/>
            </w:tcMar>
            <w:vAlign w:val="center"/>
          </w:tcPr>
          <w:p>
            <w:pPr>
              <w:pStyle w:val="TableContents"/>
              <w:bidi w:val="0"/>
              <w:spacing w:before="0" w:after="283"/>
              <w:jc w:val="left"/>
              <w:rPr/>
            </w:pPr>
            <w:r>
              <w:rPr/>
              <w:t> </w:t>
            </w:r>
          </w:p>
        </w:tc>
        <w:tc>
          <w:tcPr>
            <w:tcW w:w="635" w:type="dxa"/>
            <w:tcBorders/>
            <w:shd w:fill="CCEEFF" w:val="clear"/>
            <w:tcMar>
              <w:bottom w:w="0" w:type="dxa"/>
            </w:tcMar>
            <w:vAlign w:val="center"/>
          </w:tcPr>
          <w:p>
            <w:pPr>
              <w:pStyle w:val="TableContents"/>
              <w:bidi w:val="0"/>
              <w:spacing w:before="0" w:after="283"/>
              <w:jc w:val="right"/>
              <w:rPr/>
            </w:pPr>
            <w:r>
              <w:rPr/>
              <w:t> </w:t>
            </w:r>
          </w:p>
        </w:tc>
        <w:tc>
          <w:tcPr>
            <w:tcW w:w="104" w:type="dxa"/>
            <w:tcBorders/>
            <w:shd w:fill="CCEEFF" w:val="clear"/>
            <w:tcMar>
              <w:bottom w:w="0" w:type="dxa"/>
            </w:tcMar>
            <w:vAlign w:val="center"/>
          </w:tcPr>
          <w:p>
            <w:pPr>
              <w:pStyle w:val="TableContents"/>
              <w:bidi w:val="0"/>
              <w:spacing w:before="0" w:after="283"/>
              <w:jc w:val="left"/>
              <w:rPr/>
            </w:pPr>
            <w:r>
              <w:rPr/>
              <w:t> </w:t>
            </w:r>
          </w:p>
        </w:tc>
        <w:tc>
          <w:tcPr>
            <w:tcW w:w="78" w:type="dxa"/>
            <w:tcBorders/>
            <w:shd w:fill="CCEEFF" w:val="clear"/>
            <w:tcMar>
              <w:bottom w:w="0" w:type="dxa"/>
            </w:tcMar>
            <w:vAlign w:val="center"/>
          </w:tcPr>
          <w:p>
            <w:pPr>
              <w:pStyle w:val="TableContents"/>
              <w:bidi w:val="0"/>
              <w:spacing w:before="0" w:after="283"/>
              <w:jc w:val="left"/>
              <w:rPr/>
            </w:pPr>
            <w:r>
              <w:rPr/>
              <w:t> </w:t>
            </w:r>
          </w:p>
        </w:tc>
        <w:tc>
          <w:tcPr>
            <w:tcW w:w="163" w:type="dxa"/>
            <w:tcBorders/>
            <w:shd w:fill="CCEEFF" w:val="clear"/>
            <w:tcMar>
              <w:bottom w:w="0" w:type="dxa"/>
            </w:tcMar>
            <w:vAlign w:val="center"/>
          </w:tcPr>
          <w:p>
            <w:pPr>
              <w:pStyle w:val="TableContents"/>
              <w:bidi w:val="0"/>
              <w:spacing w:before="0" w:after="283"/>
              <w:jc w:val="left"/>
              <w:rPr/>
            </w:pPr>
            <w:r>
              <w:rPr/>
              <w:t> </w:t>
            </w:r>
          </w:p>
        </w:tc>
        <w:tc>
          <w:tcPr>
            <w:tcW w:w="635" w:type="dxa"/>
            <w:tcBorders/>
            <w:shd w:fill="CCEEFF" w:val="clear"/>
            <w:tcMar>
              <w:bottom w:w="0" w:type="dxa"/>
            </w:tcMar>
            <w:vAlign w:val="center"/>
          </w:tcPr>
          <w:p>
            <w:pPr>
              <w:pStyle w:val="TableContents"/>
              <w:bidi w:val="0"/>
              <w:spacing w:before="0" w:after="283"/>
              <w:jc w:val="right"/>
              <w:rPr/>
            </w:pPr>
            <w:r>
              <w:rPr/>
              <w:t> </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849" w:type="dxa"/>
            <w:tcBorders/>
            <w:shd w:fill="CCEEFF" w:val="clear"/>
            <w:tcMar>
              <w:bottom w:w="0" w:type="dxa"/>
            </w:tcMar>
            <w:vAlign w:val="center"/>
          </w:tcPr>
          <w:p>
            <w:pPr>
              <w:pStyle w:val="TableContents"/>
              <w:bidi w:val="0"/>
              <w:spacing w:before="0" w:after="283"/>
              <w:jc w:val="right"/>
              <w:rPr/>
            </w:pPr>
            <w:r>
              <w:rPr/>
              <w:t> </w:t>
            </w:r>
          </w:p>
        </w:tc>
        <w:tc>
          <w:tcPr>
            <w:tcW w:w="89" w:type="dxa"/>
            <w:tcBorders/>
            <w:shd w:fill="CCEEFF" w:val="clear"/>
            <w:tcMar>
              <w:bottom w:w="0" w:type="dxa"/>
            </w:tcMar>
            <w:vAlign w:val="center"/>
          </w:tcPr>
          <w:p>
            <w:pPr>
              <w:pStyle w:val="TableContents"/>
              <w:bidi w:val="0"/>
              <w:spacing w:before="0" w:after="283"/>
              <w:jc w:val="left"/>
              <w:rPr/>
            </w:pPr>
            <w:r>
              <w:rPr/>
              <w:t> </w:t>
            </w:r>
          </w:p>
        </w:tc>
        <w:tc>
          <w:tcPr>
            <w:tcW w:w="67"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629" w:type="dxa"/>
            <w:tcBorders/>
            <w:shd w:fill="CCEEFF" w:val="clear"/>
            <w:tcMar>
              <w:bottom w:w="0" w:type="dxa"/>
            </w:tcMar>
            <w:vAlign w:val="center"/>
          </w:tcPr>
          <w:p>
            <w:pPr>
              <w:pStyle w:val="TableContents"/>
              <w:bidi w:val="0"/>
              <w:spacing w:before="0" w:after="283"/>
              <w:jc w:val="right"/>
              <w:rPr/>
            </w:pPr>
            <w:r>
              <w:rPr/>
              <w:t> </w:t>
            </w:r>
          </w:p>
        </w:tc>
        <w:tc>
          <w:tcPr>
            <w:tcW w:w="80" w:type="dxa"/>
            <w:tcBorders/>
            <w:shd w:fill="CCEEFF" w:val="clear"/>
            <w:tcMar>
              <w:bottom w:w="0" w:type="dxa"/>
            </w:tcMar>
            <w:vAlign w:val="center"/>
          </w:tcPr>
          <w:p>
            <w:pPr>
              <w:pStyle w:val="TableContents"/>
              <w:bidi w:val="0"/>
              <w:spacing w:before="0" w:after="283"/>
              <w:jc w:val="left"/>
              <w:rPr/>
            </w:pPr>
            <w:r>
              <w:rPr/>
              <w:t> </w:t>
            </w:r>
          </w:p>
        </w:tc>
        <w:tc>
          <w:tcPr>
            <w:tcW w:w="2097" w:type="dxa"/>
            <w:tcBorders/>
            <w:shd w:fill="CCEEFF" w:val="clear"/>
            <w:tcMar>
              <w:bottom w:w="0" w:type="dxa"/>
            </w:tcMar>
            <w:vAlign w:val="center"/>
          </w:tcPr>
          <w:p>
            <w:pPr>
              <w:pStyle w:val="TableContents"/>
              <w:bidi w:val="0"/>
              <w:spacing w:before="0" w:after="283"/>
              <w:jc w:val="left"/>
              <w:rPr/>
            </w:pPr>
            <w:r>
              <w:rPr/>
              <w:t>     </w:t>
            </w:r>
          </w:p>
        </w:tc>
      </w:tr>
      <w:tr>
        <w:trPr/>
        <w:tc>
          <w:tcPr>
            <w:tcW w:w="4136" w:type="dxa"/>
            <w:tcBorders/>
            <w:tcMar>
              <w:bottom w:w="0" w:type="dxa"/>
            </w:tcM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Foreign currency translation adjustments on intra-entity transactions that are of a long-term investment in nature</w:t>
            </w:r>
          </w:p>
        </w:tc>
        <w:tc>
          <w:tcPr>
            <w:tcW w:w="60" w:type="dxa"/>
            <w:tcBorders/>
            <w:tcMar>
              <w:bottom w:w="0" w:type="dxa"/>
            </w:tcMar>
            <w:vAlign w:val="center"/>
          </w:tcPr>
          <w:p>
            <w:pPr>
              <w:pStyle w:val="TableContents"/>
              <w:bidi w:val="0"/>
              <w:spacing w:before="0" w:after="283"/>
              <w:jc w:val="left"/>
              <w:rPr/>
            </w:pPr>
            <w:r>
              <w:rPr/>
              <w:t> </w:t>
            </w:r>
          </w:p>
        </w:tc>
        <w:tc>
          <w:tcPr>
            <w:tcW w:w="163" w:type="dxa"/>
            <w:tcBorders/>
            <w:tcMar>
              <w:bottom w:w="0" w:type="dxa"/>
            </w:tcMar>
            <w:vAlign w:val="center"/>
          </w:tcPr>
          <w:p>
            <w:pPr>
              <w:pStyle w:val="TableContents"/>
              <w:bidi w:val="0"/>
              <w:spacing w:before="0" w:after="283"/>
              <w:jc w:val="left"/>
              <w:rPr/>
            </w:pPr>
            <w:r>
              <w:rPr/>
              <w:t> </w:t>
            </w:r>
          </w:p>
        </w:tc>
        <w:tc>
          <w:tcPr>
            <w:tcW w:w="635" w:type="dxa"/>
            <w:tcBorders/>
            <w:tcMar>
              <w:bottom w:w="0"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w:t>
            </w:r>
          </w:p>
        </w:tc>
        <w:tc>
          <w:tcPr>
            <w:tcW w:w="104" w:type="dxa"/>
            <w:tcBorders/>
            <w:tcMar>
              <w:bottom w:w="0" w:type="dxa"/>
            </w:tcMar>
            <w:vAlign w:val="center"/>
          </w:tcPr>
          <w:p>
            <w:pPr>
              <w:pStyle w:val="TableContents"/>
              <w:bidi w:val="0"/>
              <w:spacing w:before="0" w:after="283"/>
              <w:jc w:val="left"/>
              <w:rPr/>
            </w:pPr>
            <w:r>
              <w:rPr/>
              <w:t> </w:t>
            </w:r>
          </w:p>
        </w:tc>
        <w:tc>
          <w:tcPr>
            <w:tcW w:w="78" w:type="dxa"/>
            <w:tcBorders/>
            <w:tcMar>
              <w:bottom w:w="0" w:type="dxa"/>
            </w:tcMar>
            <w:vAlign w:val="center"/>
          </w:tcPr>
          <w:p>
            <w:pPr>
              <w:pStyle w:val="TableContents"/>
              <w:bidi w:val="0"/>
              <w:spacing w:before="0" w:after="283"/>
              <w:jc w:val="left"/>
              <w:rPr/>
            </w:pPr>
            <w:r>
              <w:rPr/>
              <w:t> </w:t>
            </w:r>
          </w:p>
        </w:tc>
        <w:tc>
          <w:tcPr>
            <w:tcW w:w="163" w:type="dxa"/>
            <w:tcBorders/>
            <w:tcMar>
              <w:bottom w:w="0" w:type="dxa"/>
            </w:tcMar>
            <w:vAlign w:val="center"/>
          </w:tcPr>
          <w:p>
            <w:pPr>
              <w:pStyle w:val="TableContents"/>
              <w:bidi w:val="0"/>
              <w:spacing w:before="0" w:after="283"/>
              <w:jc w:val="left"/>
              <w:rPr/>
            </w:pPr>
            <w:r>
              <w:rPr/>
              <w:t> </w:t>
            </w:r>
          </w:p>
        </w:tc>
        <w:tc>
          <w:tcPr>
            <w:tcW w:w="635" w:type="dxa"/>
            <w:tcBorders/>
            <w:tcMar>
              <w:bottom w:w="0"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w:t>
            </w:r>
          </w:p>
        </w:tc>
        <w:tc>
          <w:tcPr>
            <w:tcW w:w="8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40" w:type="dxa"/>
            <w:tcBorders/>
            <w:tcMar>
              <w:bottom w:w="0" w:type="dxa"/>
            </w:tcMar>
            <w:vAlign w:val="center"/>
          </w:tcPr>
          <w:p>
            <w:pPr>
              <w:pStyle w:val="TableContents"/>
              <w:bidi w:val="0"/>
              <w:spacing w:before="0" w:after="283"/>
              <w:jc w:val="left"/>
              <w:rPr/>
            </w:pPr>
            <w:r>
              <w:rPr/>
              <w:t> </w:t>
            </w:r>
          </w:p>
        </w:tc>
        <w:tc>
          <w:tcPr>
            <w:tcW w:w="849" w:type="dxa"/>
            <w:tcBorders/>
            <w:tcMar>
              <w:bottom w:w="0" w:type="dxa"/>
            </w:tcMar>
            <w:vAlign w:val="center"/>
          </w:tcPr>
          <w:p>
            <w:pPr>
              <w:pStyle w:val="TableContents"/>
              <w:bidi w:val="0"/>
              <w:spacing w:lineRule="auto" w:line="300" w:before="0" w:after="0"/>
              <w:jc w:val="right"/>
              <w:rPr/>
            </w:pPr>
            <w:r>
              <w:rPr/>
              <w:t>(12,065</w:t>
            </w:r>
          </w:p>
        </w:tc>
        <w:tc>
          <w:tcPr>
            <w:tcW w:w="89" w:type="dxa"/>
            <w:tcBorders/>
            <w:tcMar>
              <w:bottom w:w="0" w:type="dxa"/>
            </w:tcM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7" w:type="dxa"/>
            <w:tcBorders/>
            <w:tcMar>
              <w:bottom w:w="0" w:type="dxa"/>
            </w:tcMar>
            <w:vAlign w:val="center"/>
          </w:tcPr>
          <w:p>
            <w:pPr>
              <w:pStyle w:val="TableContents"/>
              <w:bidi w:val="0"/>
              <w:spacing w:before="0" w:after="283"/>
              <w:jc w:val="left"/>
              <w:rPr/>
            </w:pPr>
            <w:r>
              <w:rPr/>
              <w:t> </w:t>
            </w:r>
          </w:p>
        </w:tc>
        <w:tc>
          <w:tcPr>
            <w:tcW w:w="140" w:type="dxa"/>
            <w:tcBorders/>
            <w:tcMar>
              <w:bottom w:w="0" w:type="dxa"/>
            </w:tcMar>
            <w:vAlign w:val="center"/>
          </w:tcPr>
          <w:p>
            <w:pPr>
              <w:pStyle w:val="TableContents"/>
              <w:bidi w:val="0"/>
              <w:spacing w:before="0" w:after="283"/>
              <w:jc w:val="left"/>
              <w:rPr/>
            </w:pPr>
            <w:r>
              <w:rPr/>
              <w:t> </w:t>
            </w:r>
          </w:p>
        </w:tc>
        <w:tc>
          <w:tcPr>
            <w:tcW w:w="629" w:type="dxa"/>
            <w:tcBorders/>
            <w:tcMar>
              <w:bottom w:w="0" w:type="dxa"/>
            </w:tcMar>
            <w:vAlign w:val="center"/>
          </w:tcPr>
          <w:p>
            <w:pPr>
              <w:pStyle w:val="TableContents"/>
              <w:bidi w:val="0"/>
              <w:spacing w:lineRule="auto" w:line="300" w:before="0" w:after="0"/>
              <w:jc w:val="right"/>
              <w:rPr/>
            </w:pPr>
            <w:r>
              <w:rPr/>
              <w:t>-</w:t>
            </w:r>
          </w:p>
        </w:tc>
        <w:tc>
          <w:tcPr>
            <w:tcW w:w="80" w:type="dxa"/>
            <w:tcBorders/>
            <w:tcMar>
              <w:bottom w:w="0" w:type="dxa"/>
            </w:tcMar>
            <w:vAlign w:val="center"/>
          </w:tcPr>
          <w:p>
            <w:pPr>
              <w:pStyle w:val="TableContents"/>
              <w:bidi w:val="0"/>
              <w:spacing w:before="0" w:after="283"/>
              <w:jc w:val="left"/>
              <w:rPr/>
            </w:pPr>
            <w:r>
              <w:rPr/>
              <w:t> </w:t>
            </w:r>
          </w:p>
        </w:tc>
        <w:tc>
          <w:tcPr>
            <w:tcW w:w="2097" w:type="dxa"/>
            <w:tcBorders/>
            <w:tcMar>
              <w:bottom w:w="0" w:type="dxa"/>
            </w:tcM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Financial income (expenses), net</w:t>
            </w:r>
          </w:p>
        </w:tc>
      </w:tr>
      <w:tr>
        <w:trPr/>
        <w:tc>
          <w:tcPr>
            <w:tcW w:w="4136" w:type="dxa"/>
            <w:tcBorders/>
            <w:shd w:fill="CCEEFF" w:val="clear"/>
            <w:tcMar>
              <w:bottom w:w="0" w:type="dxa"/>
            </w:tcM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Foreign currency translation adjustments, net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3" w:type="dxa"/>
            <w:tcBorders>
              <w:bottom w:val="single" w:sz="12" w:space="0" w:color="000000"/>
            </w:tcBorders>
            <w:shd w:fill="CCEEFF" w:val="clear"/>
            <w:vAlign w:val="center"/>
          </w:tcPr>
          <w:p>
            <w:pPr>
              <w:pStyle w:val="TableContents"/>
              <w:bidi w:val="0"/>
              <w:spacing w:before="0" w:after="283"/>
              <w:jc w:val="left"/>
              <w:rPr/>
            </w:pPr>
            <w:r>
              <w:rPr/>
              <w:t> </w:t>
            </w:r>
          </w:p>
        </w:tc>
        <w:tc>
          <w:tcPr>
            <w:tcW w:w="635" w:type="dxa"/>
            <w:tcBorders>
              <w:bottom w:val="single" w:sz="12" w:space="0" w:color="000000"/>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w:t>
            </w:r>
          </w:p>
        </w:tc>
        <w:tc>
          <w:tcPr>
            <w:tcW w:w="104" w:type="dxa"/>
            <w:tcBorders/>
            <w:shd w:fill="CCEEFF" w:val="clear"/>
            <w:tcMar>
              <w:bottom w:w="0" w:type="dxa"/>
            </w:tcMar>
            <w:vAlign w:val="center"/>
          </w:tcPr>
          <w:p>
            <w:pPr>
              <w:pStyle w:val="TableContents"/>
              <w:bidi w:val="0"/>
              <w:spacing w:before="0" w:after="283"/>
              <w:jc w:val="left"/>
              <w:rPr/>
            </w:pPr>
            <w:r>
              <w:rPr/>
              <w:t> </w:t>
            </w:r>
          </w:p>
        </w:tc>
        <w:tc>
          <w:tcPr>
            <w:tcW w:w="78" w:type="dxa"/>
            <w:tcBorders/>
            <w:shd w:fill="CCEEFF" w:val="clear"/>
            <w:tcMar>
              <w:bottom w:w="0" w:type="dxa"/>
            </w:tcMar>
            <w:vAlign w:val="center"/>
          </w:tcPr>
          <w:p>
            <w:pPr>
              <w:pStyle w:val="TableContents"/>
              <w:bidi w:val="0"/>
              <w:spacing w:before="0" w:after="283"/>
              <w:jc w:val="left"/>
              <w:rPr/>
            </w:pPr>
            <w:r>
              <w:rPr/>
              <w:t> </w:t>
            </w:r>
          </w:p>
        </w:tc>
        <w:tc>
          <w:tcPr>
            <w:tcW w:w="163" w:type="dxa"/>
            <w:tcBorders>
              <w:bottom w:val="single" w:sz="12" w:space="0" w:color="000000"/>
            </w:tcBorders>
            <w:shd w:fill="CCEEFF" w:val="clear"/>
            <w:vAlign w:val="center"/>
          </w:tcPr>
          <w:p>
            <w:pPr>
              <w:pStyle w:val="TableContents"/>
              <w:bidi w:val="0"/>
              <w:spacing w:before="0" w:after="283"/>
              <w:jc w:val="left"/>
              <w:rPr/>
            </w:pPr>
            <w:r>
              <w:rPr/>
              <w:t> </w:t>
            </w:r>
          </w:p>
        </w:tc>
        <w:tc>
          <w:tcPr>
            <w:tcW w:w="635" w:type="dxa"/>
            <w:tcBorders>
              <w:bottom w:val="single" w:sz="12" w:space="0" w:color="000000"/>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single" w:sz="12" w:space="0" w:color="000000"/>
            </w:tcBorders>
            <w:shd w:fill="CCEEFF" w:val="clear"/>
            <w:vAlign w:val="center"/>
          </w:tcPr>
          <w:p>
            <w:pPr>
              <w:pStyle w:val="TableContents"/>
              <w:bidi w:val="0"/>
              <w:spacing w:before="0" w:after="283"/>
              <w:jc w:val="left"/>
              <w:rPr/>
            </w:pPr>
            <w:r>
              <w:rPr/>
              <w:t> </w:t>
            </w:r>
          </w:p>
        </w:tc>
        <w:tc>
          <w:tcPr>
            <w:tcW w:w="849" w:type="dxa"/>
            <w:tcBorders>
              <w:bottom w:val="single" w:sz="12" w:space="0" w:color="000000"/>
            </w:tcBorders>
            <w:shd w:fill="CCEEFF" w:val="clear"/>
            <w:vAlign w:val="center"/>
          </w:tcPr>
          <w:p>
            <w:pPr>
              <w:pStyle w:val="TableContents"/>
              <w:bidi w:val="0"/>
              <w:spacing w:lineRule="auto" w:line="300" w:before="0" w:after="0"/>
              <w:jc w:val="right"/>
              <w:rPr/>
            </w:pPr>
            <w:r>
              <w:rPr/>
              <w:t>(7,398</w:t>
            </w:r>
          </w:p>
        </w:tc>
        <w:tc>
          <w:tcPr>
            <w:tcW w:w="89" w:type="dxa"/>
            <w:tcBorders/>
            <w:shd w:fill="CCEEFF" w:val="clear"/>
            <w:tcMar>
              <w:bottom w:w="0" w:type="dxa"/>
            </w:tcM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7"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single" w:sz="12" w:space="0" w:color="000000"/>
            </w:tcBorders>
            <w:shd w:fill="CCEEFF" w:val="clear"/>
            <w:vAlign w:val="center"/>
          </w:tcPr>
          <w:p>
            <w:pPr>
              <w:pStyle w:val="TableContents"/>
              <w:bidi w:val="0"/>
              <w:spacing w:before="0" w:after="283"/>
              <w:jc w:val="left"/>
              <w:rPr/>
            </w:pPr>
            <w:r>
              <w:rPr/>
              <w:t> </w:t>
            </w:r>
          </w:p>
        </w:tc>
        <w:tc>
          <w:tcPr>
            <w:tcW w:w="629" w:type="dxa"/>
            <w:tcBorders>
              <w:bottom w:val="single" w:sz="12" w:space="0" w:color="000000"/>
            </w:tcBorders>
            <w:shd w:fill="CCEEFF" w:val="clear"/>
            <w:vAlign w:val="center"/>
          </w:tcPr>
          <w:p>
            <w:pPr>
              <w:pStyle w:val="TableContents"/>
              <w:bidi w:val="0"/>
              <w:spacing w:lineRule="auto" w:line="300" w:before="0" w:after="0"/>
              <w:jc w:val="right"/>
              <w:rPr/>
            </w:pPr>
            <w:r>
              <w:rPr/>
              <w:t>-</w:t>
            </w:r>
          </w:p>
        </w:tc>
        <w:tc>
          <w:tcPr>
            <w:tcW w:w="80" w:type="dxa"/>
            <w:tcBorders/>
            <w:shd w:fill="CCEEFF" w:val="clear"/>
            <w:tcMar>
              <w:bottom w:w="0" w:type="dxa"/>
            </w:tcMar>
            <w:vAlign w:val="center"/>
          </w:tcPr>
          <w:p>
            <w:pPr>
              <w:pStyle w:val="TableContents"/>
              <w:bidi w:val="0"/>
              <w:spacing w:before="0" w:after="283"/>
              <w:jc w:val="left"/>
              <w:rPr/>
            </w:pPr>
            <w:r>
              <w:rPr/>
              <w:t> </w:t>
            </w:r>
          </w:p>
        </w:tc>
        <w:tc>
          <w:tcPr>
            <w:tcW w:w="2097" w:type="dxa"/>
            <w:tcBorders/>
            <w:shd w:fill="CCEEFF" w:val="clear"/>
            <w:tcMar>
              <w:bottom w:w="0" w:type="dxa"/>
            </w:tcM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Financial income (expenses), net</w:t>
            </w:r>
          </w:p>
        </w:tc>
      </w:tr>
      <w:tr>
        <w:trPr/>
        <w:tc>
          <w:tcPr>
            <w:tcW w:w="4136"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63" w:type="dxa"/>
            <w:tcBorders>
              <w:bottom w:val="single" w:sz="12" w:space="0" w:color="000000"/>
            </w:tcBorders>
            <w:vAlign w:val="center"/>
          </w:tcPr>
          <w:p>
            <w:pPr>
              <w:pStyle w:val="TableContents"/>
              <w:bidi w:val="0"/>
              <w:spacing w:before="0" w:after="283"/>
              <w:jc w:val="left"/>
              <w:rPr/>
            </w:pPr>
            <w:r>
              <w:rPr/>
              <w:t> </w:t>
            </w:r>
          </w:p>
        </w:tc>
        <w:tc>
          <w:tcPr>
            <w:tcW w:w="635" w:type="dxa"/>
            <w:tcBorders>
              <w:bottom w:val="single" w:sz="12" w:space="0" w:color="000000"/>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w:t>
            </w:r>
          </w:p>
        </w:tc>
        <w:tc>
          <w:tcPr>
            <w:tcW w:w="104" w:type="dxa"/>
            <w:tcBorders/>
            <w:tcMar>
              <w:bottom w:w="0" w:type="dxa"/>
            </w:tcMar>
            <w:vAlign w:val="center"/>
          </w:tcPr>
          <w:p>
            <w:pPr>
              <w:pStyle w:val="TableContents"/>
              <w:bidi w:val="0"/>
              <w:spacing w:before="0" w:after="283"/>
              <w:jc w:val="left"/>
              <w:rPr/>
            </w:pPr>
            <w:r>
              <w:rPr/>
              <w:t> </w:t>
            </w:r>
          </w:p>
        </w:tc>
        <w:tc>
          <w:tcPr>
            <w:tcW w:w="78" w:type="dxa"/>
            <w:tcBorders/>
            <w:tcMar>
              <w:bottom w:w="0" w:type="dxa"/>
            </w:tcMar>
            <w:vAlign w:val="center"/>
          </w:tcPr>
          <w:p>
            <w:pPr>
              <w:pStyle w:val="TableContents"/>
              <w:bidi w:val="0"/>
              <w:spacing w:before="0" w:after="283"/>
              <w:jc w:val="left"/>
              <w:rPr/>
            </w:pPr>
            <w:r>
              <w:rPr/>
              <w:t> </w:t>
            </w:r>
          </w:p>
        </w:tc>
        <w:tc>
          <w:tcPr>
            <w:tcW w:w="163" w:type="dxa"/>
            <w:tcBorders>
              <w:bottom w:val="single" w:sz="12" w:space="0" w:color="000000"/>
            </w:tcBorders>
            <w:vAlign w:val="center"/>
          </w:tcPr>
          <w:p>
            <w:pPr>
              <w:pStyle w:val="TableContents"/>
              <w:bidi w:val="0"/>
              <w:spacing w:before="0" w:after="283"/>
              <w:jc w:val="left"/>
              <w:rPr/>
            </w:pPr>
            <w:r>
              <w:rPr/>
              <w:t> </w:t>
            </w:r>
          </w:p>
        </w:tc>
        <w:tc>
          <w:tcPr>
            <w:tcW w:w="635" w:type="dxa"/>
            <w:tcBorders>
              <w:bottom w:val="single" w:sz="12" w:space="0" w:color="000000"/>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w:t>
            </w:r>
          </w:p>
        </w:tc>
        <w:tc>
          <w:tcPr>
            <w:tcW w:w="8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40" w:type="dxa"/>
            <w:tcBorders>
              <w:bottom w:val="single" w:sz="12" w:space="0" w:color="000000"/>
            </w:tcBorders>
            <w:vAlign w:val="center"/>
          </w:tcPr>
          <w:p>
            <w:pPr>
              <w:pStyle w:val="TableContents"/>
              <w:bidi w:val="0"/>
              <w:spacing w:before="0" w:after="283"/>
              <w:jc w:val="left"/>
              <w:rPr/>
            </w:pPr>
            <w:r>
              <w:rPr/>
              <w:t> </w:t>
            </w:r>
          </w:p>
        </w:tc>
        <w:tc>
          <w:tcPr>
            <w:tcW w:w="849" w:type="dxa"/>
            <w:tcBorders>
              <w:bottom w:val="single" w:sz="12" w:space="0" w:color="000000"/>
            </w:tcBorders>
            <w:vAlign w:val="center"/>
          </w:tcPr>
          <w:p>
            <w:pPr>
              <w:pStyle w:val="TableContents"/>
              <w:bidi w:val="0"/>
              <w:spacing w:lineRule="auto" w:line="300" w:before="0" w:after="0"/>
              <w:jc w:val="right"/>
              <w:rPr/>
            </w:pPr>
            <w:r>
              <w:rPr/>
              <w:t>(19,463</w:t>
            </w:r>
          </w:p>
        </w:tc>
        <w:tc>
          <w:tcPr>
            <w:tcW w:w="89" w:type="dxa"/>
            <w:tcBorders/>
            <w:tcMar>
              <w:bottom w:w="0" w:type="dxa"/>
            </w:tcM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7" w:type="dxa"/>
            <w:tcBorders/>
            <w:tcMar>
              <w:bottom w:w="0" w:type="dxa"/>
            </w:tcMar>
            <w:vAlign w:val="center"/>
          </w:tcPr>
          <w:p>
            <w:pPr>
              <w:pStyle w:val="TableContents"/>
              <w:bidi w:val="0"/>
              <w:spacing w:before="0" w:after="283"/>
              <w:jc w:val="left"/>
              <w:rPr/>
            </w:pPr>
            <w:r>
              <w:rPr/>
              <w:t> </w:t>
            </w:r>
          </w:p>
        </w:tc>
        <w:tc>
          <w:tcPr>
            <w:tcW w:w="140" w:type="dxa"/>
            <w:tcBorders>
              <w:bottom w:val="single" w:sz="12" w:space="0" w:color="000000"/>
            </w:tcBorders>
            <w:vAlign w:val="center"/>
          </w:tcPr>
          <w:p>
            <w:pPr>
              <w:pStyle w:val="TableContents"/>
              <w:bidi w:val="0"/>
              <w:spacing w:before="0" w:after="283"/>
              <w:jc w:val="left"/>
              <w:rPr/>
            </w:pPr>
            <w:r>
              <w:rPr/>
              <w:t> </w:t>
            </w:r>
          </w:p>
        </w:tc>
        <w:tc>
          <w:tcPr>
            <w:tcW w:w="629" w:type="dxa"/>
            <w:tcBorders>
              <w:bottom w:val="single" w:sz="12" w:space="0" w:color="000000"/>
            </w:tcBorders>
            <w:vAlign w:val="center"/>
          </w:tcPr>
          <w:p>
            <w:pPr>
              <w:pStyle w:val="TableContents"/>
              <w:bidi w:val="0"/>
              <w:spacing w:lineRule="auto" w:line="300" w:before="0" w:after="0"/>
              <w:jc w:val="right"/>
              <w:rPr/>
            </w:pPr>
            <w:r>
              <w:rPr/>
              <w:t>-</w:t>
            </w:r>
          </w:p>
        </w:tc>
        <w:tc>
          <w:tcPr>
            <w:tcW w:w="80" w:type="dxa"/>
            <w:tcBorders/>
            <w:tcMar>
              <w:bottom w:w="0" w:type="dxa"/>
            </w:tcMar>
            <w:vAlign w:val="center"/>
          </w:tcPr>
          <w:p>
            <w:pPr>
              <w:pStyle w:val="TableContents"/>
              <w:bidi w:val="0"/>
              <w:spacing w:before="0" w:after="283"/>
              <w:jc w:val="left"/>
              <w:rPr/>
            </w:pPr>
            <w:r>
              <w:rPr/>
              <w:t> </w:t>
            </w:r>
          </w:p>
        </w:tc>
        <w:tc>
          <w:tcPr>
            <w:tcW w:w="2097" w:type="dxa"/>
            <w:tcBorders/>
            <w:tcMar>
              <w:bottom w:w="0" w:type="dxa"/>
            </w:tcMar>
            <w:vAlign w:val="center"/>
          </w:tcPr>
          <w:p>
            <w:pPr>
              <w:pStyle w:val="TableContents"/>
              <w:bidi w:val="0"/>
              <w:spacing w:before="0" w:after="283"/>
              <w:jc w:val="left"/>
              <w:rPr/>
            </w:pPr>
            <w:r>
              <w:rPr/>
              <w:t> </w:t>
            </w:r>
          </w:p>
        </w:tc>
      </w:tr>
      <w:tr>
        <w:trPr/>
        <w:tc>
          <w:tcPr>
            <w:tcW w:w="4136" w:type="dxa"/>
            <w:tcBorders/>
            <w:shd w:fill="CCEEFF" w:val="clear"/>
            <w:tcMar>
              <w:bottom w:w="0" w:type="dxa"/>
            </w:tcM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Total reclassifications for the period</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3" w:type="dxa"/>
            <w:tcBorders>
              <w:bottom w:val="double" w:sz="8" w:space="0" w:color="000000"/>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35" w:type="dxa"/>
            <w:tcBorders>
              <w:bottom w:val="double" w:sz="8" w:space="0" w:color="000000"/>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3,087</w:t>
            </w:r>
          </w:p>
        </w:tc>
        <w:tc>
          <w:tcPr>
            <w:tcW w:w="104" w:type="dxa"/>
            <w:tcBorders/>
            <w:shd w:fill="CCEEFF" w:val="clear"/>
            <w:tcMar>
              <w:bottom w:w="0" w:type="dxa"/>
            </w:tcMar>
            <w:vAlign w:val="center"/>
          </w:tcPr>
          <w:p>
            <w:pPr>
              <w:pStyle w:val="TableContents"/>
              <w:bidi w:val="0"/>
              <w:spacing w:before="0" w:after="283"/>
              <w:jc w:val="left"/>
              <w:rPr/>
            </w:pPr>
            <w:r>
              <w:rPr/>
              <w:t> </w:t>
            </w:r>
          </w:p>
        </w:tc>
        <w:tc>
          <w:tcPr>
            <w:tcW w:w="78" w:type="dxa"/>
            <w:tcBorders/>
            <w:shd w:fill="CCEEFF" w:val="clear"/>
            <w:tcMar>
              <w:bottom w:w="0" w:type="dxa"/>
            </w:tcMar>
            <w:vAlign w:val="center"/>
          </w:tcPr>
          <w:p>
            <w:pPr>
              <w:pStyle w:val="TableContents"/>
              <w:bidi w:val="0"/>
              <w:spacing w:before="0" w:after="283"/>
              <w:jc w:val="left"/>
              <w:rPr/>
            </w:pPr>
            <w:r>
              <w:rPr/>
              <w:t> </w:t>
            </w:r>
          </w:p>
        </w:tc>
        <w:tc>
          <w:tcPr>
            <w:tcW w:w="163" w:type="dxa"/>
            <w:tcBorders>
              <w:bottom w:val="double" w:sz="8" w:space="0" w:color="000000"/>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35" w:type="dxa"/>
            <w:tcBorders>
              <w:bottom w:val="double" w:sz="8" w:space="0" w:color="000000"/>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1,531</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double" w:sz="8" w:space="0" w:color="000000"/>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849" w:type="dxa"/>
            <w:tcBorders>
              <w:bottom w:val="double" w:sz="8" w:space="0" w:color="000000"/>
            </w:tcBorders>
            <w:shd w:fill="CCEEFF" w:val="clear"/>
            <w:vAlign w:val="center"/>
          </w:tcPr>
          <w:p>
            <w:pPr>
              <w:pStyle w:val="TableContents"/>
              <w:bidi w:val="0"/>
              <w:spacing w:lineRule="auto" w:line="300" w:before="0" w:after="0"/>
              <w:jc w:val="right"/>
              <w:rPr/>
            </w:pPr>
            <w:r>
              <w:rPr/>
              <w:t>(15,412</w:t>
            </w:r>
          </w:p>
        </w:tc>
        <w:tc>
          <w:tcPr>
            <w:tcW w:w="89" w:type="dxa"/>
            <w:tcBorders/>
            <w:shd w:fill="CCEEFF" w:val="clear"/>
            <w:tcMar>
              <w:bottom w:w="0" w:type="dxa"/>
            </w:tcM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7"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double" w:sz="8" w:space="0" w:color="000000"/>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29" w:type="dxa"/>
            <w:tcBorders>
              <w:bottom w:val="double" w:sz="8" w:space="0" w:color="000000"/>
            </w:tcBorders>
            <w:shd w:fill="CCEEFF" w:val="clear"/>
            <w:vAlign w:val="center"/>
          </w:tcPr>
          <w:p>
            <w:pPr>
              <w:pStyle w:val="TableContents"/>
              <w:bidi w:val="0"/>
              <w:spacing w:lineRule="auto" w:line="300" w:before="0" w:after="0"/>
              <w:jc w:val="right"/>
              <w:rPr/>
            </w:pPr>
            <w:r>
              <w:rPr/>
              <w:t>2,189</w:t>
            </w:r>
          </w:p>
        </w:tc>
        <w:tc>
          <w:tcPr>
            <w:tcW w:w="80" w:type="dxa"/>
            <w:tcBorders/>
            <w:shd w:fill="CCEEFF" w:val="clear"/>
            <w:tcMar>
              <w:bottom w:w="0" w:type="dxa"/>
            </w:tcMar>
            <w:vAlign w:val="center"/>
          </w:tcPr>
          <w:p>
            <w:pPr>
              <w:pStyle w:val="TableContents"/>
              <w:bidi w:val="0"/>
              <w:spacing w:before="0" w:after="283"/>
              <w:jc w:val="left"/>
              <w:rPr/>
            </w:pPr>
            <w:r>
              <w:rPr/>
              <w:t> </w:t>
            </w:r>
          </w:p>
        </w:tc>
        <w:tc>
          <w:tcPr>
            <w:tcW w:w="2097"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lineRule="auto" w:line="300" w:before="0" w:after="0"/>
        <w:jc w:val="left"/>
        <w:rPr>
          <w:rFonts w:ascii="Times New Roman;Times;serif" w:hAnsi="Times New Roman;Times;serif"/>
          <w:b/>
          <w:sz w:val="20"/>
        </w:rPr>
      </w:pPr>
      <w:r>
        <w:rPr>
          <w:rFonts w:ascii="Times New Roman;Times;serif" w:hAnsi="Times New Roman;Times;serif"/>
          <w:b/>
          <w:sz w:val="20"/>
        </w:rPr>
        <w:t>NOTE 16:     OTHER OPERATING EXPENSE, NET</w:t>
      </w:r>
    </w:p>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sz w:val="20"/>
        </w:rPr>
      </w:pPr>
      <w:r>
        <w:rPr>
          <w:rFonts w:ascii="Times New Roman;Times;serif" w:hAnsi="Times New Roman;Times;serif"/>
          <w:sz w:val="20"/>
        </w:rPr>
        <w:t>The following table presents the expenses (income) recorded in the three and six months ended June 30, 2026 and 2025:</w:t>
      </w:r>
    </w:p>
    <w:p>
      <w:pPr>
        <w:pStyle w:val="TextBody"/>
        <w:bidi w:val="0"/>
        <w:spacing w:lineRule="auto" w:line="300" w:before="0" w:after="0"/>
        <w:jc w:val="both"/>
        <w:rPr/>
      </w:pPr>
      <w:r>
        <w:rPr/>
        <w:t> </w:t>
      </w:r>
    </w:p>
    <w:tbl>
      <w:tblPr>
        <w:tblW w:w="9306" w:type="dxa"/>
        <w:jc w:val="left"/>
        <w:tblInd w:w="0" w:type="dxa"/>
        <w:tblLayout w:type="fixed"/>
        <w:tblCellMar>
          <w:top w:w="0" w:type="dxa"/>
          <w:left w:w="0" w:type="dxa"/>
          <w:bottom w:w="0" w:type="dxa"/>
          <w:right w:w="0" w:type="dxa"/>
        </w:tblCellMar>
      </w:tblPr>
      <w:tblGrid>
        <w:gridCol w:w="5495"/>
        <w:gridCol w:w="60"/>
        <w:gridCol w:w="146"/>
        <w:gridCol w:w="569"/>
        <w:gridCol w:w="93"/>
        <w:gridCol w:w="70"/>
        <w:gridCol w:w="146"/>
        <w:gridCol w:w="762"/>
        <w:gridCol w:w="80"/>
        <w:gridCol w:w="60"/>
        <w:gridCol w:w="125"/>
        <w:gridCol w:w="680"/>
        <w:gridCol w:w="60"/>
        <w:gridCol w:w="60"/>
        <w:gridCol w:w="125"/>
        <w:gridCol w:w="680"/>
        <w:gridCol w:w="95"/>
      </w:tblGrid>
      <w:tr>
        <w:trPr/>
        <w:tc>
          <w:tcPr>
            <w:tcW w:w="54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86" w:type="dxa"/>
            <w:gridSpan w:val="6"/>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Three Months Ended</w:t>
            </w:r>
          </w:p>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June 30,</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30" w:type="dxa"/>
            <w:gridSpan w:val="6"/>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Six Months Ended</w:t>
            </w:r>
          </w:p>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June 30,</w:t>
            </w:r>
          </w:p>
        </w:tc>
        <w:tc>
          <w:tcPr>
            <w:tcW w:w="95" w:type="dxa"/>
            <w:tcBorders/>
            <w:vAlign w:val="center"/>
          </w:tcPr>
          <w:p>
            <w:pPr>
              <w:pStyle w:val="TableContents"/>
              <w:bidi w:val="0"/>
              <w:spacing w:before="0" w:after="283"/>
              <w:jc w:val="left"/>
              <w:rPr/>
            </w:pPr>
            <w:r>
              <w:rPr/>
              <w:t> </w:t>
            </w:r>
          </w:p>
        </w:tc>
      </w:tr>
      <w:tr>
        <w:trPr/>
        <w:tc>
          <w:tcPr>
            <w:tcW w:w="54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15"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2026</w:t>
            </w:r>
          </w:p>
        </w:tc>
        <w:tc>
          <w:tcPr>
            <w:tcW w:w="93"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908"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2025</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5"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5"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2025</w:t>
            </w:r>
          </w:p>
        </w:tc>
        <w:tc>
          <w:tcPr>
            <w:tcW w:w="95" w:type="dxa"/>
            <w:tcBorders/>
            <w:vAlign w:val="center"/>
          </w:tcPr>
          <w:p>
            <w:pPr>
              <w:pStyle w:val="TableContents"/>
              <w:bidi w:val="0"/>
              <w:spacing w:before="0" w:after="283"/>
              <w:jc w:val="left"/>
              <w:rPr/>
            </w:pPr>
            <w:r>
              <w:rPr/>
              <w:t> </w:t>
            </w:r>
          </w:p>
        </w:tc>
      </w:tr>
      <w:tr>
        <w:trPr/>
        <w:tc>
          <w:tcPr>
            <w:tcW w:w="5495"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Impairment of asset held-for-sale</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569"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w:t>
            </w:r>
          </w:p>
        </w:tc>
        <w:tc>
          <w:tcPr>
            <w:tcW w:w="93"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762"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38,339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80"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80"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38,339</w:t>
            </w:r>
          </w:p>
        </w:tc>
        <w:tc>
          <w:tcPr>
            <w:tcW w:w="95" w:type="dxa"/>
            <w:tcBorders/>
            <w:shd w:fill="CCEEFF" w:val="clear"/>
            <w:vAlign w:val="center"/>
          </w:tcPr>
          <w:p>
            <w:pPr>
              <w:pStyle w:val="TableContents"/>
              <w:bidi w:val="0"/>
              <w:spacing w:before="0" w:after="283"/>
              <w:jc w:val="left"/>
              <w:rPr/>
            </w:pPr>
            <w:r>
              <w:rPr/>
              <w:t> </w:t>
            </w:r>
          </w:p>
        </w:tc>
      </w:tr>
      <w:tr>
        <w:trPr/>
        <w:tc>
          <w:tcPr>
            <w:tcW w:w="5495"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Loss from business disposition</w:t>
            </w:r>
          </w:p>
        </w:tc>
        <w:tc>
          <w:tcPr>
            <w:tcW w:w="60"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569"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99</w:t>
            </w:r>
          </w:p>
        </w:tc>
        <w:tc>
          <w:tcPr>
            <w:tcW w:w="93"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762"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17,875</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lineRule="auto" w:line="300" w:before="0" w:after="0"/>
              <w:jc w:val="right"/>
              <w:rPr/>
            </w:pPr>
            <w:r>
              <w:rPr/>
              <w:t>7,699</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lineRule="auto" w:line="300" w:before="0" w:after="0"/>
              <w:jc w:val="right"/>
              <w:rPr/>
            </w:pPr>
            <w:r>
              <w:rPr/>
              <w:t>17,875</w:t>
            </w:r>
          </w:p>
        </w:tc>
        <w:tc>
          <w:tcPr>
            <w:tcW w:w="95" w:type="dxa"/>
            <w:tcBorders/>
            <w:vAlign w:val="center"/>
          </w:tcPr>
          <w:p>
            <w:pPr>
              <w:pStyle w:val="TableContents"/>
              <w:bidi w:val="0"/>
              <w:spacing w:before="0" w:after="283"/>
              <w:jc w:val="left"/>
              <w:rPr/>
            </w:pPr>
            <w:r>
              <w:rPr/>
              <w:t> </w:t>
            </w:r>
          </w:p>
        </w:tc>
      </w:tr>
      <w:tr>
        <w:trPr/>
        <w:tc>
          <w:tcPr>
            <w:tcW w:w="5495"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Loss (gain) from sale and disposal of property, plant and equipment</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569"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6,671</w:t>
            </w:r>
          </w:p>
        </w:tc>
        <w:tc>
          <w:tcPr>
            <w:tcW w:w="93"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762"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(10,000</w:t>
            </w:r>
          </w:p>
        </w:tc>
        <w:tc>
          <w:tcPr>
            <w:tcW w:w="80"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7,641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(10,000</w:t>
            </w:r>
          </w:p>
        </w:tc>
        <w:tc>
          <w:tcPr>
            <w:tcW w:w="95"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r>
      <w:tr>
        <w:trPr/>
        <w:tc>
          <w:tcPr>
            <w:tcW w:w="5495"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Income from discontinued operations</w:t>
            </w:r>
          </w:p>
        </w:tc>
        <w:tc>
          <w:tcPr>
            <w:tcW w:w="60"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569"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w:t>
            </w:r>
          </w:p>
        </w:tc>
        <w:tc>
          <w:tcPr>
            <w:tcW w:w="93"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762"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(3,137</w:t>
            </w:r>
          </w:p>
        </w:tc>
        <w:tc>
          <w:tcPr>
            <w:tcW w:w="95"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r>
      <w:tr>
        <w:trPr/>
        <w:tc>
          <w:tcPr>
            <w:tcW w:w="5495"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Other</w:t>
            </w:r>
          </w:p>
        </w:tc>
        <w:tc>
          <w:tcPr>
            <w:tcW w:w="60" w:type="dxa"/>
            <w:tcBorders/>
            <w:shd w:fill="CCEEFF" w:val="clear"/>
            <w:vAlign w:val="center"/>
          </w:tcPr>
          <w:p>
            <w:pPr>
              <w:pStyle w:val="TableContents"/>
              <w:bidi w:val="0"/>
              <w:spacing w:before="0" w:after="283"/>
              <w:jc w:val="left"/>
              <w:rPr/>
            </w:pPr>
            <w:r>
              <w:rPr/>
              <w:t> </w:t>
            </w:r>
          </w:p>
        </w:tc>
        <w:tc>
          <w:tcPr>
            <w:tcW w:w="14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569" w:type="dxa"/>
            <w:tcBorders>
              <w:bottom w:val="single" w:sz="12" w:space="0" w:color="000000"/>
            </w:tcBorders>
            <w:shd w:fill="CCEEFF" w:val="clear"/>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(127</w:t>
            </w:r>
          </w:p>
        </w:tc>
        <w:tc>
          <w:tcPr>
            <w:tcW w:w="93"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70" w:type="dxa"/>
            <w:tcBorders/>
            <w:shd w:fill="CCEEFF" w:val="clear"/>
            <w:vAlign w:val="center"/>
          </w:tcPr>
          <w:p>
            <w:pPr>
              <w:pStyle w:val="TableContents"/>
              <w:bidi w:val="0"/>
              <w:spacing w:before="0" w:after="283"/>
              <w:jc w:val="left"/>
              <w:rPr/>
            </w:pPr>
            <w:r>
              <w:rPr/>
              <w:t> </w:t>
            </w:r>
          </w:p>
        </w:tc>
        <w:tc>
          <w:tcPr>
            <w:tcW w:w="14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62" w:type="dxa"/>
            <w:tcBorders>
              <w:bottom w:val="single" w:sz="12" w:space="0" w:color="000000"/>
            </w:tcBorders>
            <w:shd w:fill="CCEEFF" w:val="clear"/>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(490</w:t>
            </w:r>
          </w:p>
        </w:tc>
        <w:tc>
          <w:tcPr>
            <w:tcW w:w="80"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80" w:type="dxa"/>
            <w:tcBorders>
              <w:bottom w:val="single" w:sz="12" w:space="0" w:color="000000"/>
            </w:tcBorders>
            <w:shd w:fill="CCEEFF" w:val="clear"/>
            <w:tcMar>
              <w:bottom w:w="28" w:type="dxa"/>
            </w:tcMar>
            <w:vAlign w:val="center"/>
          </w:tcPr>
          <w:p>
            <w:pPr>
              <w:pStyle w:val="TableContents"/>
              <w:bidi w:val="0"/>
              <w:spacing w:lineRule="auto" w:line="300" w:before="0" w:after="0"/>
              <w:jc w:val="right"/>
              <w:rPr/>
            </w:pPr>
            <w:r>
              <w:rPr/>
              <w:t>601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80" w:type="dxa"/>
            <w:tcBorders>
              <w:bottom w:val="single" w:sz="12" w:space="0" w:color="000000"/>
            </w:tcBorders>
            <w:shd w:fill="CCEEFF" w:val="clear"/>
            <w:tcMar>
              <w:bottom w:w="28" w:type="dxa"/>
            </w:tcMar>
            <w:vAlign w:val="center"/>
          </w:tcPr>
          <w:p>
            <w:pPr>
              <w:pStyle w:val="TableContents"/>
              <w:bidi w:val="0"/>
              <w:spacing w:lineRule="auto" w:line="300" w:before="0" w:after="0"/>
              <w:jc w:val="right"/>
              <w:rPr/>
            </w:pPr>
            <w:r>
              <w:rPr/>
              <w:t>(928</w:t>
            </w:r>
          </w:p>
        </w:tc>
        <w:tc>
          <w:tcPr>
            <w:tcW w:w="95"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r>
      <w:tr>
        <w:trPr/>
        <w:tc>
          <w:tcPr>
            <w:tcW w:w="5495"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Total other operating expense, net</w:t>
            </w:r>
          </w:p>
        </w:tc>
        <w:tc>
          <w:tcPr>
            <w:tcW w:w="60" w:type="dxa"/>
            <w:tcBorders/>
            <w:vAlign w:val="center"/>
          </w:tcPr>
          <w:p>
            <w:pPr>
              <w:pStyle w:val="TableContents"/>
              <w:bidi w:val="0"/>
              <w:spacing w:before="0" w:after="283"/>
              <w:jc w:val="left"/>
              <w:rPr/>
            </w:pPr>
            <w:r>
              <w:rPr/>
              <w:t> </w:t>
            </w:r>
          </w:p>
        </w:tc>
        <w:tc>
          <w:tcPr>
            <w:tcW w:w="146" w:type="dxa"/>
            <w:tcBorders>
              <w:bottom w:val="double" w:sz="8" w:space="0" w:color="000000"/>
            </w:tcBorders>
            <w:tcMar>
              <w:bottom w:w="28" w:type="dxa"/>
            </w:tcM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569" w:type="dxa"/>
            <w:tcBorders>
              <w:bottom w:val="double" w:sz="8" w:space="0" w:color="000000"/>
            </w:tcBorders>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6,643</w:t>
            </w:r>
          </w:p>
        </w:tc>
        <w:tc>
          <w:tcPr>
            <w:tcW w:w="93"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146" w:type="dxa"/>
            <w:tcBorders>
              <w:bottom w:val="double" w:sz="8" w:space="0" w:color="000000"/>
            </w:tcBorders>
            <w:tcMar>
              <w:bottom w:w="28" w:type="dxa"/>
            </w:tcM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762" w:type="dxa"/>
            <w:tcBorders>
              <w:bottom w:val="double" w:sz="8" w:space="0" w:color="000000"/>
            </w:tcBorders>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45,724</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bottom w:val="double" w:sz="8" w:space="0" w:color="000000"/>
            </w:tcBorders>
            <w:tcMar>
              <w:bottom w:w="28" w:type="dxa"/>
            </w:tcM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80" w:type="dxa"/>
            <w:tcBorders>
              <w:bottom w:val="double" w:sz="8" w:space="0" w:color="000000"/>
            </w:tcBorders>
            <w:tcMar>
              <w:bottom w:w="28" w:type="dxa"/>
            </w:tcMar>
            <w:vAlign w:val="center"/>
          </w:tcPr>
          <w:p>
            <w:pPr>
              <w:pStyle w:val="TableContents"/>
              <w:bidi w:val="0"/>
              <w:spacing w:lineRule="auto" w:line="300" w:before="0" w:after="0"/>
              <w:jc w:val="right"/>
              <w:rPr/>
            </w:pPr>
            <w:r>
              <w:rPr/>
              <w:t>15,941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bottom w:val="double" w:sz="8" w:space="0" w:color="000000"/>
            </w:tcBorders>
            <w:tcMar>
              <w:bottom w:w="28" w:type="dxa"/>
            </w:tcM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80" w:type="dxa"/>
            <w:tcBorders>
              <w:bottom w:val="double" w:sz="8" w:space="0" w:color="000000"/>
            </w:tcBorders>
            <w:tcMar>
              <w:bottom w:w="28" w:type="dxa"/>
            </w:tcMar>
            <w:vAlign w:val="center"/>
          </w:tcPr>
          <w:p>
            <w:pPr>
              <w:pStyle w:val="TableContents"/>
              <w:bidi w:val="0"/>
              <w:spacing w:lineRule="auto" w:line="300" w:before="0" w:after="0"/>
              <w:jc w:val="right"/>
              <w:rPr/>
            </w:pPr>
            <w:r>
              <w:rPr/>
              <w:t>42,149</w:t>
            </w:r>
          </w:p>
        </w:tc>
        <w:tc>
          <w:tcPr>
            <w:tcW w:w="9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200" w:after="283"/>
        <w:jc w:val="center"/>
        <w:rPr/>
      </w:pPr>
      <w:r>
        <w:rPr>
          <w:b w:val="false"/>
          <w:i w:val="false"/>
          <w:caps w:val="false"/>
          <w:smallCaps w:val="false"/>
        </w:rPr>
        <w:t xml:space="preserve">SOLAREDGE TECHNOLOGIES INC. | 2026 Form 10-Q | F - </w:t>
      </w:r>
      <w:r>
        <w:rPr>
          <w:rFonts w:ascii="Times New Roman;Times;serif" w:hAnsi="Times New Roman;Times;serif"/>
          <w:sz w:val="20"/>
        </w:rPr>
        <w:t>27</w:t>
      </w:r>
    </w:p>
    <w:p>
      <w:pPr>
        <w:pStyle w:val="HorizontalLine"/>
        <w:bidi w:val="0"/>
        <w:spacing w:before="0" w:after="0"/>
        <w:jc w:val="left"/>
        <w:rPr/>
      </w:pPr>
      <w:r>
        <w:rPr/>
      </w:r>
    </w:p>
    <w:p>
      <w:pPr>
        <w:pStyle w:val="TextBody"/>
        <w:bidi w:val="0"/>
        <w:spacing w:before="0" w:after="0"/>
        <w:jc w:val="left"/>
        <w:rPr/>
      </w:pPr>
      <w:r>
        <w:rPr/>
        <w:t> </w:t>
      </w:r>
    </w:p>
    <w:p>
      <w:pPr>
        <w:pStyle w:val="TextBody"/>
        <w:bidi w:val="0"/>
        <w:spacing w:lineRule="auto" w:line="300" w:before="0" w:after="0"/>
        <w:ind w:left="360" w:right="360" w:hanging="0"/>
        <w:jc w:val="center"/>
        <w:rPr>
          <w:b/>
        </w:rPr>
      </w:pPr>
      <w:r>
        <w:rPr>
          <w:b/>
        </w:rPr>
        <w:t>SOLAREDGE TECHNOLOGIES, INC.</w:t>
      </w:r>
    </w:p>
    <w:p>
      <w:pPr>
        <w:pStyle w:val="TextBody"/>
        <w:bidi w:val="0"/>
        <w:spacing w:lineRule="auto" w:line="300" w:before="0" w:after="0"/>
        <w:jc w:val="left"/>
        <w:rPr/>
      </w:pPr>
      <w:r>
        <w:rPr/>
        <w:t> </w:t>
      </w:r>
    </w:p>
    <w:p>
      <w:pPr>
        <w:pStyle w:val="TextBody"/>
        <w:bidi w:val="0"/>
        <w:spacing w:lineRule="auto" w:line="300" w:before="0" w:after="0"/>
        <w:ind w:left="360" w:right="360" w:hanging="0"/>
        <w:jc w:val="center"/>
        <w:rPr>
          <w:b/>
        </w:rPr>
      </w:pPr>
      <w:r>
        <w:rPr>
          <w:b/>
        </w:rPr>
        <w:t>NOTES TO CONDENSED CONSOLIDATED FINANCIAL STATEMENTS (Unaudited)</w:t>
      </w:r>
    </w:p>
    <w:p>
      <w:pPr>
        <w:pStyle w:val="TextBody"/>
        <w:bidi w:val="0"/>
        <w:spacing w:lineRule="auto" w:line="300" w:before="0" w:after="0"/>
        <w:jc w:val="left"/>
        <w:rPr/>
      </w:pPr>
      <w:r>
        <w:rPr/>
        <w:t> </w:t>
      </w:r>
    </w:p>
    <w:p>
      <w:pPr>
        <w:pStyle w:val="TextBody"/>
        <w:bidi w:val="0"/>
        <w:spacing w:lineRule="auto" w:line="300"/>
        <w:ind w:left="360" w:right="360" w:hanging="0"/>
        <w:jc w:val="center"/>
        <w:rPr/>
      </w:pPr>
      <w:r>
        <w:rPr>
          <w:b/>
        </w:rPr>
        <w:t>(in thousands, except per share data</w:t>
      </w:r>
      <w:r>
        <w:rPr/>
        <w:t>)</w:t>
      </w:r>
    </w:p>
    <w:p>
      <w:pPr>
        <w:pStyle w:val="TextBody"/>
        <w:bidi w:val="0"/>
        <w:spacing w:before="0" w:after="0"/>
        <w:jc w:val="left"/>
        <w:rPr/>
      </w:pPr>
      <w:r>
        <w:rPr/>
        <w:t> </w:t>
      </w:r>
    </w:p>
    <w:p>
      <w:pPr>
        <w:pStyle w:val="TextBody"/>
        <w:bidi w:val="0"/>
        <w:spacing w:lineRule="auto" w:line="300" w:before="0" w:after="0"/>
        <w:jc w:val="left"/>
        <w:rPr>
          <w:rFonts w:ascii="Times New Roman;Times;serif" w:hAnsi="Times New Roman;Times;serif"/>
          <w:b/>
          <w:sz w:val="20"/>
        </w:rPr>
      </w:pPr>
      <w:r>
        <w:rPr>
          <w:rFonts w:ascii="Times New Roman;Times;serif" w:hAnsi="Times New Roman;Times;serif"/>
          <w:b/>
          <w:sz w:val="20"/>
        </w:rPr>
        <w:t>NOTE 17:     INCOME TAXES</w:t>
      </w:r>
    </w:p>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sz w:val="20"/>
        </w:rPr>
      </w:pPr>
      <w:r>
        <w:rPr>
          <w:rFonts w:ascii="Times New Roman;Times;serif" w:hAnsi="Times New Roman;Times;serif"/>
          <w:sz w:val="20"/>
        </w:rPr>
        <w:t>For the three months ended June 30, 2026, the Company reported income taxes at an effective tax rate of negative 8.2%, including discrete items, compared to the three months ended June 30, 2025 where the Company reported income taxes at an effective tax rate of negative 4.8%.</w:t>
      </w:r>
    </w:p>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sz w:val="20"/>
        </w:rPr>
      </w:pPr>
      <w:r>
        <w:rPr>
          <w:rFonts w:ascii="Times New Roman;Times;serif" w:hAnsi="Times New Roman;Times;serif"/>
          <w:sz w:val="20"/>
        </w:rPr>
        <w:t>For the six months ended June 30, 2026, the Company reported income taxes at an effective tax rate of negative 4.3% including discrete items, compared to the six months ended June 30, 2025, where the Company reported income taxes at an effective tax rate of negative 5.4%.</w:t>
      </w:r>
    </w:p>
    <w:p>
      <w:pPr>
        <w:pStyle w:val="TextBody"/>
        <w:bidi w:val="0"/>
        <w:spacing w:lineRule="auto" w:line="300" w:before="0" w:after="0"/>
        <w:jc w:val="both"/>
        <w:rPr/>
      </w:pPr>
      <w:r>
        <w:rPr/>
        <w:t> </w:t>
      </w:r>
    </w:p>
    <w:p>
      <w:pPr>
        <w:pStyle w:val="TextBody"/>
        <w:bidi w:val="0"/>
        <w:spacing w:lineRule="auto" w:line="300" w:before="0" w:after="0"/>
        <w:jc w:val="both"/>
        <w:rPr>
          <w:rFonts w:ascii="Times New Roman;Times;serif" w:hAnsi="Times New Roman;Times;serif"/>
          <w:sz w:val="20"/>
        </w:rPr>
      </w:pPr>
      <w:r>
        <w:rPr>
          <w:rFonts w:ascii="Times New Roman;Times;serif" w:hAnsi="Times New Roman;Times;serif"/>
          <w:sz w:val="20"/>
        </w:rPr>
        <w:t>The negative effective tax rate in the three and six months ended June 30, 2026 resulted primarily from the valuation allowance on current losses and capital losses, coupled with profits in certain jurisdictions. The negative effective tax rate in the corresponding periods in 2025 was mainly caused by the valuation allowance on current losses, coupled with withholding taxes incurred on certain intra-group interest payments and additional tax payable as a result of the settlement with the Israeli Tax Authority for tax years 2016–2018.</w:t>
      </w:r>
    </w:p>
    <w:p>
      <w:pPr>
        <w:pStyle w:val="TextBody"/>
        <w:bidi w:val="0"/>
        <w:spacing w:lineRule="auto" w:line="300" w:before="0" w:after="0"/>
        <w:jc w:val="both"/>
        <w:rPr/>
      </w:pPr>
      <w:r>
        <w:rPr/>
        <w:t> </w:t>
      </w:r>
    </w:p>
    <w:p>
      <w:pPr>
        <w:pStyle w:val="TextBody"/>
        <w:bidi w:val="0"/>
        <w:spacing w:lineRule="auto" w:line="300" w:before="0" w:after="0"/>
        <w:jc w:val="both"/>
        <w:rPr>
          <w:rFonts w:ascii="Times New Roman;Times;serif" w:hAnsi="Times New Roman;Times;serif"/>
          <w:sz w:val="20"/>
        </w:rPr>
      </w:pPr>
      <w:r>
        <w:rPr>
          <w:rFonts w:ascii="Times New Roman;Times;serif" w:hAnsi="Times New Roman;Times;serif"/>
          <w:sz w:val="20"/>
        </w:rPr>
        <w:t>Deferred tax assets are evaluated for future realization and reduced by a valuation allowance to the extent that the Company believes they will not be realized. The Company considers all available evidence, including historical information, long range forecast of future taxable income and evaluation of tax planning strategies. Amounts recorded for valuation allowance can result from a complex series of judgments about future events and can rely on estimates and assumptions. Based primarily on the negative evidence outweighing the positive evidence, including the Company's three year cumulative, consolidated GAAP loss, historical tax losses and the difficulty in forecasting excess tax benefits related to equity-based compensation, the Company believes there is uncertainty as to when it will be possible to utilize certain net operating losses (each an “NOL”), credit carryforwards, capital losses and other deferred tax assets. Therefore, the Company recorded a valuation allowance against the deferred tax assets for which it is more-likely-than-not they will not be realized.</w:t>
      </w:r>
    </w:p>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sz w:val="20"/>
        </w:rPr>
      </w:pPr>
      <w:r>
        <w:rPr>
          <w:rFonts w:ascii="Times New Roman;Times;serif" w:hAnsi="Times New Roman;Times;serif"/>
          <w:sz w:val="20"/>
        </w:rPr>
        <w:t>Should the Company's operating results improve and projections show continued utilization of the tax attributes, the Company would consider that as significant positive evidence and future reassessment may result in the determination that all or a portion of the valuation allowance is no longer required. If this were to occur, any reversal of the valuation allowance would result in a corresponding non-cash income tax benefit, thereby increasing total deferred tax assets.</w:t>
      </w:r>
    </w:p>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sz w:val="20"/>
        </w:rPr>
      </w:pPr>
      <w:r>
        <w:rPr>
          <w:rFonts w:ascii="Times New Roman;Times;serif" w:hAnsi="Times New Roman;Times;serif"/>
          <w:sz w:val="20"/>
        </w:rPr>
        <w:t>In July 2025, the One Big Beautiful Bill Act, or H.R.1, was enacted into law, making permanent key elements of the Tax Cuts and Jobs Act, including 100 percent bonus depreciation, domestic research cost expensing, increases the AMIC credit rate to 35 percent from 25 percent for qualifying assets and makes modifications to the international tax framework. The H.R.1 includes multiple effective dates, with certain provisions effective in 2025 and others phased in through 2027. Given the Company’s current loss position for income tax purposes, the provisions of H.R.1 did not have an impact on the current period. The Company continues to evaluate the provisions of H.R.1 that become effective in future years.</w:t>
      </w:r>
    </w:p>
    <w:p>
      <w:pPr>
        <w:pStyle w:val="TextBody"/>
        <w:bidi w:val="0"/>
        <w:spacing w:lineRule="auto" w:line="300" w:before="0" w:after="0"/>
        <w:jc w:val="both"/>
        <w:rPr/>
      </w:pPr>
      <w:r>
        <w:rPr/>
        <w:t> </w:t>
      </w:r>
    </w:p>
    <w:p>
      <w:pPr>
        <w:pStyle w:val="TextBody"/>
        <w:bidi w:val="0"/>
        <w:spacing w:lineRule="auto" w:line="300"/>
        <w:jc w:val="both"/>
        <w:rPr>
          <w:rFonts w:ascii="Times New Roman;Times;serif" w:hAnsi="Times New Roman;Times;serif"/>
          <w:sz w:val="20"/>
        </w:rPr>
      </w:pPr>
      <w:r>
        <w:rPr>
          <w:rFonts w:ascii="Times New Roman;Times;serif" w:hAnsi="Times New Roman;Times;serif"/>
          <w:sz w:val="20"/>
        </w:rPr>
        <w:t>On October 1, 2025, the Governor of California signed Senate Bill 302 (“SB 302”) into law. SB 302 provides a gross income exclusion for taxpayers that either elect to receive direct payments from the Internal Revenue Service or receive payment from transfer of certain federal tax credits beginning tax years on or after January 1, 2026, and before January 1, 2031.</w:t>
      </w:r>
    </w:p>
    <w:p>
      <w:pPr>
        <w:pStyle w:val="TextBody"/>
        <w:bidi w:val="0"/>
        <w:spacing w:before="0" w:after="0"/>
        <w:ind w:left="0" w:right="0" w:hanging="0"/>
        <w:jc w:val="left"/>
        <w:rPr/>
      </w:pPr>
      <w:r>
        <w:rPr/>
        <w:t> </w:t>
      </w:r>
    </w:p>
    <w:p>
      <w:pPr>
        <w:pStyle w:val="TextBody"/>
        <w:bidi w:val="0"/>
        <w:spacing w:before="200" w:after="283"/>
        <w:jc w:val="center"/>
        <w:rPr/>
      </w:pPr>
      <w:r>
        <w:rPr>
          <w:b w:val="false"/>
          <w:i w:val="false"/>
          <w:caps w:val="false"/>
          <w:smallCaps w:val="false"/>
        </w:rPr>
        <w:t xml:space="preserve">SOLAREDGE TECHNOLOGIES INC. | 2026 Form 10-Q | F - </w:t>
      </w:r>
      <w:r>
        <w:rPr>
          <w:rFonts w:ascii="Times New Roman;Times;serif" w:hAnsi="Times New Roman;Times;serif"/>
          <w:sz w:val="20"/>
        </w:rPr>
        <w:t>28</w:t>
      </w:r>
    </w:p>
    <w:p>
      <w:pPr>
        <w:pStyle w:val="HorizontalLine"/>
        <w:bidi w:val="0"/>
        <w:spacing w:before="0" w:after="0"/>
        <w:jc w:val="left"/>
        <w:rPr/>
      </w:pPr>
      <w:r>
        <w:rPr/>
      </w:r>
    </w:p>
    <w:p>
      <w:pPr>
        <w:pStyle w:val="TextBody"/>
        <w:bidi w:val="0"/>
        <w:spacing w:before="0" w:after="0"/>
        <w:jc w:val="left"/>
        <w:rPr/>
      </w:pPr>
      <w:r>
        <w:rPr/>
        <w:t> </w:t>
      </w:r>
    </w:p>
    <w:p>
      <w:pPr>
        <w:pStyle w:val="TextBody"/>
        <w:bidi w:val="0"/>
        <w:spacing w:lineRule="auto" w:line="300" w:before="0" w:after="0"/>
        <w:ind w:left="360" w:right="360" w:hanging="0"/>
        <w:jc w:val="center"/>
        <w:rPr>
          <w:b/>
        </w:rPr>
      </w:pPr>
      <w:r>
        <w:rPr>
          <w:b/>
        </w:rPr>
        <w:t>SOLAREDGE TECHNOLOGIES, INC.</w:t>
      </w:r>
    </w:p>
    <w:p>
      <w:pPr>
        <w:pStyle w:val="TextBody"/>
        <w:bidi w:val="0"/>
        <w:spacing w:lineRule="auto" w:line="300" w:before="0" w:after="0"/>
        <w:jc w:val="left"/>
        <w:rPr/>
      </w:pPr>
      <w:r>
        <w:rPr/>
        <w:t> </w:t>
      </w:r>
    </w:p>
    <w:p>
      <w:pPr>
        <w:pStyle w:val="TextBody"/>
        <w:bidi w:val="0"/>
        <w:spacing w:lineRule="auto" w:line="300" w:before="0" w:after="0"/>
        <w:ind w:left="360" w:right="360" w:hanging="0"/>
        <w:jc w:val="center"/>
        <w:rPr>
          <w:b/>
        </w:rPr>
      </w:pPr>
      <w:r>
        <w:rPr>
          <w:b/>
        </w:rPr>
        <w:t>NOTES TO CONDENSED CONSOLIDATED FINANCIAL STATEMENTS (Unaudited)</w:t>
      </w:r>
    </w:p>
    <w:p>
      <w:pPr>
        <w:pStyle w:val="TextBody"/>
        <w:bidi w:val="0"/>
        <w:spacing w:lineRule="auto" w:line="300" w:before="0" w:after="0"/>
        <w:jc w:val="left"/>
        <w:rPr/>
      </w:pPr>
      <w:r>
        <w:rPr/>
        <w:t> </w:t>
      </w:r>
    </w:p>
    <w:p>
      <w:pPr>
        <w:pStyle w:val="TextBody"/>
        <w:bidi w:val="0"/>
        <w:spacing w:lineRule="auto" w:line="300"/>
        <w:ind w:left="360" w:right="360" w:hanging="0"/>
        <w:jc w:val="center"/>
        <w:rPr/>
      </w:pPr>
      <w:r>
        <w:rPr>
          <w:b/>
        </w:rPr>
        <w:t>(in thousands, except per share data</w:t>
      </w:r>
      <w:r>
        <w:rPr/>
        <w:t>)</w:t>
      </w:r>
    </w:p>
    <w:p>
      <w:pPr>
        <w:pStyle w:val="TextBody"/>
        <w:bidi w:val="0"/>
        <w:spacing w:before="0" w:after="0"/>
        <w:jc w:val="left"/>
        <w:rPr/>
      </w:pPr>
      <w:r>
        <w:rPr/>
        <w:t> </w:t>
      </w:r>
    </w:p>
    <w:p>
      <w:pPr>
        <w:pStyle w:val="TextBody"/>
        <w:bidi w:val="0"/>
        <w:spacing w:lineRule="auto" w:line="300" w:before="0" w:after="283"/>
        <w:jc w:val="left"/>
        <w:rPr>
          <w:rFonts w:ascii="Times New Roman;Times;serif" w:hAnsi="Times New Roman;Times;serif"/>
          <w:b/>
          <w:sz w:val="20"/>
        </w:rPr>
      </w:pPr>
      <w:r>
        <w:rPr>
          <w:rFonts w:ascii="Times New Roman;Times;serif" w:hAnsi="Times New Roman;Times;serif"/>
          <w:b/>
          <w:sz w:val="20"/>
        </w:rPr>
        <w:t>NOTE 18:     LOSS PER SHARE</w:t>
      </w:r>
    </w:p>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sz w:val="20"/>
        </w:rPr>
      </w:pPr>
      <w:r>
        <w:rPr>
          <w:rFonts w:ascii="Times New Roman;Times;serif" w:hAnsi="Times New Roman;Times;serif"/>
          <w:sz w:val="20"/>
        </w:rPr>
        <w:t>The following table presents the computation of basic and diluted loss per share (“EPS”):</w:t>
      </w:r>
    </w:p>
    <w:p>
      <w:pPr>
        <w:pStyle w:val="TextBody"/>
        <w:bidi w:val="0"/>
        <w:spacing w:lineRule="auto" w:line="300"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5030"/>
        <w:gridCol w:w="60"/>
        <w:gridCol w:w="125"/>
        <w:gridCol w:w="950"/>
        <w:gridCol w:w="80"/>
        <w:gridCol w:w="60"/>
        <w:gridCol w:w="125"/>
        <w:gridCol w:w="950"/>
        <w:gridCol w:w="80"/>
        <w:gridCol w:w="60"/>
        <w:gridCol w:w="125"/>
        <w:gridCol w:w="1100"/>
        <w:gridCol w:w="80"/>
        <w:gridCol w:w="60"/>
        <w:gridCol w:w="125"/>
        <w:gridCol w:w="1100"/>
        <w:gridCol w:w="95"/>
      </w:tblGrid>
      <w:tr>
        <w:trPr/>
        <w:tc>
          <w:tcPr>
            <w:tcW w:w="50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90" w:type="dxa"/>
            <w:gridSpan w:val="6"/>
            <w:tcBorders>
              <w:bottom w:val="single" w:sz="12" w:space="0" w:color="000000"/>
            </w:tcBorders>
            <w:tcMar>
              <w:bottom w:w="28" w:type="dxa"/>
            </w:tcMar>
            <w:vAlign w:val="center"/>
          </w:tcPr>
          <w:p>
            <w:pPr>
              <w:pStyle w:val="TableContents"/>
              <w:bidi w:val="0"/>
              <w:spacing w:lineRule="auto" w:line="300" w:before="0" w:after="0"/>
              <w:jc w:val="center"/>
              <w:rPr/>
            </w:pPr>
            <w:r>
              <w:rPr>
                <w:rStyle w:val="StrongEmphasis"/>
                <w:rFonts w:ascii="Times New Roman;Times;serif" w:hAnsi="Times New Roman;Times;serif"/>
                <w:b/>
                <w:sz w:val="20"/>
              </w:rPr>
              <w:t>Three Months Ended</w:t>
            </w:r>
          </w:p>
          <w:p>
            <w:pPr>
              <w:pStyle w:val="TableContents"/>
              <w:bidi w:val="0"/>
              <w:spacing w:lineRule="auto" w:line="300" w:before="0" w:after="0"/>
              <w:jc w:val="center"/>
              <w:rPr/>
            </w:pPr>
            <w:r>
              <w:rPr>
                <w:rStyle w:val="StrongEmphasis"/>
                <w:rFonts w:ascii="Times New Roman;Times;serif" w:hAnsi="Times New Roman;Times;serif"/>
                <w:b/>
                <w:sz w:val="20"/>
              </w:rPr>
              <w:t>June 30,</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590" w:type="dxa"/>
            <w:gridSpan w:val="6"/>
            <w:tcBorders>
              <w:bottom w:val="single" w:sz="12" w:space="0" w:color="000000"/>
            </w:tcBorders>
            <w:tcMar>
              <w:bottom w:w="28" w:type="dxa"/>
            </w:tcMar>
            <w:vAlign w:val="center"/>
          </w:tcPr>
          <w:p>
            <w:pPr>
              <w:pStyle w:val="TableContents"/>
              <w:bidi w:val="0"/>
              <w:spacing w:lineRule="auto" w:line="300" w:before="0" w:after="0"/>
              <w:jc w:val="center"/>
              <w:rPr/>
            </w:pPr>
            <w:r>
              <w:rPr>
                <w:rStyle w:val="StrongEmphasis"/>
                <w:rFonts w:ascii="Times New Roman;Times;serif" w:hAnsi="Times New Roman;Times;serif"/>
                <w:b/>
                <w:sz w:val="20"/>
              </w:rPr>
              <w:t>Six Months Ended</w:t>
            </w:r>
          </w:p>
          <w:p>
            <w:pPr>
              <w:pStyle w:val="TableContents"/>
              <w:bidi w:val="0"/>
              <w:spacing w:lineRule="auto" w:line="300" w:before="0" w:after="0"/>
              <w:jc w:val="center"/>
              <w:rPr/>
            </w:pPr>
            <w:r>
              <w:rPr>
                <w:rStyle w:val="StrongEmphasis"/>
                <w:rFonts w:ascii="Times New Roman;Times;serif" w:hAnsi="Times New Roman;Times;serif"/>
                <w:b/>
                <w:sz w:val="20"/>
              </w:rPr>
              <w:t>June 30,</w:t>
            </w:r>
          </w:p>
        </w:tc>
        <w:tc>
          <w:tcPr>
            <w:tcW w:w="95" w:type="dxa"/>
            <w:tcBorders/>
            <w:vAlign w:val="center"/>
          </w:tcPr>
          <w:p>
            <w:pPr>
              <w:pStyle w:val="TableContents"/>
              <w:bidi w:val="0"/>
              <w:spacing w:before="0" w:after="283"/>
              <w:jc w:val="left"/>
              <w:rPr/>
            </w:pPr>
            <w:r>
              <w:rPr/>
              <w:t> </w:t>
            </w:r>
          </w:p>
        </w:tc>
      </w:tr>
      <w:tr>
        <w:trPr/>
        <w:tc>
          <w:tcPr>
            <w:tcW w:w="50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75"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2026</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75"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2025</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25"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2026</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25"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2025</w:t>
            </w:r>
          </w:p>
        </w:tc>
        <w:tc>
          <w:tcPr>
            <w:tcW w:w="95" w:type="dxa"/>
            <w:tcBorders/>
            <w:vAlign w:val="center"/>
          </w:tcPr>
          <w:p>
            <w:pPr>
              <w:pStyle w:val="TableContents"/>
              <w:bidi w:val="0"/>
              <w:spacing w:before="0" w:after="283"/>
              <w:jc w:val="left"/>
              <w:rPr/>
            </w:pPr>
            <w:r>
              <w:rPr/>
              <w:t> </w:t>
            </w:r>
          </w:p>
        </w:tc>
      </w:tr>
      <w:tr>
        <w:trPr/>
        <w:tc>
          <w:tcPr>
            <w:tcW w:w="5030" w:type="dxa"/>
            <w:tcBorders/>
            <w:shd w:fill="CCEEFF" w:val="clear"/>
            <w:vAlign w:val="center"/>
          </w:tcPr>
          <w:p>
            <w:pPr>
              <w:pStyle w:val="TableContents"/>
              <w:bidi w:val="0"/>
              <w:spacing w:lineRule="auto" w:line="300" w:before="0" w:after="0"/>
              <w:jc w:val="left"/>
              <w:rPr>
                <w:rFonts w:ascii="Times New Roman;Times;serif" w:hAnsi="Times New Roman;Times;serif"/>
                <w:sz w:val="20"/>
                <w:u w:val="single"/>
              </w:rPr>
            </w:pPr>
            <w:r>
              <w:rPr>
                <w:rFonts w:ascii="Times New Roman;Times;serif" w:hAnsi="Times New Roman;Times;serif"/>
                <w:sz w:val="20"/>
                <w:u w:val="single"/>
              </w:rPr>
              <w:t>Basic and diluted EPS:</w:t>
            </w:r>
          </w:p>
        </w:tc>
        <w:tc>
          <w:tcPr>
            <w:tcW w:w="60" w:type="dxa"/>
            <w:tcBorders/>
            <w:shd w:fill="CCEEFF" w:val="clear"/>
            <w:vAlign w:val="center"/>
          </w:tcPr>
          <w:p>
            <w:pPr>
              <w:pStyle w:val="TableContents"/>
              <w:bidi w:val="0"/>
              <w:spacing w:before="0" w:after="283"/>
              <w:jc w:val="left"/>
              <w:rPr/>
            </w:pPr>
            <w:r>
              <w:rPr/>
              <w:t> </w:t>
            </w:r>
          </w:p>
        </w:tc>
        <w:tc>
          <w:tcPr>
            <w:tcW w:w="1075" w:type="dxa"/>
            <w:gridSpan w:val="2"/>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75" w:type="dxa"/>
            <w:gridSpan w:val="2"/>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5" w:type="dxa"/>
            <w:gridSpan w:val="2"/>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5" w:type="dxa"/>
            <w:gridSpan w:val="2"/>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5030"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Numerator:</w:t>
            </w:r>
          </w:p>
        </w:tc>
        <w:tc>
          <w:tcPr>
            <w:tcW w:w="60" w:type="dxa"/>
            <w:tcBorders/>
            <w:vAlign w:val="center"/>
          </w:tcPr>
          <w:p>
            <w:pPr>
              <w:pStyle w:val="TableContents"/>
              <w:bidi w:val="0"/>
              <w:spacing w:before="0" w:after="283"/>
              <w:jc w:val="left"/>
              <w:rPr/>
            </w:pPr>
            <w:r>
              <w:rPr/>
              <w:t> </w:t>
            </w:r>
          </w:p>
        </w:tc>
        <w:tc>
          <w:tcPr>
            <w:tcW w:w="1075" w:type="dxa"/>
            <w:gridSpan w:val="2"/>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75" w:type="dxa"/>
            <w:gridSpan w:val="2"/>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25" w:type="dxa"/>
            <w:gridSpan w:val="2"/>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25"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r>
      <w:tr>
        <w:trPr/>
        <w:tc>
          <w:tcPr>
            <w:tcW w:w="5030" w:type="dxa"/>
            <w:tcBorders/>
            <w:shd w:fill="CCEEFF" w:val="clear"/>
            <w:vAlign w:val="center"/>
          </w:tcPr>
          <w:p>
            <w:pPr>
              <w:pStyle w:val="TableContents"/>
              <w:bidi w:val="0"/>
              <w:spacing w:lineRule="auto" w:line="300" w:before="0" w:after="0"/>
              <w:ind w:left="270" w:right="0" w:hanging="0"/>
              <w:jc w:val="left"/>
              <w:rPr>
                <w:rFonts w:ascii="Times New Roman;Times;serif" w:hAnsi="Times New Roman;Times;serif"/>
                <w:sz w:val="20"/>
              </w:rPr>
            </w:pPr>
            <w:r>
              <w:rPr>
                <w:rFonts w:ascii="Times New Roman;Times;serif" w:hAnsi="Times New Roman;Times;serif"/>
                <w:sz w:val="20"/>
              </w:rPr>
              <w:t>Net loss</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950" w:type="dxa"/>
            <w:tcBorders>
              <w:bottom w:val="single" w:sz="12" w:space="0" w:color="000000"/>
            </w:tcBorders>
            <w:shd w:fill="CCEEFF" w:val="clear"/>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(30,753</w:t>
            </w:r>
          </w:p>
        </w:tc>
        <w:tc>
          <w:tcPr>
            <w:tcW w:w="80"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950" w:type="dxa"/>
            <w:tcBorders>
              <w:bottom w:val="single" w:sz="12" w:space="0" w:color="000000"/>
            </w:tcBorders>
            <w:shd w:fill="CCEEFF" w:val="clear"/>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(124,744</w:t>
            </w:r>
          </w:p>
        </w:tc>
        <w:tc>
          <w:tcPr>
            <w:tcW w:w="80"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1100" w:type="dxa"/>
            <w:tcBorders>
              <w:bottom w:val="single" w:sz="12" w:space="0" w:color="000000"/>
            </w:tcBorders>
            <w:shd w:fill="CCEEFF" w:val="clear"/>
            <w:tcMar>
              <w:bottom w:w="28" w:type="dxa"/>
            </w:tcMar>
            <w:vAlign w:val="center"/>
          </w:tcPr>
          <w:p>
            <w:pPr>
              <w:pStyle w:val="TableContents"/>
              <w:bidi w:val="0"/>
              <w:spacing w:lineRule="auto" w:line="300" w:before="0" w:after="0"/>
              <w:jc w:val="right"/>
              <w:rPr/>
            </w:pPr>
            <w:r>
              <w:rPr/>
              <w:t>(88,119</w:t>
            </w:r>
          </w:p>
        </w:tc>
        <w:tc>
          <w:tcPr>
            <w:tcW w:w="80"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1100" w:type="dxa"/>
            <w:tcBorders>
              <w:bottom w:val="single" w:sz="12" w:space="0" w:color="000000"/>
            </w:tcBorders>
            <w:shd w:fill="CCEEFF" w:val="clear"/>
            <w:tcMar>
              <w:bottom w:w="28" w:type="dxa"/>
            </w:tcMar>
            <w:vAlign w:val="center"/>
          </w:tcPr>
          <w:p>
            <w:pPr>
              <w:pStyle w:val="TableContents"/>
              <w:bidi w:val="0"/>
              <w:spacing w:lineRule="auto" w:line="300" w:before="0" w:after="0"/>
              <w:jc w:val="right"/>
              <w:rPr/>
            </w:pPr>
            <w:r>
              <w:rPr/>
              <w:t>(223,267</w:t>
            </w:r>
          </w:p>
        </w:tc>
        <w:tc>
          <w:tcPr>
            <w:tcW w:w="95"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r>
      <w:tr>
        <w:trPr/>
        <w:tc>
          <w:tcPr>
            <w:tcW w:w="5030"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Denominator:</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950" w:type="dxa"/>
            <w:tcBorders/>
            <w:vAlign w:val="center"/>
          </w:tcPr>
          <w:p>
            <w:pPr>
              <w:pStyle w:val="TableContents"/>
              <w:bidi w:val="0"/>
              <w:spacing w:before="0" w:after="283"/>
              <w:jc w:val="righ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950" w:type="dxa"/>
            <w:tcBorders/>
            <w:vAlign w:val="center"/>
          </w:tcPr>
          <w:p>
            <w:pPr>
              <w:pStyle w:val="TableContents"/>
              <w:bidi w:val="0"/>
              <w:spacing w:before="0" w:after="283"/>
              <w:jc w:val="righ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r>
      <w:tr>
        <w:trPr/>
        <w:tc>
          <w:tcPr>
            <w:tcW w:w="5030" w:type="dxa"/>
            <w:tcBorders/>
            <w:shd w:fill="CCEEFF" w:val="clear"/>
            <w:vAlign w:val="center"/>
          </w:tcPr>
          <w:p>
            <w:pPr>
              <w:pStyle w:val="TableContents"/>
              <w:bidi w:val="0"/>
              <w:spacing w:lineRule="auto" w:line="300" w:before="0" w:after="0"/>
              <w:ind w:left="270" w:right="0" w:hanging="0"/>
              <w:jc w:val="left"/>
              <w:rPr>
                <w:rFonts w:ascii="Times New Roman;Times;serif" w:hAnsi="Times New Roman;Times;serif"/>
                <w:sz w:val="20"/>
              </w:rPr>
            </w:pPr>
            <w:r>
              <w:rPr>
                <w:rFonts w:ascii="Times New Roman;Times;serif" w:hAnsi="Times New Roman;Times;serif"/>
                <w:sz w:val="20"/>
              </w:rPr>
              <w:t>Shares used in computing net loss per share of common stock, basic and diluted</w:t>
            </w:r>
          </w:p>
        </w:tc>
        <w:tc>
          <w:tcPr>
            <w:tcW w:w="60" w:type="dxa"/>
            <w:tcBorders/>
            <w:shd w:fill="CCEEFF" w:val="clear"/>
            <w:vAlign w:val="center"/>
          </w:tcPr>
          <w:p>
            <w:pPr>
              <w:pStyle w:val="TableContents"/>
              <w:bidi w:val="0"/>
              <w:spacing w:before="0" w:after="283"/>
              <w:jc w:val="left"/>
              <w:rPr/>
            </w:pPr>
            <w:r>
              <w:rPr/>
              <w:t> </w:t>
            </w:r>
          </w:p>
        </w:tc>
        <w:tc>
          <w:tcPr>
            <w:tcW w:w="125" w:type="dxa"/>
            <w:tcBorders>
              <w:bottom w:val="double" w:sz="8" w:space="0" w:color="000000"/>
            </w:tcBorders>
            <w:shd w:fill="CCEEFF" w:val="clear"/>
            <w:tcMar>
              <w:bottom w:w="28" w:type="dxa"/>
            </w:tcMar>
            <w:vAlign w:val="center"/>
          </w:tcPr>
          <w:p>
            <w:pPr>
              <w:pStyle w:val="TableContents"/>
              <w:bidi w:val="0"/>
              <w:spacing w:before="0" w:after="283"/>
              <w:jc w:val="left"/>
              <w:rPr/>
            </w:pPr>
            <w:r>
              <w:rPr/>
              <w:t> </w:t>
            </w:r>
          </w:p>
        </w:tc>
        <w:tc>
          <w:tcPr>
            <w:tcW w:w="950" w:type="dxa"/>
            <w:tcBorders>
              <w:bottom w:val="double" w:sz="8" w:space="0" w:color="000000"/>
            </w:tcBorders>
            <w:shd w:fill="CCEEFF" w:val="clear"/>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61,045,194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double" w:sz="8" w:space="0" w:color="000000"/>
            </w:tcBorders>
            <w:shd w:fill="CCEEFF" w:val="clear"/>
            <w:tcMar>
              <w:bottom w:w="28" w:type="dxa"/>
            </w:tcMar>
            <w:vAlign w:val="center"/>
          </w:tcPr>
          <w:p>
            <w:pPr>
              <w:pStyle w:val="TableContents"/>
              <w:bidi w:val="0"/>
              <w:spacing w:before="0" w:after="283"/>
              <w:jc w:val="left"/>
              <w:rPr/>
            </w:pPr>
            <w:r>
              <w:rPr/>
              <w:t> </w:t>
            </w:r>
          </w:p>
        </w:tc>
        <w:tc>
          <w:tcPr>
            <w:tcW w:w="950" w:type="dxa"/>
            <w:tcBorders>
              <w:bottom w:val="double" w:sz="8" w:space="0" w:color="000000"/>
            </w:tcBorders>
            <w:shd w:fill="CCEEFF" w:val="clear"/>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58,567,394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doub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double" w:sz="8" w:space="0" w:color="000000"/>
            </w:tcBorders>
            <w:shd w:fill="CCEEFF" w:val="clear"/>
            <w:tcMar>
              <w:bottom w:w="28" w:type="dxa"/>
            </w:tcMar>
            <w:vAlign w:val="center"/>
          </w:tcPr>
          <w:p>
            <w:pPr>
              <w:pStyle w:val="TableContents"/>
              <w:bidi w:val="0"/>
              <w:spacing w:lineRule="auto" w:line="300" w:before="0" w:after="0"/>
              <w:jc w:val="right"/>
              <w:rPr/>
            </w:pPr>
            <w:r>
              <w:rPr/>
              <w:t>61,152,904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doub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double" w:sz="8" w:space="0" w:color="000000"/>
            </w:tcBorders>
            <w:shd w:fill="CCEEFF" w:val="clear"/>
            <w:tcMar>
              <w:bottom w:w="28" w:type="dxa"/>
            </w:tcMar>
            <w:vAlign w:val="center"/>
          </w:tcPr>
          <w:p>
            <w:pPr>
              <w:pStyle w:val="TableContents"/>
              <w:bidi w:val="0"/>
              <w:spacing w:lineRule="auto" w:line="300" w:before="0" w:after="0"/>
              <w:jc w:val="right"/>
              <w:rPr/>
            </w:pPr>
            <w:r>
              <w:rPr/>
              <w:t>58,345,680</w:t>
            </w:r>
          </w:p>
        </w:tc>
        <w:tc>
          <w:tcPr>
            <w:tcW w:w="95" w:type="dxa"/>
            <w:tcBorders/>
            <w:shd w:fill="CCEEFF" w:val="clear"/>
            <w:vAlign w:val="center"/>
          </w:tcPr>
          <w:p>
            <w:pPr>
              <w:pStyle w:val="TableContents"/>
              <w:bidi w:val="0"/>
              <w:spacing w:before="0" w:after="283"/>
              <w:jc w:val="left"/>
              <w:rPr/>
            </w:pPr>
            <w:r>
              <w:rPr/>
              <w:t> </w:t>
            </w:r>
          </w:p>
        </w:tc>
      </w:tr>
      <w:tr>
        <w:trPr/>
        <w:tc>
          <w:tcPr>
            <w:tcW w:w="5030" w:type="dxa"/>
            <w:tcBorders/>
            <w:vAlign w:val="center"/>
          </w:tcPr>
          <w:p>
            <w:pPr>
              <w:pStyle w:val="TableContents"/>
              <w:bidi w:val="0"/>
              <w:spacing w:lineRule="auto" w:line="300" w:before="0" w:after="0"/>
              <w:jc w:val="left"/>
              <w:rPr>
                <w:rFonts w:ascii="Times New Roman;Times;serif" w:hAnsi="Times New Roman;Times;serif"/>
                <w:sz w:val="20"/>
                <w:u w:val="single"/>
              </w:rPr>
            </w:pPr>
            <w:r>
              <w:rPr>
                <w:rFonts w:ascii="Times New Roman;Times;serif" w:hAnsi="Times New Roman;Times;serif"/>
                <w:sz w:val="20"/>
                <w:u w:val="single"/>
              </w:rPr>
              <w:t>Loss per share:</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950" w:type="dxa"/>
            <w:tcBorders/>
            <w:vAlign w:val="center"/>
          </w:tcPr>
          <w:p>
            <w:pPr>
              <w:pStyle w:val="TableContents"/>
              <w:bidi w:val="0"/>
              <w:spacing w:before="0" w:after="283"/>
              <w:jc w:val="righ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950" w:type="dxa"/>
            <w:tcBorders/>
            <w:vAlign w:val="center"/>
          </w:tcPr>
          <w:p>
            <w:pPr>
              <w:pStyle w:val="TableContents"/>
              <w:bidi w:val="0"/>
              <w:spacing w:before="0" w:after="283"/>
              <w:jc w:val="righ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r>
      <w:tr>
        <w:trPr/>
        <w:tc>
          <w:tcPr>
            <w:tcW w:w="5030" w:type="dxa"/>
            <w:tcBorders/>
            <w:shd w:fill="CCEEFF" w:val="clear"/>
            <w:vAlign w:val="center"/>
          </w:tcPr>
          <w:p>
            <w:pPr>
              <w:pStyle w:val="TableContents"/>
              <w:bidi w:val="0"/>
              <w:spacing w:lineRule="auto" w:line="300" w:before="0" w:after="0"/>
              <w:ind w:left="270" w:right="0" w:hanging="0"/>
              <w:jc w:val="left"/>
              <w:rPr>
                <w:rFonts w:ascii="Times New Roman;Times;serif" w:hAnsi="Times New Roman;Times;serif"/>
                <w:sz w:val="20"/>
              </w:rPr>
            </w:pPr>
            <w:r>
              <w:rPr>
                <w:rFonts w:ascii="Times New Roman;Times;serif" w:hAnsi="Times New Roman;Times;serif"/>
                <w:sz w:val="20"/>
              </w:rPr>
              <w:t>Basic and diluted</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950" w:type="dxa"/>
            <w:tcBorders>
              <w:bottom w:val="single" w:sz="12" w:space="0" w:color="000000"/>
            </w:tcBorders>
            <w:shd w:fill="CCEEFF" w:val="clear"/>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(0.50</w:t>
            </w:r>
          </w:p>
        </w:tc>
        <w:tc>
          <w:tcPr>
            <w:tcW w:w="80"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950" w:type="dxa"/>
            <w:tcBorders>
              <w:bottom w:val="single" w:sz="12" w:space="0" w:color="000000"/>
            </w:tcBorders>
            <w:shd w:fill="CCEEFF" w:val="clear"/>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(2.13</w:t>
            </w:r>
          </w:p>
        </w:tc>
        <w:tc>
          <w:tcPr>
            <w:tcW w:w="80"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1100" w:type="dxa"/>
            <w:tcBorders>
              <w:bottom w:val="single" w:sz="12" w:space="0" w:color="000000"/>
            </w:tcBorders>
            <w:shd w:fill="CCEEFF" w:val="clear"/>
            <w:tcMar>
              <w:bottom w:w="28" w:type="dxa"/>
            </w:tcMar>
            <w:vAlign w:val="center"/>
          </w:tcPr>
          <w:p>
            <w:pPr>
              <w:pStyle w:val="TableContents"/>
              <w:bidi w:val="0"/>
              <w:spacing w:lineRule="auto" w:line="300" w:before="0" w:after="0"/>
              <w:jc w:val="right"/>
              <w:rPr/>
            </w:pPr>
            <w:r>
              <w:rPr/>
              <w:t>(1.44</w:t>
            </w:r>
          </w:p>
        </w:tc>
        <w:tc>
          <w:tcPr>
            <w:tcW w:w="80"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1100" w:type="dxa"/>
            <w:tcBorders>
              <w:bottom w:val="single" w:sz="12" w:space="0" w:color="000000"/>
            </w:tcBorders>
            <w:shd w:fill="CCEEFF" w:val="clear"/>
            <w:tcMar>
              <w:bottom w:w="28" w:type="dxa"/>
            </w:tcMar>
            <w:vAlign w:val="center"/>
          </w:tcPr>
          <w:p>
            <w:pPr>
              <w:pStyle w:val="TableContents"/>
              <w:bidi w:val="0"/>
              <w:spacing w:lineRule="auto" w:line="300" w:before="0" w:after="0"/>
              <w:jc w:val="right"/>
              <w:rPr/>
            </w:pPr>
            <w:r>
              <w:rPr/>
              <w:t>(3.83</w:t>
            </w:r>
          </w:p>
        </w:tc>
        <w:tc>
          <w:tcPr>
            <w:tcW w:w="95"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sz w:val="20"/>
        </w:rPr>
      </w:pPr>
      <w:r>
        <w:rPr>
          <w:rFonts w:ascii="Times New Roman;Times;serif" w:hAnsi="Times New Roman;Times;serif"/>
          <w:sz w:val="20"/>
        </w:rPr>
        <w:t>The following outstanding shares of common stock equivalents were excluded from the calculation due to their antidilutive nature:</w:t>
      </w:r>
    </w:p>
    <w:p>
      <w:pPr>
        <w:pStyle w:val="TextBody"/>
        <w:bidi w:val="0"/>
        <w:spacing w:lineRule="auto" w:line="300" w:before="0" w:after="0"/>
        <w:jc w:val="left"/>
        <w:rPr/>
      </w:pPr>
      <w:r>
        <w:rPr/>
        <w:t> </w:t>
      </w:r>
    </w:p>
    <w:tbl>
      <w:tblPr>
        <w:tblW w:w="6940" w:type="dxa"/>
        <w:jc w:val="left"/>
        <w:tblInd w:w="0" w:type="dxa"/>
        <w:tblLayout w:type="fixed"/>
        <w:tblCellMar>
          <w:top w:w="0" w:type="dxa"/>
          <w:left w:w="0" w:type="dxa"/>
          <w:bottom w:w="0" w:type="dxa"/>
          <w:right w:w="0" w:type="dxa"/>
        </w:tblCellMar>
      </w:tblPr>
      <w:tblGrid>
        <w:gridCol w:w="1805"/>
        <w:gridCol w:w="60"/>
        <w:gridCol w:w="60"/>
        <w:gridCol w:w="1100"/>
        <w:gridCol w:w="60"/>
        <w:gridCol w:w="60"/>
        <w:gridCol w:w="60"/>
        <w:gridCol w:w="1100"/>
        <w:gridCol w:w="60"/>
        <w:gridCol w:w="60"/>
        <w:gridCol w:w="60"/>
        <w:gridCol w:w="1100"/>
        <w:gridCol w:w="60"/>
        <w:gridCol w:w="60"/>
        <w:gridCol w:w="60"/>
        <w:gridCol w:w="1100"/>
        <w:gridCol w:w="75"/>
      </w:tblGrid>
      <w:tr>
        <w:trPr/>
        <w:tc>
          <w:tcPr>
            <w:tcW w:w="18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40" w:type="dxa"/>
            <w:gridSpan w:val="6"/>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Three Months Ended</w:t>
            </w:r>
          </w:p>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June 30,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40" w:type="dxa"/>
            <w:gridSpan w:val="6"/>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Six Months Ended</w:t>
            </w:r>
          </w:p>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June 30,</w:t>
            </w:r>
          </w:p>
        </w:tc>
        <w:tc>
          <w:tcPr>
            <w:tcW w:w="75" w:type="dxa"/>
            <w:tcBorders/>
            <w:vAlign w:val="center"/>
          </w:tcPr>
          <w:p>
            <w:pPr>
              <w:pStyle w:val="TableContents"/>
              <w:bidi w:val="0"/>
              <w:spacing w:before="0" w:after="283"/>
              <w:jc w:val="left"/>
              <w:rPr/>
            </w:pPr>
            <w:r>
              <w:rPr/>
              <w:t> </w:t>
            </w:r>
          </w:p>
        </w:tc>
      </w:tr>
      <w:tr>
        <w:trPr/>
        <w:tc>
          <w:tcPr>
            <w:tcW w:w="18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2025</w:t>
            </w:r>
          </w:p>
        </w:tc>
        <w:tc>
          <w:tcPr>
            <w:tcW w:w="75" w:type="dxa"/>
            <w:tcBorders/>
            <w:vAlign w:val="center"/>
          </w:tcPr>
          <w:p>
            <w:pPr>
              <w:pStyle w:val="TableContents"/>
              <w:bidi w:val="0"/>
              <w:spacing w:before="0" w:after="283"/>
              <w:jc w:val="left"/>
              <w:rPr/>
            </w:pPr>
            <w:r>
              <w:rPr/>
              <w:t> </w:t>
            </w:r>
          </w:p>
        </w:tc>
      </w:tr>
      <w:tr>
        <w:trPr/>
        <w:tc>
          <w:tcPr>
            <w:tcW w:w="1805"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Stock-based awards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lineRule="auto" w:line="300" w:before="0" w:after="0"/>
              <w:jc w:val="right"/>
              <w:rPr/>
            </w:pPr>
            <w:r>
              <w:rPr/>
              <w:t>5,711,603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lineRule="auto" w:line="300" w:before="0" w:after="0"/>
              <w:jc w:val="right"/>
              <w:rPr/>
            </w:pPr>
            <w:r>
              <w:rPr/>
              <w:t>1,749,516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lineRule="auto" w:line="300" w:before="0" w:after="0"/>
              <w:jc w:val="right"/>
              <w:rPr/>
            </w:pPr>
            <w:r>
              <w:rPr/>
              <w:t>5,129,434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lineRule="auto" w:line="300" w:before="0" w:after="0"/>
              <w:jc w:val="right"/>
              <w:rPr/>
            </w:pPr>
            <w:r>
              <w:rPr/>
              <w:t>1,970,715</w:t>
            </w:r>
          </w:p>
        </w:tc>
        <w:tc>
          <w:tcPr>
            <w:tcW w:w="75" w:type="dxa"/>
            <w:tcBorders/>
            <w:shd w:fill="CCEEFF" w:val="clear"/>
            <w:vAlign w:val="center"/>
          </w:tcPr>
          <w:p>
            <w:pPr>
              <w:pStyle w:val="TableContents"/>
              <w:bidi w:val="0"/>
              <w:spacing w:before="0" w:after="283"/>
              <w:jc w:val="left"/>
              <w:rPr/>
            </w:pPr>
            <w:r>
              <w:rPr/>
              <w:t> </w:t>
            </w:r>
          </w:p>
        </w:tc>
      </w:tr>
      <w:tr>
        <w:trPr/>
        <w:tc>
          <w:tcPr>
            <w:tcW w:w="1805"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Notes 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lineRule="auto" w:line="300" w:before="0" w:after="0"/>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lineRule="auto" w:line="300" w:before="0" w:after="0"/>
              <w:jc w:val="right"/>
              <w:rPr/>
            </w:pPr>
            <w:r>
              <w:rPr/>
              <w:t>1,232,002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lineRule="auto" w:line="300" w:before="0" w:after="0"/>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lineRule="auto" w:line="300" w:before="0" w:after="0"/>
              <w:jc w:val="right"/>
              <w:rPr/>
            </w:pPr>
            <w:r>
              <w:rPr/>
              <w:t>1,240,781</w:t>
            </w:r>
          </w:p>
        </w:tc>
        <w:tc>
          <w:tcPr>
            <w:tcW w:w="75" w:type="dxa"/>
            <w:tcBorders/>
            <w:vAlign w:val="center"/>
          </w:tcPr>
          <w:p>
            <w:pPr>
              <w:pStyle w:val="TableContents"/>
              <w:bidi w:val="0"/>
              <w:spacing w:before="0" w:after="283"/>
              <w:jc w:val="left"/>
              <w:rPr/>
            </w:pPr>
            <w:r>
              <w:rPr/>
              <w:t> </w:t>
            </w:r>
          </w:p>
        </w:tc>
      </w:tr>
      <w:tr>
        <w:trPr/>
        <w:tc>
          <w:tcPr>
            <w:tcW w:w="1805" w:type="dxa"/>
            <w:tcBorders/>
            <w:shd w:fill="CCEEFF" w:val="clear"/>
            <w:vAlign w:val="center"/>
          </w:tcPr>
          <w:p>
            <w:pPr>
              <w:pStyle w:val="TableContents"/>
              <w:bidi w:val="0"/>
              <w:spacing w:lineRule="auto" w:line="240" w:before="0" w:after="0"/>
              <w:jc w:val="left"/>
              <w:rPr>
                <w:rFonts w:ascii="Times New Roman;Times;serif" w:hAnsi="Times New Roman;Times;serif"/>
                <w:sz w:val="20"/>
              </w:rPr>
            </w:pPr>
            <w:r>
              <w:rPr>
                <w:rFonts w:ascii="Times New Roman;Times;serif" w:hAnsi="Times New Roman;Times;serif"/>
                <w:sz w:val="20"/>
              </w:rPr>
              <w:t>Notes 20291</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lineRule="auto" w:line="300" w:before="0" w:after="0"/>
              <w:jc w:val="right"/>
              <w:rPr/>
            </w:pPr>
            <w:r>
              <w:rPr/>
              <w:t>9,819,347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lineRule="auto" w:line="300" w:before="0" w:after="0"/>
              <w:jc w:val="right"/>
              <w:rPr/>
            </w:pPr>
            <w:r>
              <w:rPr/>
              <w:t>9,819,347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lineRule="auto" w:line="300" w:before="0" w:after="0"/>
              <w:jc w:val="right"/>
              <w:rPr/>
            </w:pPr>
            <w:r>
              <w:rPr/>
              <w:t>9,819,347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lineRule="auto" w:line="300" w:before="0" w:after="0"/>
              <w:jc w:val="right"/>
              <w:rPr/>
            </w:pPr>
            <w:r>
              <w:rPr/>
              <w:t>9,819,347</w:t>
            </w:r>
          </w:p>
        </w:tc>
        <w:tc>
          <w:tcPr>
            <w:tcW w:w="75" w:type="dxa"/>
            <w:tcBorders/>
            <w:shd w:fill="CCEEFF" w:val="clear"/>
            <w:vAlign w:val="center"/>
          </w:tcPr>
          <w:p>
            <w:pPr>
              <w:pStyle w:val="TableContents"/>
              <w:bidi w:val="0"/>
              <w:spacing w:before="0" w:after="283"/>
              <w:jc w:val="left"/>
              <w:rPr/>
            </w:pPr>
            <w:r>
              <w:rPr/>
              <w:t> </w:t>
            </w:r>
          </w:p>
        </w:tc>
      </w:tr>
      <w:tr>
        <w:trPr/>
        <w:tc>
          <w:tcPr>
            <w:tcW w:w="1805"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Total shares excluded</w:t>
            </w:r>
          </w:p>
        </w:tc>
        <w:tc>
          <w:tcPr>
            <w:tcW w:w="60" w:type="dxa"/>
            <w:tcBorders/>
            <w:vAlign w:val="center"/>
          </w:tcPr>
          <w:p>
            <w:pPr>
              <w:pStyle w:val="TableContents"/>
              <w:bidi w:val="0"/>
              <w:spacing w:before="0" w:after="283"/>
              <w:jc w:val="left"/>
              <w:rPr/>
            </w:pPr>
            <w:r>
              <w:rPr/>
              <w:t> </w:t>
            </w:r>
          </w:p>
        </w:tc>
        <w:tc>
          <w:tcPr>
            <w:tcW w:w="60" w:type="dxa"/>
            <w:tcBorders>
              <w:bottom w:val="double" w:sz="8" w:space="0" w:color="000000"/>
            </w:tcBorders>
            <w:tcMar>
              <w:bottom w:w="28" w:type="dxa"/>
            </w:tcMar>
            <w:vAlign w:val="center"/>
          </w:tcPr>
          <w:p>
            <w:pPr>
              <w:pStyle w:val="TableContents"/>
              <w:bidi w:val="0"/>
              <w:spacing w:before="0" w:after="283"/>
              <w:jc w:val="left"/>
              <w:rPr/>
            </w:pPr>
            <w:r>
              <w:rPr/>
              <w:t> </w:t>
            </w:r>
          </w:p>
        </w:tc>
        <w:tc>
          <w:tcPr>
            <w:tcW w:w="1100" w:type="dxa"/>
            <w:tcBorders>
              <w:bottom w:val="double" w:sz="8" w:space="0" w:color="000000"/>
            </w:tcBorders>
            <w:tcMar>
              <w:bottom w:w="28" w:type="dxa"/>
            </w:tcMar>
            <w:vAlign w:val="center"/>
          </w:tcPr>
          <w:p>
            <w:pPr>
              <w:pStyle w:val="TableContents"/>
              <w:bidi w:val="0"/>
              <w:spacing w:lineRule="auto" w:line="300" w:before="0" w:after="0"/>
              <w:jc w:val="right"/>
              <w:rPr/>
            </w:pPr>
            <w:r>
              <w:rPr/>
              <w:t>15,530,950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bottom w:val="double" w:sz="8" w:space="0" w:color="000000"/>
            </w:tcBorders>
            <w:tcMar>
              <w:bottom w:w="28" w:type="dxa"/>
            </w:tcMar>
            <w:vAlign w:val="center"/>
          </w:tcPr>
          <w:p>
            <w:pPr>
              <w:pStyle w:val="TableContents"/>
              <w:bidi w:val="0"/>
              <w:spacing w:before="0" w:after="283"/>
              <w:jc w:val="left"/>
              <w:rPr/>
            </w:pPr>
            <w:r>
              <w:rPr/>
              <w:t> </w:t>
            </w:r>
          </w:p>
        </w:tc>
        <w:tc>
          <w:tcPr>
            <w:tcW w:w="1100" w:type="dxa"/>
            <w:tcBorders>
              <w:bottom w:val="double" w:sz="8" w:space="0" w:color="000000"/>
            </w:tcBorders>
            <w:tcMar>
              <w:bottom w:w="28" w:type="dxa"/>
            </w:tcMar>
            <w:vAlign w:val="center"/>
          </w:tcPr>
          <w:p>
            <w:pPr>
              <w:pStyle w:val="TableContents"/>
              <w:bidi w:val="0"/>
              <w:spacing w:lineRule="auto" w:line="300" w:before="0" w:after="0"/>
              <w:jc w:val="right"/>
              <w:rPr/>
            </w:pPr>
            <w:r>
              <w:rPr/>
              <w:t>12,800,865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bottom w:val="double" w:sz="8" w:space="0" w:color="000000"/>
            </w:tcBorders>
            <w:tcMar>
              <w:bottom w:w="28" w:type="dxa"/>
            </w:tcMar>
            <w:vAlign w:val="center"/>
          </w:tcPr>
          <w:p>
            <w:pPr>
              <w:pStyle w:val="TableContents"/>
              <w:bidi w:val="0"/>
              <w:spacing w:before="0" w:after="283"/>
              <w:jc w:val="left"/>
              <w:rPr/>
            </w:pPr>
            <w:r>
              <w:rPr/>
              <w:t> </w:t>
            </w:r>
          </w:p>
        </w:tc>
        <w:tc>
          <w:tcPr>
            <w:tcW w:w="1100" w:type="dxa"/>
            <w:tcBorders>
              <w:bottom w:val="double" w:sz="8" w:space="0" w:color="000000"/>
            </w:tcBorders>
            <w:tcMar>
              <w:bottom w:w="28" w:type="dxa"/>
            </w:tcMar>
            <w:vAlign w:val="center"/>
          </w:tcPr>
          <w:p>
            <w:pPr>
              <w:pStyle w:val="TableContents"/>
              <w:bidi w:val="0"/>
              <w:spacing w:lineRule="auto" w:line="300" w:before="0" w:after="0"/>
              <w:jc w:val="right"/>
              <w:rPr/>
            </w:pPr>
            <w:r>
              <w:rPr/>
              <w:t>14,948,781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bottom w:val="double" w:sz="8" w:space="0" w:color="000000"/>
            </w:tcBorders>
            <w:tcMar>
              <w:bottom w:w="28" w:type="dxa"/>
            </w:tcMar>
            <w:vAlign w:val="center"/>
          </w:tcPr>
          <w:p>
            <w:pPr>
              <w:pStyle w:val="TableContents"/>
              <w:bidi w:val="0"/>
              <w:spacing w:before="0" w:after="283"/>
              <w:jc w:val="left"/>
              <w:rPr/>
            </w:pPr>
            <w:r>
              <w:rPr/>
              <w:t> </w:t>
            </w:r>
          </w:p>
        </w:tc>
        <w:tc>
          <w:tcPr>
            <w:tcW w:w="1100" w:type="dxa"/>
            <w:tcBorders>
              <w:bottom w:val="double" w:sz="8" w:space="0" w:color="000000"/>
            </w:tcBorders>
            <w:tcMar>
              <w:bottom w:w="28" w:type="dxa"/>
            </w:tcMar>
            <w:vAlign w:val="center"/>
          </w:tcPr>
          <w:p>
            <w:pPr>
              <w:pStyle w:val="TableContents"/>
              <w:bidi w:val="0"/>
              <w:spacing w:lineRule="auto" w:line="300" w:before="0" w:after="0"/>
              <w:jc w:val="right"/>
              <w:rPr/>
            </w:pPr>
            <w:r>
              <w:rPr/>
              <w:t>13,030,843</w:t>
            </w:r>
          </w:p>
        </w:tc>
        <w:tc>
          <w:tcPr>
            <w:tcW w:w="75" w:type="dxa"/>
            <w:tcBorders/>
            <w:vAlign w:val="center"/>
          </w:tcPr>
          <w:p>
            <w:pPr>
              <w:pStyle w:val="TableContents"/>
              <w:bidi w:val="0"/>
              <w:spacing w:before="0" w:after="283"/>
              <w:jc w:val="left"/>
              <w:rPr/>
            </w:pPr>
            <w:r>
              <w:rPr/>
              <w:t> </w:t>
            </w:r>
          </w:p>
        </w:tc>
      </w:tr>
    </w:tbl>
    <w:p>
      <w:pPr>
        <w:pStyle w:val="TextBody"/>
        <w:bidi w:val="0"/>
        <w:spacing w:lineRule="auto" w:line="300" w:before="0" w:after="0"/>
        <w:jc w:val="left"/>
        <w:rPr/>
      </w:pPr>
      <w:r>
        <w:rPr/>
        <w:t> </w:t>
      </w:r>
    </w:p>
    <w:p>
      <w:pPr>
        <w:pStyle w:val="TextBody"/>
        <w:bidi w:val="0"/>
        <w:spacing w:lineRule="auto" w:line="240"/>
        <w:jc w:val="both"/>
        <w:rPr>
          <w:rFonts w:ascii="Times New Roman;Times;serif" w:hAnsi="Times New Roman;Times;serif"/>
          <w:sz w:val="20"/>
        </w:rPr>
      </w:pPr>
      <w:r>
        <w:rPr>
          <w:rFonts w:ascii="Times New Roman;Times;serif" w:hAnsi="Times New Roman;Times;serif"/>
          <w:sz w:val="20"/>
        </w:rPr>
        <w:t>1 In conjunction with the issuance of the Notes 2029, in June 2024, the Company used approximately $25,230 of the net proceeds from this offering to pay the cost of the capped call transactions. In July 2024, following an additional issuance of the Notes 2029, $3,111 of net proceeds were used to pay the cost of capped call transactions. In accordance with ASC 260 "Earnings Per Share", antidilutive contracts, such as purchased call options, are excluded from the computation of diluted net income (loss) per share. Accordingly, any potential impact resulting from the capped call transaction is excluded from the Company's computation of diluted net income (loss) per share.</w:t>
      </w:r>
    </w:p>
    <w:p>
      <w:pPr>
        <w:pStyle w:val="TextBody"/>
        <w:bidi w:val="0"/>
        <w:spacing w:before="0" w:after="0"/>
        <w:ind w:left="0" w:right="0" w:hanging="0"/>
        <w:jc w:val="left"/>
        <w:rPr/>
      </w:pPr>
      <w:r>
        <w:rPr/>
        <w:t> </w:t>
      </w:r>
    </w:p>
    <w:p>
      <w:pPr>
        <w:pStyle w:val="TextBody"/>
        <w:bidi w:val="0"/>
        <w:spacing w:lineRule="auto" w:line="300" w:before="200" w:after="283"/>
        <w:jc w:val="center"/>
        <w:rPr/>
      </w:pPr>
      <w:r>
        <w:rPr>
          <w:b w:val="false"/>
          <w:i w:val="false"/>
          <w:caps w:val="false"/>
          <w:smallCaps w:val="false"/>
        </w:rPr>
        <w:t xml:space="preserve">SOLAREDGE TECHNOLOGIES INC. | 2026 Form 10-Q | F - </w:t>
      </w:r>
      <w:r>
        <w:rPr>
          <w:rFonts w:ascii="Times New Roman;Times;serif" w:hAnsi="Times New Roman;Times;serif"/>
          <w:sz w:val="20"/>
        </w:rPr>
        <w:t>29</w:t>
      </w:r>
    </w:p>
    <w:p>
      <w:pPr>
        <w:pStyle w:val="HorizontalLine"/>
        <w:bidi w:val="0"/>
        <w:spacing w:lineRule="auto" w:line="300" w:before="0" w:after="0"/>
        <w:jc w:val="left"/>
        <w:rPr/>
      </w:pPr>
      <w:r>
        <w:rPr/>
      </w:r>
    </w:p>
    <w:p>
      <w:pPr>
        <w:pStyle w:val="TextBody"/>
        <w:bidi w:val="0"/>
        <w:spacing w:lineRule="auto" w:line="300" w:before="0" w:after="0"/>
        <w:jc w:val="left"/>
        <w:rPr/>
      </w:pPr>
      <w:r>
        <w:rPr/>
        <w:t> </w:t>
      </w:r>
    </w:p>
    <w:p>
      <w:pPr>
        <w:pStyle w:val="TextBody"/>
        <w:bidi w:val="0"/>
        <w:spacing w:lineRule="auto" w:line="300" w:before="0" w:after="0"/>
        <w:ind w:left="360" w:right="360" w:hanging="0"/>
        <w:jc w:val="center"/>
        <w:rPr>
          <w:b/>
        </w:rPr>
      </w:pPr>
      <w:r>
        <w:rPr>
          <w:b/>
        </w:rPr>
        <w:t>SOLAREDGE TECHNOLOGIES, INC.</w:t>
      </w:r>
    </w:p>
    <w:p>
      <w:pPr>
        <w:pStyle w:val="TextBody"/>
        <w:bidi w:val="0"/>
        <w:spacing w:lineRule="auto" w:line="300" w:before="0" w:after="0"/>
        <w:jc w:val="left"/>
        <w:rPr/>
      </w:pPr>
      <w:r>
        <w:rPr/>
        <w:t> </w:t>
      </w:r>
    </w:p>
    <w:p>
      <w:pPr>
        <w:pStyle w:val="TextBody"/>
        <w:bidi w:val="0"/>
        <w:spacing w:lineRule="auto" w:line="300" w:before="0" w:after="0"/>
        <w:ind w:left="360" w:right="360" w:hanging="0"/>
        <w:jc w:val="center"/>
        <w:rPr>
          <w:b/>
        </w:rPr>
      </w:pPr>
      <w:r>
        <w:rPr>
          <w:b/>
        </w:rPr>
        <w:t>NOTES TO CONDENSED CONSOLIDATED FINANCIAL STATEMENTS (Unaudited)</w:t>
      </w:r>
    </w:p>
    <w:p>
      <w:pPr>
        <w:pStyle w:val="TextBody"/>
        <w:bidi w:val="0"/>
        <w:spacing w:lineRule="auto" w:line="300" w:before="0" w:after="0"/>
        <w:jc w:val="left"/>
        <w:rPr/>
      </w:pPr>
      <w:r>
        <w:rPr/>
        <w:t> </w:t>
      </w:r>
    </w:p>
    <w:p>
      <w:pPr>
        <w:pStyle w:val="TextBody"/>
        <w:bidi w:val="0"/>
        <w:spacing w:lineRule="auto" w:line="300"/>
        <w:ind w:left="360" w:right="360" w:hanging="0"/>
        <w:jc w:val="center"/>
        <w:rPr/>
      </w:pPr>
      <w:r>
        <w:rPr>
          <w:b/>
        </w:rPr>
        <w:t>(in thousands, except per share data</w:t>
      </w:r>
      <w:r>
        <w:rPr/>
        <w:t>)</w:t>
      </w:r>
    </w:p>
    <w:p>
      <w:pPr>
        <w:pStyle w:val="TextBody"/>
        <w:bidi w:val="0"/>
        <w:spacing w:lineRule="auto" w:line="300" w:before="0" w:after="0"/>
        <w:jc w:val="left"/>
        <w:rPr/>
      </w:pPr>
      <w:r>
        <w:rPr/>
        <w:t> </w:t>
      </w:r>
    </w:p>
    <w:p>
      <w:pPr>
        <w:pStyle w:val="TextBody"/>
        <w:bidi w:val="0"/>
        <w:spacing w:before="0" w:after="283"/>
        <w:jc w:val="left"/>
        <w:rPr>
          <w:rFonts w:ascii="Times New Roman;Times;serif" w:hAnsi="Times New Roman;Times;serif"/>
          <w:b/>
          <w:sz w:val="20"/>
        </w:rPr>
      </w:pPr>
      <w:r>
        <w:rPr>
          <w:rFonts w:ascii="Times New Roman;Times;serif" w:hAnsi="Times New Roman;Times;serif"/>
          <w:b/>
          <w:sz w:val="20"/>
        </w:rPr>
        <w:t>NOTE 19:     SEGMENT INFORMATION</w:t>
      </w:r>
    </w:p>
    <w:p>
      <w:pPr>
        <w:pStyle w:val="TextBody"/>
        <w:bidi w:val="0"/>
        <w:spacing w:lineRule="auto" w:line="300" w:before="0" w:after="0"/>
        <w:jc w:val="both"/>
        <w:rPr>
          <w:rFonts w:ascii="Times New Roman;Times;serif" w:hAnsi="Times New Roman;Times;serif"/>
          <w:sz w:val="20"/>
        </w:rPr>
      </w:pPr>
      <w:r>
        <w:rPr>
          <w:rFonts w:ascii="Times New Roman;Times;serif" w:hAnsi="Times New Roman;Times;serif"/>
          <w:sz w:val="20"/>
        </w:rPr>
        <w:t>The Company operates as one operating segment that constitutes consolidated results.</w:t>
      </w:r>
    </w:p>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sz w:val="20"/>
        </w:rPr>
      </w:pPr>
      <w:r>
        <w:rPr>
          <w:rFonts w:ascii="Times New Roman;Times;serif" w:hAnsi="Times New Roman;Times;serif"/>
          <w:sz w:val="20"/>
        </w:rPr>
        <w:t>The Company's Chief Executive Officer, who is the chief operating decision maker (the “CODM”), makes resource allocation decisions and assesses performance based on financial information presented on a consolidated net loss, accompanied by disaggregated information about significant expenses.</w:t>
      </w:r>
    </w:p>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sz w:val="20"/>
        </w:rPr>
      </w:pPr>
      <w:r>
        <w:rPr>
          <w:rFonts w:ascii="Times New Roman;Times;serif" w:hAnsi="Times New Roman;Times;serif"/>
          <w:sz w:val="20"/>
        </w:rPr>
        <w:t>The CODM does not regularly review asset information and, therefore, the Company does not report asset information.</w:t>
      </w:r>
    </w:p>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sz w:val="20"/>
        </w:rPr>
      </w:pPr>
      <w:r>
        <w:rPr>
          <w:rFonts w:ascii="Times New Roman;Times;serif" w:hAnsi="Times New Roman;Times;serif"/>
          <w:sz w:val="20"/>
        </w:rPr>
        <w:t>The segment includes the design, development, manufacturing, and sales of an intelligent inverter solution designed to maximize power generation at the individual PV module level and batteries. The segment solution consists mainly of the Company’s power optimizers, inverters, batteries and other smart energy management solutions.</w:t>
      </w:r>
    </w:p>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sz w:val="20"/>
        </w:rPr>
      </w:pPr>
      <w:r>
        <w:rPr>
          <w:rFonts w:ascii="Times New Roman;Times;serif" w:hAnsi="Times New Roman;Times;serif"/>
          <w:sz w:val="20"/>
        </w:rPr>
        <w:t>The following tables present information on reportable loss for the period presented:</w:t>
      </w:r>
    </w:p>
    <w:p>
      <w:pPr>
        <w:pStyle w:val="TextBody"/>
        <w:bidi w:val="0"/>
        <w:spacing w:lineRule="auto" w:line="300" w:before="0" w:after="0"/>
        <w:jc w:val="both"/>
        <w:rPr/>
      </w:pPr>
      <w:r>
        <w:rPr/>
        <w:t> </w:t>
      </w:r>
    </w:p>
    <w:tbl>
      <w:tblPr>
        <w:tblW w:w="8480" w:type="dxa"/>
        <w:jc w:val="left"/>
        <w:tblInd w:w="0" w:type="dxa"/>
        <w:tblLayout w:type="fixed"/>
        <w:tblCellMar>
          <w:top w:w="0" w:type="dxa"/>
          <w:left w:w="0" w:type="dxa"/>
          <w:bottom w:w="0" w:type="dxa"/>
          <w:right w:w="0" w:type="dxa"/>
        </w:tblCellMar>
      </w:tblPr>
      <w:tblGrid>
        <w:gridCol w:w="3350"/>
        <w:gridCol w:w="60"/>
        <w:gridCol w:w="153"/>
        <w:gridCol w:w="984"/>
        <w:gridCol w:w="98"/>
        <w:gridCol w:w="73"/>
        <w:gridCol w:w="153"/>
        <w:gridCol w:w="1076"/>
        <w:gridCol w:w="80"/>
        <w:gridCol w:w="60"/>
        <w:gridCol w:w="139"/>
        <w:gridCol w:w="891"/>
        <w:gridCol w:w="89"/>
        <w:gridCol w:w="66"/>
        <w:gridCol w:w="139"/>
        <w:gridCol w:w="974"/>
        <w:gridCol w:w="95"/>
      </w:tblGrid>
      <w:tr>
        <w:trPr/>
        <w:tc>
          <w:tcPr>
            <w:tcW w:w="33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537" w:type="dxa"/>
            <w:gridSpan w:val="6"/>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Three Months Ended June 30,</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98" w:type="dxa"/>
            <w:gridSpan w:val="6"/>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Six Months Ended June 30,</w:t>
            </w:r>
          </w:p>
        </w:tc>
        <w:tc>
          <w:tcPr>
            <w:tcW w:w="95" w:type="dxa"/>
            <w:tcBorders/>
            <w:vAlign w:val="center"/>
          </w:tcPr>
          <w:p>
            <w:pPr>
              <w:pStyle w:val="TableContents"/>
              <w:bidi w:val="0"/>
              <w:spacing w:before="0" w:after="283"/>
              <w:jc w:val="left"/>
              <w:rPr/>
            </w:pPr>
            <w:r>
              <w:rPr/>
              <w:t> </w:t>
            </w:r>
          </w:p>
        </w:tc>
      </w:tr>
      <w:tr>
        <w:trPr/>
        <w:tc>
          <w:tcPr>
            <w:tcW w:w="33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37"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2026</w:t>
            </w:r>
          </w:p>
        </w:tc>
        <w:tc>
          <w:tcPr>
            <w:tcW w:w="98" w:type="dxa"/>
            <w:tcBorders/>
            <w:vAlign w:val="center"/>
          </w:tcPr>
          <w:p>
            <w:pPr>
              <w:pStyle w:val="TableContents"/>
              <w:bidi w:val="0"/>
              <w:spacing w:before="0" w:after="283"/>
              <w:jc w:val="left"/>
              <w:rPr/>
            </w:pPr>
            <w:r>
              <w:rPr/>
              <w:t> </w:t>
            </w:r>
          </w:p>
        </w:tc>
        <w:tc>
          <w:tcPr>
            <w:tcW w:w="73" w:type="dxa"/>
            <w:tcBorders/>
            <w:vAlign w:val="center"/>
          </w:tcPr>
          <w:p>
            <w:pPr>
              <w:pStyle w:val="TableContents"/>
              <w:bidi w:val="0"/>
              <w:spacing w:before="0" w:after="283"/>
              <w:jc w:val="left"/>
              <w:rPr/>
            </w:pPr>
            <w:r>
              <w:rPr/>
              <w:t> </w:t>
            </w:r>
          </w:p>
        </w:tc>
        <w:tc>
          <w:tcPr>
            <w:tcW w:w="1229"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2025</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30"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2026</w:t>
            </w:r>
          </w:p>
        </w:tc>
        <w:tc>
          <w:tcPr>
            <w:tcW w:w="89" w:type="dxa"/>
            <w:tcBorders/>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283"/>
              <w:jc w:val="left"/>
              <w:rPr/>
            </w:pPr>
            <w:r>
              <w:rPr/>
              <w:t> </w:t>
            </w:r>
          </w:p>
        </w:tc>
        <w:tc>
          <w:tcPr>
            <w:tcW w:w="1113"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2025</w:t>
            </w:r>
          </w:p>
        </w:tc>
        <w:tc>
          <w:tcPr>
            <w:tcW w:w="95" w:type="dxa"/>
            <w:tcBorders/>
            <w:vAlign w:val="center"/>
          </w:tcPr>
          <w:p>
            <w:pPr>
              <w:pStyle w:val="TableContents"/>
              <w:bidi w:val="0"/>
              <w:spacing w:before="0" w:after="283"/>
              <w:jc w:val="left"/>
              <w:rPr/>
            </w:pPr>
            <w:r>
              <w:rPr/>
              <w:t> </w:t>
            </w:r>
          </w:p>
        </w:tc>
      </w:tr>
      <w:tr>
        <w:trPr/>
        <w:tc>
          <w:tcPr>
            <w:tcW w:w="3350"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Revenues</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984" w:type="dxa"/>
            <w:tcBorders/>
            <w:shd w:fill="CCEEFF" w:val="clear"/>
            <w:vAlign w:val="center"/>
          </w:tcPr>
          <w:p>
            <w:pPr>
              <w:pStyle w:val="TableContents"/>
              <w:bidi w:val="0"/>
              <w:spacing w:lineRule="auto" w:line="300" w:before="0" w:after="0"/>
              <w:jc w:val="right"/>
              <w:rPr/>
            </w:pPr>
            <w:r>
              <w:rPr/>
              <w:t>346,245</w:t>
            </w:r>
          </w:p>
        </w:tc>
        <w:tc>
          <w:tcPr>
            <w:tcW w:w="98"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1076" w:type="dxa"/>
            <w:tcBorders/>
            <w:shd w:fill="CCEEFF" w:val="clear"/>
            <w:vAlign w:val="center"/>
          </w:tcPr>
          <w:p>
            <w:pPr>
              <w:pStyle w:val="TableContents"/>
              <w:bidi w:val="0"/>
              <w:spacing w:lineRule="auto" w:line="300" w:before="0" w:after="0"/>
              <w:jc w:val="right"/>
              <w:rPr/>
            </w:pPr>
            <w:r>
              <w:rPr/>
              <w:t>289,429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891" w:type="dxa"/>
            <w:tcBorders/>
            <w:shd w:fill="CCEEFF" w:val="clear"/>
            <w:vAlign w:val="center"/>
          </w:tcPr>
          <w:p>
            <w:pPr>
              <w:pStyle w:val="TableContents"/>
              <w:bidi w:val="0"/>
              <w:spacing w:lineRule="auto" w:line="300" w:before="0" w:after="0"/>
              <w:jc w:val="right"/>
              <w:rPr/>
            </w:pPr>
            <w:r>
              <w:rPr/>
              <w:t>656,746</w:t>
            </w:r>
          </w:p>
        </w:tc>
        <w:tc>
          <w:tcPr>
            <w:tcW w:w="89"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974" w:type="dxa"/>
            <w:tcBorders/>
            <w:shd w:fill="CCEEFF" w:val="clear"/>
            <w:vAlign w:val="center"/>
          </w:tcPr>
          <w:p>
            <w:pPr>
              <w:pStyle w:val="TableContents"/>
              <w:bidi w:val="0"/>
              <w:spacing w:lineRule="auto" w:line="300" w:before="0" w:after="0"/>
              <w:jc w:val="right"/>
              <w:rPr/>
            </w:pPr>
            <w:r>
              <w:rPr/>
              <w:t>508,909</w:t>
            </w:r>
          </w:p>
        </w:tc>
        <w:tc>
          <w:tcPr>
            <w:tcW w:w="95" w:type="dxa"/>
            <w:tcBorders/>
            <w:shd w:fill="CCEEFF" w:val="clear"/>
            <w:vAlign w:val="center"/>
          </w:tcPr>
          <w:p>
            <w:pPr>
              <w:pStyle w:val="TableContents"/>
              <w:bidi w:val="0"/>
              <w:spacing w:before="0" w:after="283"/>
              <w:jc w:val="left"/>
              <w:rPr/>
            </w:pPr>
            <w:r>
              <w:rPr/>
              <w:t> </w:t>
            </w:r>
          </w:p>
        </w:tc>
      </w:tr>
      <w:tr>
        <w:trPr/>
        <w:tc>
          <w:tcPr>
            <w:tcW w:w="3350"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Less:</w:t>
            </w:r>
          </w:p>
        </w:tc>
        <w:tc>
          <w:tcPr>
            <w:tcW w:w="60" w:type="dxa"/>
            <w:tcBorders/>
            <w:vAlign w:val="center"/>
          </w:tcPr>
          <w:p>
            <w:pPr>
              <w:pStyle w:val="TableContents"/>
              <w:bidi w:val="0"/>
              <w:spacing w:before="0" w:after="283"/>
              <w:jc w:val="left"/>
              <w:rPr/>
            </w:pPr>
            <w:r>
              <w:rPr/>
              <w:t> </w:t>
            </w:r>
          </w:p>
        </w:tc>
        <w:tc>
          <w:tcPr>
            <w:tcW w:w="153" w:type="dxa"/>
            <w:tcBorders/>
            <w:vAlign w:val="center"/>
          </w:tcPr>
          <w:p>
            <w:pPr>
              <w:pStyle w:val="TableContents"/>
              <w:bidi w:val="0"/>
              <w:spacing w:before="0" w:after="283"/>
              <w:jc w:val="left"/>
              <w:rPr/>
            </w:pPr>
            <w:r>
              <w:rPr/>
              <w:t> </w:t>
            </w:r>
          </w:p>
        </w:tc>
        <w:tc>
          <w:tcPr>
            <w:tcW w:w="984" w:type="dxa"/>
            <w:tcBorders/>
            <w:vAlign w:val="center"/>
          </w:tcPr>
          <w:p>
            <w:pPr>
              <w:pStyle w:val="TableContents"/>
              <w:bidi w:val="0"/>
              <w:spacing w:before="0" w:after="283"/>
              <w:jc w:val="right"/>
              <w:rPr/>
            </w:pPr>
            <w:r>
              <w:rPr/>
              <w:t> </w:t>
            </w:r>
          </w:p>
        </w:tc>
        <w:tc>
          <w:tcPr>
            <w:tcW w:w="98" w:type="dxa"/>
            <w:tcBorders/>
            <w:vAlign w:val="center"/>
          </w:tcPr>
          <w:p>
            <w:pPr>
              <w:pStyle w:val="TableContents"/>
              <w:bidi w:val="0"/>
              <w:spacing w:before="0" w:after="283"/>
              <w:jc w:val="left"/>
              <w:rPr/>
            </w:pPr>
            <w:r>
              <w:rPr/>
              <w:t> </w:t>
            </w:r>
          </w:p>
        </w:tc>
        <w:tc>
          <w:tcPr>
            <w:tcW w:w="73" w:type="dxa"/>
            <w:tcBorders/>
            <w:vAlign w:val="center"/>
          </w:tcPr>
          <w:p>
            <w:pPr>
              <w:pStyle w:val="TableContents"/>
              <w:bidi w:val="0"/>
              <w:spacing w:before="0" w:after="283"/>
              <w:jc w:val="left"/>
              <w:rPr/>
            </w:pPr>
            <w:r>
              <w:rPr/>
              <w:t> </w:t>
            </w:r>
          </w:p>
        </w:tc>
        <w:tc>
          <w:tcPr>
            <w:tcW w:w="153" w:type="dxa"/>
            <w:tcBorders/>
            <w:vAlign w:val="center"/>
          </w:tcPr>
          <w:p>
            <w:pPr>
              <w:pStyle w:val="TableContents"/>
              <w:bidi w:val="0"/>
              <w:spacing w:before="0" w:after="283"/>
              <w:jc w:val="left"/>
              <w:rPr/>
            </w:pPr>
            <w:r>
              <w:rPr/>
              <w:t> </w:t>
            </w:r>
          </w:p>
        </w:tc>
        <w:tc>
          <w:tcPr>
            <w:tcW w:w="1076" w:type="dxa"/>
            <w:tcBorders/>
            <w:vAlign w:val="center"/>
          </w:tcPr>
          <w:p>
            <w:pPr>
              <w:pStyle w:val="TableContents"/>
              <w:bidi w:val="0"/>
              <w:spacing w:before="0" w:after="283"/>
              <w:jc w:val="righ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9" w:type="dxa"/>
            <w:tcBorders/>
            <w:vAlign w:val="center"/>
          </w:tcPr>
          <w:p>
            <w:pPr>
              <w:pStyle w:val="TableContents"/>
              <w:bidi w:val="0"/>
              <w:spacing w:before="0" w:after="283"/>
              <w:jc w:val="left"/>
              <w:rPr/>
            </w:pPr>
            <w:r>
              <w:rPr/>
              <w:t> </w:t>
            </w:r>
          </w:p>
        </w:tc>
        <w:tc>
          <w:tcPr>
            <w:tcW w:w="891" w:type="dxa"/>
            <w:tcBorders/>
            <w:vAlign w:val="center"/>
          </w:tcPr>
          <w:p>
            <w:pPr>
              <w:pStyle w:val="TableContents"/>
              <w:bidi w:val="0"/>
              <w:spacing w:before="0" w:after="283"/>
              <w:jc w:val="right"/>
              <w:rPr/>
            </w:pPr>
            <w:r>
              <w:rPr/>
              <w:t> </w:t>
            </w:r>
          </w:p>
        </w:tc>
        <w:tc>
          <w:tcPr>
            <w:tcW w:w="89" w:type="dxa"/>
            <w:tcBorders/>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283"/>
              <w:jc w:val="left"/>
              <w:rPr/>
            </w:pPr>
            <w:r>
              <w:rPr/>
              <w:t> </w:t>
            </w:r>
          </w:p>
        </w:tc>
        <w:tc>
          <w:tcPr>
            <w:tcW w:w="139" w:type="dxa"/>
            <w:tcBorders/>
            <w:vAlign w:val="center"/>
          </w:tcPr>
          <w:p>
            <w:pPr>
              <w:pStyle w:val="TableContents"/>
              <w:bidi w:val="0"/>
              <w:spacing w:before="0" w:after="283"/>
              <w:jc w:val="left"/>
              <w:rPr/>
            </w:pPr>
            <w:r>
              <w:rPr/>
              <w:t> </w:t>
            </w:r>
          </w:p>
        </w:tc>
        <w:tc>
          <w:tcPr>
            <w:tcW w:w="974"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r>
      <w:tr>
        <w:trPr/>
        <w:tc>
          <w:tcPr>
            <w:tcW w:w="3350" w:type="dxa"/>
            <w:tcBorders/>
            <w:shd w:fill="CCEEFF" w:val="clear"/>
            <w:vAlign w:val="center"/>
          </w:tcPr>
          <w:p>
            <w:pPr>
              <w:pStyle w:val="TableContents"/>
              <w:bidi w:val="0"/>
              <w:spacing w:lineRule="auto" w:line="300" w:before="0" w:after="0"/>
              <w:ind w:left="120" w:right="0" w:hanging="0"/>
              <w:jc w:val="left"/>
              <w:rPr>
                <w:rFonts w:ascii="Times New Roman;Times;serif" w:hAnsi="Times New Roman;Times;serif"/>
                <w:sz w:val="20"/>
              </w:rPr>
            </w:pPr>
            <w:r>
              <w:rPr>
                <w:rFonts w:ascii="Times New Roman;Times;serif" w:hAnsi="Times New Roman;Times;serif"/>
                <w:sz w:val="20"/>
              </w:rPr>
              <w:t>Direct costs of goods</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984" w:type="dxa"/>
            <w:tcBorders/>
            <w:shd w:fill="CCEEFF" w:val="clear"/>
            <w:vAlign w:val="center"/>
          </w:tcPr>
          <w:p>
            <w:pPr>
              <w:pStyle w:val="TableContents"/>
              <w:bidi w:val="0"/>
              <w:spacing w:lineRule="auto" w:line="300" w:before="0" w:after="0"/>
              <w:jc w:val="right"/>
              <w:rPr/>
            </w:pPr>
            <w:r>
              <w:rPr/>
              <w:t>140,249</w:t>
            </w:r>
          </w:p>
        </w:tc>
        <w:tc>
          <w:tcPr>
            <w:tcW w:w="98"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1076" w:type="dxa"/>
            <w:tcBorders/>
            <w:shd w:fill="CCEEFF" w:val="clear"/>
            <w:vAlign w:val="center"/>
          </w:tcPr>
          <w:p>
            <w:pPr>
              <w:pStyle w:val="TableContents"/>
              <w:bidi w:val="0"/>
              <w:spacing w:lineRule="auto" w:line="300" w:before="0" w:after="0"/>
              <w:jc w:val="right"/>
              <w:rPr/>
            </w:pPr>
            <w:r>
              <w:rPr/>
              <w:t>171,307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jc w:val="left"/>
              <w:rPr/>
            </w:pPr>
            <w:r>
              <w:rPr/>
              <w:t> </w:t>
            </w:r>
          </w:p>
        </w:tc>
        <w:tc>
          <w:tcPr>
            <w:tcW w:w="891" w:type="dxa"/>
            <w:tcBorders/>
            <w:shd w:fill="CCEEFF" w:val="clear"/>
            <w:vAlign w:val="center"/>
          </w:tcPr>
          <w:p>
            <w:pPr>
              <w:pStyle w:val="TableContents"/>
              <w:bidi w:val="0"/>
              <w:spacing w:lineRule="auto" w:line="300" w:before="0" w:after="0"/>
              <w:jc w:val="right"/>
              <w:rPr/>
            </w:pPr>
            <w:r>
              <w:rPr/>
              <w:t>326,446</w:t>
            </w:r>
          </w:p>
        </w:tc>
        <w:tc>
          <w:tcPr>
            <w:tcW w:w="89"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jc w:val="left"/>
              <w:rPr/>
            </w:pPr>
            <w:r>
              <w:rPr/>
              <w:t> </w:t>
            </w:r>
          </w:p>
        </w:tc>
        <w:tc>
          <w:tcPr>
            <w:tcW w:w="974" w:type="dxa"/>
            <w:tcBorders/>
            <w:shd w:fill="CCEEFF" w:val="clear"/>
            <w:vAlign w:val="center"/>
          </w:tcPr>
          <w:p>
            <w:pPr>
              <w:pStyle w:val="TableContents"/>
              <w:bidi w:val="0"/>
              <w:spacing w:lineRule="auto" w:line="300" w:before="0" w:after="0"/>
              <w:jc w:val="right"/>
              <w:rPr/>
            </w:pPr>
            <w:r>
              <w:rPr/>
              <w:t>302,236</w:t>
            </w:r>
          </w:p>
        </w:tc>
        <w:tc>
          <w:tcPr>
            <w:tcW w:w="95" w:type="dxa"/>
            <w:tcBorders/>
            <w:shd w:fill="CCEEFF" w:val="clear"/>
            <w:vAlign w:val="center"/>
          </w:tcPr>
          <w:p>
            <w:pPr>
              <w:pStyle w:val="TableContents"/>
              <w:bidi w:val="0"/>
              <w:spacing w:before="0" w:after="283"/>
              <w:jc w:val="left"/>
              <w:rPr/>
            </w:pPr>
            <w:r>
              <w:rPr/>
              <w:t> </w:t>
            </w:r>
          </w:p>
        </w:tc>
      </w:tr>
      <w:tr>
        <w:trPr/>
        <w:tc>
          <w:tcPr>
            <w:tcW w:w="3350" w:type="dxa"/>
            <w:tcBorders/>
            <w:vAlign w:val="center"/>
          </w:tcPr>
          <w:p>
            <w:pPr>
              <w:pStyle w:val="TableContents"/>
              <w:bidi w:val="0"/>
              <w:spacing w:lineRule="auto" w:line="240" w:before="0" w:after="0"/>
              <w:ind w:left="120" w:right="0" w:hanging="0"/>
              <w:jc w:val="left"/>
              <w:rPr>
                <w:rFonts w:ascii="Times New Roman;Times;serif" w:hAnsi="Times New Roman;Times;serif"/>
                <w:sz w:val="20"/>
              </w:rPr>
            </w:pPr>
            <w:r>
              <w:rPr>
                <w:rFonts w:ascii="Times New Roman;Times;serif" w:hAnsi="Times New Roman;Times;serif"/>
                <w:sz w:val="20"/>
              </w:rPr>
              <w:t>Salaries1</w:t>
            </w:r>
          </w:p>
        </w:tc>
        <w:tc>
          <w:tcPr>
            <w:tcW w:w="60" w:type="dxa"/>
            <w:tcBorders/>
            <w:vAlign w:val="center"/>
          </w:tcPr>
          <w:p>
            <w:pPr>
              <w:pStyle w:val="TableContents"/>
              <w:bidi w:val="0"/>
              <w:spacing w:before="0" w:after="283"/>
              <w:jc w:val="left"/>
              <w:rPr/>
            </w:pPr>
            <w:r>
              <w:rPr/>
              <w:t> </w:t>
            </w:r>
          </w:p>
        </w:tc>
        <w:tc>
          <w:tcPr>
            <w:tcW w:w="153" w:type="dxa"/>
            <w:tcBorders/>
            <w:vAlign w:val="center"/>
          </w:tcPr>
          <w:p>
            <w:pPr>
              <w:pStyle w:val="TableContents"/>
              <w:bidi w:val="0"/>
              <w:spacing w:before="0" w:after="283"/>
              <w:jc w:val="left"/>
              <w:rPr/>
            </w:pPr>
            <w:r>
              <w:rPr/>
              <w:t> </w:t>
            </w:r>
          </w:p>
        </w:tc>
        <w:tc>
          <w:tcPr>
            <w:tcW w:w="984" w:type="dxa"/>
            <w:tcBorders/>
            <w:vAlign w:val="center"/>
          </w:tcPr>
          <w:p>
            <w:pPr>
              <w:pStyle w:val="TableContents"/>
              <w:bidi w:val="0"/>
              <w:spacing w:lineRule="auto" w:line="300" w:before="0" w:after="0"/>
              <w:jc w:val="right"/>
              <w:rPr/>
            </w:pPr>
            <w:r>
              <w:rPr/>
              <w:t>117,603</w:t>
            </w:r>
          </w:p>
        </w:tc>
        <w:tc>
          <w:tcPr>
            <w:tcW w:w="98" w:type="dxa"/>
            <w:tcBorders/>
            <w:vAlign w:val="center"/>
          </w:tcPr>
          <w:p>
            <w:pPr>
              <w:pStyle w:val="TableContents"/>
              <w:bidi w:val="0"/>
              <w:spacing w:before="0" w:after="283"/>
              <w:jc w:val="left"/>
              <w:rPr/>
            </w:pPr>
            <w:r>
              <w:rPr/>
              <w:t> </w:t>
            </w:r>
          </w:p>
        </w:tc>
        <w:tc>
          <w:tcPr>
            <w:tcW w:w="73" w:type="dxa"/>
            <w:tcBorders/>
            <w:vAlign w:val="center"/>
          </w:tcPr>
          <w:p>
            <w:pPr>
              <w:pStyle w:val="TableContents"/>
              <w:bidi w:val="0"/>
              <w:spacing w:before="0" w:after="283"/>
              <w:jc w:val="left"/>
              <w:rPr/>
            </w:pPr>
            <w:r>
              <w:rPr/>
              <w:t> </w:t>
            </w:r>
          </w:p>
        </w:tc>
        <w:tc>
          <w:tcPr>
            <w:tcW w:w="153" w:type="dxa"/>
            <w:tcBorders/>
            <w:vAlign w:val="center"/>
          </w:tcPr>
          <w:p>
            <w:pPr>
              <w:pStyle w:val="TableContents"/>
              <w:bidi w:val="0"/>
              <w:spacing w:before="0" w:after="283"/>
              <w:jc w:val="left"/>
              <w:rPr/>
            </w:pPr>
            <w:r>
              <w:rPr/>
              <w:t> </w:t>
            </w:r>
          </w:p>
        </w:tc>
        <w:tc>
          <w:tcPr>
            <w:tcW w:w="1076" w:type="dxa"/>
            <w:tcBorders/>
            <w:vAlign w:val="center"/>
          </w:tcPr>
          <w:p>
            <w:pPr>
              <w:pStyle w:val="TableContents"/>
              <w:bidi w:val="0"/>
              <w:spacing w:lineRule="auto" w:line="300" w:before="0" w:after="0"/>
              <w:jc w:val="right"/>
              <w:rPr/>
            </w:pPr>
            <w:r>
              <w:rPr/>
              <w:t>103,665</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9" w:type="dxa"/>
            <w:tcBorders/>
            <w:vAlign w:val="center"/>
          </w:tcPr>
          <w:p>
            <w:pPr>
              <w:pStyle w:val="TableContents"/>
              <w:bidi w:val="0"/>
              <w:spacing w:before="0" w:after="283"/>
              <w:jc w:val="left"/>
              <w:rPr/>
            </w:pPr>
            <w:r>
              <w:rPr/>
              <w:t> </w:t>
            </w:r>
          </w:p>
        </w:tc>
        <w:tc>
          <w:tcPr>
            <w:tcW w:w="891" w:type="dxa"/>
            <w:tcBorders/>
            <w:vAlign w:val="center"/>
          </w:tcPr>
          <w:p>
            <w:pPr>
              <w:pStyle w:val="TableContents"/>
              <w:bidi w:val="0"/>
              <w:spacing w:lineRule="auto" w:line="300" w:before="0" w:after="0"/>
              <w:jc w:val="right"/>
              <w:rPr/>
            </w:pPr>
            <w:r>
              <w:rPr/>
              <w:t>228,908</w:t>
            </w:r>
          </w:p>
        </w:tc>
        <w:tc>
          <w:tcPr>
            <w:tcW w:w="89" w:type="dxa"/>
            <w:tcBorders/>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283"/>
              <w:jc w:val="left"/>
              <w:rPr/>
            </w:pPr>
            <w:r>
              <w:rPr/>
              <w:t> </w:t>
            </w:r>
          </w:p>
        </w:tc>
        <w:tc>
          <w:tcPr>
            <w:tcW w:w="139" w:type="dxa"/>
            <w:tcBorders/>
            <w:vAlign w:val="center"/>
          </w:tcPr>
          <w:p>
            <w:pPr>
              <w:pStyle w:val="TableContents"/>
              <w:bidi w:val="0"/>
              <w:spacing w:before="0" w:after="283"/>
              <w:jc w:val="left"/>
              <w:rPr/>
            </w:pPr>
            <w:r>
              <w:rPr/>
              <w:t> </w:t>
            </w:r>
          </w:p>
        </w:tc>
        <w:tc>
          <w:tcPr>
            <w:tcW w:w="974" w:type="dxa"/>
            <w:tcBorders/>
            <w:vAlign w:val="center"/>
          </w:tcPr>
          <w:p>
            <w:pPr>
              <w:pStyle w:val="TableContents"/>
              <w:bidi w:val="0"/>
              <w:spacing w:lineRule="auto" w:line="300" w:before="0" w:after="0"/>
              <w:jc w:val="right"/>
              <w:rPr/>
            </w:pPr>
            <w:r>
              <w:rPr/>
              <w:t>226,110</w:t>
            </w:r>
          </w:p>
        </w:tc>
        <w:tc>
          <w:tcPr>
            <w:tcW w:w="95" w:type="dxa"/>
            <w:tcBorders/>
            <w:vAlign w:val="center"/>
          </w:tcPr>
          <w:p>
            <w:pPr>
              <w:pStyle w:val="TableContents"/>
              <w:bidi w:val="0"/>
              <w:spacing w:before="0" w:after="283"/>
              <w:jc w:val="left"/>
              <w:rPr/>
            </w:pPr>
            <w:r>
              <w:rPr/>
              <w:t> </w:t>
            </w:r>
          </w:p>
        </w:tc>
      </w:tr>
      <w:tr>
        <w:trPr/>
        <w:tc>
          <w:tcPr>
            <w:tcW w:w="3350" w:type="dxa"/>
            <w:tcBorders/>
            <w:shd w:fill="CCEEFF" w:val="clear"/>
            <w:vAlign w:val="center"/>
          </w:tcPr>
          <w:p>
            <w:pPr>
              <w:pStyle w:val="TableContents"/>
              <w:bidi w:val="0"/>
              <w:spacing w:lineRule="auto" w:line="300" w:before="0" w:after="0"/>
              <w:ind w:left="120" w:right="0" w:hanging="0"/>
              <w:jc w:val="left"/>
              <w:rPr>
                <w:rFonts w:ascii="Times New Roman;Times;serif" w:hAnsi="Times New Roman;Times;serif"/>
                <w:sz w:val="20"/>
              </w:rPr>
            </w:pPr>
            <w:r>
              <w:rPr>
                <w:rFonts w:ascii="Times New Roman;Times;serif" w:hAnsi="Times New Roman;Times;serif"/>
                <w:sz w:val="20"/>
              </w:rPr>
              <w:t>Inventory costs</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984" w:type="dxa"/>
            <w:tcBorders/>
            <w:shd w:fill="CCEEFF" w:val="clear"/>
            <w:vAlign w:val="center"/>
          </w:tcPr>
          <w:p>
            <w:pPr>
              <w:pStyle w:val="TableContents"/>
              <w:bidi w:val="0"/>
              <w:spacing w:lineRule="auto" w:line="300" w:before="0" w:after="0"/>
              <w:jc w:val="right"/>
              <w:rPr/>
            </w:pPr>
            <w:r>
              <w:rPr/>
              <w:t>30,312</w:t>
            </w:r>
          </w:p>
        </w:tc>
        <w:tc>
          <w:tcPr>
            <w:tcW w:w="98"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1076" w:type="dxa"/>
            <w:tcBorders/>
            <w:shd w:fill="CCEEFF" w:val="clear"/>
            <w:vAlign w:val="center"/>
          </w:tcPr>
          <w:p>
            <w:pPr>
              <w:pStyle w:val="TableContents"/>
              <w:bidi w:val="0"/>
              <w:spacing w:lineRule="auto" w:line="300" w:before="0" w:after="0"/>
              <w:jc w:val="right"/>
              <w:rPr/>
            </w:pPr>
            <w:r>
              <w:rPr/>
              <w:t>(1,809</w:t>
            </w:r>
          </w:p>
        </w:tc>
        <w:tc>
          <w:tcPr>
            <w:tcW w:w="80"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jc w:val="left"/>
              <w:rPr/>
            </w:pPr>
            <w:r>
              <w:rPr/>
              <w:t> </w:t>
            </w:r>
          </w:p>
        </w:tc>
        <w:tc>
          <w:tcPr>
            <w:tcW w:w="891" w:type="dxa"/>
            <w:tcBorders/>
            <w:shd w:fill="CCEEFF" w:val="clear"/>
            <w:vAlign w:val="center"/>
          </w:tcPr>
          <w:p>
            <w:pPr>
              <w:pStyle w:val="TableContents"/>
              <w:bidi w:val="0"/>
              <w:spacing w:lineRule="auto" w:line="300" w:before="0" w:after="0"/>
              <w:jc w:val="right"/>
              <w:rPr/>
            </w:pPr>
            <w:r>
              <w:rPr/>
              <w:t>38,954</w:t>
            </w:r>
          </w:p>
        </w:tc>
        <w:tc>
          <w:tcPr>
            <w:tcW w:w="89"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jc w:val="left"/>
              <w:rPr/>
            </w:pPr>
            <w:r>
              <w:rPr/>
              <w:t> </w:t>
            </w:r>
          </w:p>
        </w:tc>
        <w:tc>
          <w:tcPr>
            <w:tcW w:w="974" w:type="dxa"/>
            <w:tcBorders/>
            <w:shd w:fill="CCEEFF" w:val="clear"/>
            <w:vAlign w:val="center"/>
          </w:tcPr>
          <w:p>
            <w:pPr>
              <w:pStyle w:val="TableContents"/>
              <w:bidi w:val="0"/>
              <w:spacing w:lineRule="auto" w:line="300" w:before="0" w:after="0"/>
              <w:jc w:val="right"/>
              <w:rPr/>
            </w:pPr>
            <w:r>
              <w:rPr/>
              <w:t>110</w:t>
            </w:r>
          </w:p>
        </w:tc>
        <w:tc>
          <w:tcPr>
            <w:tcW w:w="95" w:type="dxa"/>
            <w:tcBorders/>
            <w:shd w:fill="CCEEFF" w:val="clear"/>
            <w:vAlign w:val="center"/>
          </w:tcPr>
          <w:p>
            <w:pPr>
              <w:pStyle w:val="TableContents"/>
              <w:bidi w:val="0"/>
              <w:spacing w:before="0" w:after="283"/>
              <w:jc w:val="left"/>
              <w:rPr/>
            </w:pPr>
            <w:r>
              <w:rPr/>
              <w:t> </w:t>
            </w:r>
          </w:p>
        </w:tc>
      </w:tr>
      <w:tr>
        <w:trPr/>
        <w:tc>
          <w:tcPr>
            <w:tcW w:w="3350" w:type="dxa"/>
            <w:tcBorders/>
            <w:vAlign w:val="center"/>
          </w:tcPr>
          <w:p>
            <w:pPr>
              <w:pStyle w:val="TableContents"/>
              <w:bidi w:val="0"/>
              <w:spacing w:lineRule="auto" w:line="300" w:before="0" w:after="0"/>
              <w:ind w:left="120" w:right="0" w:hanging="0"/>
              <w:jc w:val="left"/>
              <w:rPr>
                <w:rFonts w:ascii="Times New Roman;Times;serif" w:hAnsi="Times New Roman;Times;serif"/>
                <w:sz w:val="20"/>
              </w:rPr>
            </w:pPr>
            <w:r>
              <w:rPr>
                <w:rFonts w:ascii="Times New Roman;Times;serif" w:hAnsi="Times New Roman;Times;serif"/>
                <w:sz w:val="20"/>
              </w:rPr>
              <w:t>Shipment and logistics</w:t>
            </w:r>
          </w:p>
        </w:tc>
        <w:tc>
          <w:tcPr>
            <w:tcW w:w="60" w:type="dxa"/>
            <w:tcBorders/>
            <w:vAlign w:val="center"/>
          </w:tcPr>
          <w:p>
            <w:pPr>
              <w:pStyle w:val="TableContents"/>
              <w:bidi w:val="0"/>
              <w:spacing w:before="0" w:after="283"/>
              <w:jc w:val="left"/>
              <w:rPr/>
            </w:pPr>
            <w:r>
              <w:rPr/>
              <w:t> </w:t>
            </w:r>
          </w:p>
        </w:tc>
        <w:tc>
          <w:tcPr>
            <w:tcW w:w="153" w:type="dxa"/>
            <w:tcBorders/>
            <w:vAlign w:val="center"/>
          </w:tcPr>
          <w:p>
            <w:pPr>
              <w:pStyle w:val="TableContents"/>
              <w:bidi w:val="0"/>
              <w:spacing w:before="0" w:after="283"/>
              <w:jc w:val="left"/>
              <w:rPr/>
            </w:pPr>
            <w:r>
              <w:rPr/>
              <w:t> </w:t>
            </w:r>
          </w:p>
        </w:tc>
        <w:tc>
          <w:tcPr>
            <w:tcW w:w="984" w:type="dxa"/>
            <w:tcBorders/>
            <w:vAlign w:val="center"/>
          </w:tcPr>
          <w:p>
            <w:pPr>
              <w:pStyle w:val="TableContents"/>
              <w:bidi w:val="0"/>
              <w:spacing w:lineRule="auto" w:line="300" w:before="0" w:after="0"/>
              <w:jc w:val="right"/>
              <w:rPr/>
            </w:pPr>
            <w:r>
              <w:rPr/>
              <w:t>17,123</w:t>
            </w:r>
          </w:p>
        </w:tc>
        <w:tc>
          <w:tcPr>
            <w:tcW w:w="98" w:type="dxa"/>
            <w:tcBorders/>
            <w:vAlign w:val="center"/>
          </w:tcPr>
          <w:p>
            <w:pPr>
              <w:pStyle w:val="TableContents"/>
              <w:bidi w:val="0"/>
              <w:spacing w:before="0" w:after="283"/>
              <w:jc w:val="left"/>
              <w:rPr/>
            </w:pPr>
            <w:r>
              <w:rPr/>
              <w:t> </w:t>
            </w:r>
          </w:p>
        </w:tc>
        <w:tc>
          <w:tcPr>
            <w:tcW w:w="73" w:type="dxa"/>
            <w:tcBorders/>
            <w:vAlign w:val="center"/>
          </w:tcPr>
          <w:p>
            <w:pPr>
              <w:pStyle w:val="TableContents"/>
              <w:bidi w:val="0"/>
              <w:spacing w:before="0" w:after="283"/>
              <w:jc w:val="left"/>
              <w:rPr/>
            </w:pPr>
            <w:r>
              <w:rPr/>
              <w:t> </w:t>
            </w:r>
          </w:p>
        </w:tc>
        <w:tc>
          <w:tcPr>
            <w:tcW w:w="153" w:type="dxa"/>
            <w:tcBorders/>
            <w:vAlign w:val="center"/>
          </w:tcPr>
          <w:p>
            <w:pPr>
              <w:pStyle w:val="TableContents"/>
              <w:bidi w:val="0"/>
              <w:spacing w:before="0" w:after="283"/>
              <w:jc w:val="left"/>
              <w:rPr/>
            </w:pPr>
            <w:r>
              <w:rPr/>
              <w:t> </w:t>
            </w:r>
          </w:p>
        </w:tc>
        <w:tc>
          <w:tcPr>
            <w:tcW w:w="1076" w:type="dxa"/>
            <w:tcBorders/>
            <w:vAlign w:val="center"/>
          </w:tcPr>
          <w:p>
            <w:pPr>
              <w:pStyle w:val="TableContents"/>
              <w:bidi w:val="0"/>
              <w:spacing w:lineRule="auto" w:line="300" w:before="0" w:after="0"/>
              <w:jc w:val="right"/>
              <w:rPr/>
            </w:pPr>
            <w:r>
              <w:rPr/>
              <w:t>7,378</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9" w:type="dxa"/>
            <w:tcBorders/>
            <w:vAlign w:val="center"/>
          </w:tcPr>
          <w:p>
            <w:pPr>
              <w:pStyle w:val="TableContents"/>
              <w:bidi w:val="0"/>
              <w:spacing w:before="0" w:after="283"/>
              <w:jc w:val="left"/>
              <w:rPr/>
            </w:pPr>
            <w:r>
              <w:rPr/>
              <w:t> </w:t>
            </w:r>
          </w:p>
        </w:tc>
        <w:tc>
          <w:tcPr>
            <w:tcW w:w="891" w:type="dxa"/>
            <w:tcBorders/>
            <w:vAlign w:val="center"/>
          </w:tcPr>
          <w:p>
            <w:pPr>
              <w:pStyle w:val="TableContents"/>
              <w:bidi w:val="0"/>
              <w:spacing w:lineRule="auto" w:line="300" w:before="0" w:after="0"/>
              <w:jc w:val="right"/>
              <w:rPr/>
            </w:pPr>
            <w:r>
              <w:rPr/>
              <w:t>28,847</w:t>
            </w:r>
          </w:p>
        </w:tc>
        <w:tc>
          <w:tcPr>
            <w:tcW w:w="89" w:type="dxa"/>
            <w:tcBorders/>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283"/>
              <w:jc w:val="left"/>
              <w:rPr/>
            </w:pPr>
            <w:r>
              <w:rPr/>
              <w:t> </w:t>
            </w:r>
          </w:p>
        </w:tc>
        <w:tc>
          <w:tcPr>
            <w:tcW w:w="139" w:type="dxa"/>
            <w:tcBorders/>
            <w:vAlign w:val="center"/>
          </w:tcPr>
          <w:p>
            <w:pPr>
              <w:pStyle w:val="TableContents"/>
              <w:bidi w:val="0"/>
              <w:spacing w:before="0" w:after="283"/>
              <w:jc w:val="left"/>
              <w:rPr/>
            </w:pPr>
            <w:r>
              <w:rPr/>
              <w:t> </w:t>
            </w:r>
          </w:p>
        </w:tc>
        <w:tc>
          <w:tcPr>
            <w:tcW w:w="974" w:type="dxa"/>
            <w:tcBorders/>
            <w:vAlign w:val="center"/>
          </w:tcPr>
          <w:p>
            <w:pPr>
              <w:pStyle w:val="TableContents"/>
              <w:bidi w:val="0"/>
              <w:spacing w:lineRule="auto" w:line="300" w:before="0" w:after="0"/>
              <w:jc w:val="right"/>
              <w:rPr/>
            </w:pPr>
            <w:r>
              <w:rPr/>
              <w:t>18,512</w:t>
            </w:r>
          </w:p>
        </w:tc>
        <w:tc>
          <w:tcPr>
            <w:tcW w:w="95" w:type="dxa"/>
            <w:tcBorders/>
            <w:vAlign w:val="center"/>
          </w:tcPr>
          <w:p>
            <w:pPr>
              <w:pStyle w:val="TableContents"/>
              <w:bidi w:val="0"/>
              <w:spacing w:before="0" w:after="283"/>
              <w:jc w:val="left"/>
              <w:rPr/>
            </w:pPr>
            <w:r>
              <w:rPr/>
              <w:t> </w:t>
            </w:r>
          </w:p>
        </w:tc>
      </w:tr>
      <w:tr>
        <w:trPr/>
        <w:tc>
          <w:tcPr>
            <w:tcW w:w="3350" w:type="dxa"/>
            <w:tcBorders/>
            <w:shd w:fill="CCEEFF" w:val="clear"/>
            <w:vAlign w:val="center"/>
          </w:tcPr>
          <w:p>
            <w:pPr>
              <w:pStyle w:val="TableContents"/>
              <w:bidi w:val="0"/>
              <w:spacing w:lineRule="auto" w:line="300" w:before="0" w:after="0"/>
              <w:ind w:left="120" w:right="0" w:hanging="0"/>
              <w:jc w:val="left"/>
              <w:rPr>
                <w:rFonts w:ascii="Times New Roman;Times;serif" w:hAnsi="Times New Roman;Times;serif"/>
                <w:sz w:val="20"/>
              </w:rPr>
            </w:pPr>
            <w:r>
              <w:rPr>
                <w:rFonts w:ascii="Times New Roman;Times;serif" w:hAnsi="Times New Roman;Times;serif"/>
                <w:sz w:val="20"/>
              </w:rPr>
              <w:t>Warranty</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984" w:type="dxa"/>
            <w:tcBorders/>
            <w:shd w:fill="CCEEFF" w:val="clear"/>
            <w:vAlign w:val="center"/>
          </w:tcPr>
          <w:p>
            <w:pPr>
              <w:pStyle w:val="TableContents"/>
              <w:bidi w:val="0"/>
              <w:spacing w:lineRule="auto" w:line="300" w:before="0" w:after="0"/>
              <w:jc w:val="right"/>
              <w:rPr/>
            </w:pPr>
            <w:r>
              <w:rPr/>
              <w:t>16,566</w:t>
            </w:r>
          </w:p>
        </w:tc>
        <w:tc>
          <w:tcPr>
            <w:tcW w:w="98"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1076" w:type="dxa"/>
            <w:tcBorders/>
            <w:shd w:fill="CCEEFF" w:val="clear"/>
            <w:vAlign w:val="center"/>
          </w:tcPr>
          <w:p>
            <w:pPr>
              <w:pStyle w:val="TableContents"/>
              <w:bidi w:val="0"/>
              <w:spacing w:lineRule="auto" w:line="300" w:before="0" w:after="0"/>
              <w:jc w:val="right"/>
              <w:rPr/>
            </w:pPr>
            <w:r>
              <w:rPr/>
              <w:t>11,821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jc w:val="left"/>
              <w:rPr/>
            </w:pPr>
            <w:r>
              <w:rPr/>
              <w:t> </w:t>
            </w:r>
          </w:p>
        </w:tc>
        <w:tc>
          <w:tcPr>
            <w:tcW w:w="891" w:type="dxa"/>
            <w:tcBorders/>
            <w:shd w:fill="CCEEFF" w:val="clear"/>
            <w:vAlign w:val="center"/>
          </w:tcPr>
          <w:p>
            <w:pPr>
              <w:pStyle w:val="TableContents"/>
              <w:bidi w:val="0"/>
              <w:spacing w:lineRule="auto" w:line="300" w:before="0" w:after="0"/>
              <w:jc w:val="right"/>
              <w:rPr/>
            </w:pPr>
            <w:r>
              <w:rPr/>
              <w:t>6,178</w:t>
            </w:r>
          </w:p>
        </w:tc>
        <w:tc>
          <w:tcPr>
            <w:tcW w:w="89"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jc w:val="left"/>
              <w:rPr/>
            </w:pPr>
            <w:r>
              <w:rPr/>
              <w:t> </w:t>
            </w:r>
          </w:p>
        </w:tc>
        <w:tc>
          <w:tcPr>
            <w:tcW w:w="974" w:type="dxa"/>
            <w:tcBorders/>
            <w:shd w:fill="CCEEFF" w:val="clear"/>
            <w:vAlign w:val="center"/>
          </w:tcPr>
          <w:p>
            <w:pPr>
              <w:pStyle w:val="TableContents"/>
              <w:bidi w:val="0"/>
              <w:spacing w:lineRule="auto" w:line="300" w:before="0" w:after="0"/>
              <w:jc w:val="right"/>
              <w:rPr/>
            </w:pPr>
            <w:r>
              <w:rPr/>
              <w:t>11,375</w:t>
            </w:r>
          </w:p>
        </w:tc>
        <w:tc>
          <w:tcPr>
            <w:tcW w:w="95" w:type="dxa"/>
            <w:tcBorders/>
            <w:shd w:fill="CCEEFF" w:val="clear"/>
            <w:vAlign w:val="center"/>
          </w:tcPr>
          <w:p>
            <w:pPr>
              <w:pStyle w:val="TableContents"/>
              <w:bidi w:val="0"/>
              <w:spacing w:before="0" w:after="283"/>
              <w:jc w:val="left"/>
              <w:rPr/>
            </w:pPr>
            <w:r>
              <w:rPr/>
              <w:t> </w:t>
            </w:r>
          </w:p>
        </w:tc>
      </w:tr>
      <w:tr>
        <w:trPr/>
        <w:tc>
          <w:tcPr>
            <w:tcW w:w="3350" w:type="dxa"/>
            <w:tcBorders/>
            <w:vAlign w:val="center"/>
          </w:tcPr>
          <w:p>
            <w:pPr>
              <w:pStyle w:val="TableContents"/>
              <w:bidi w:val="0"/>
              <w:spacing w:lineRule="auto" w:line="300" w:before="0" w:after="0"/>
              <w:ind w:left="120" w:right="0" w:hanging="0"/>
              <w:jc w:val="left"/>
              <w:rPr>
                <w:rFonts w:ascii="Times New Roman;Times;serif" w:hAnsi="Times New Roman;Times;serif"/>
                <w:sz w:val="20"/>
              </w:rPr>
            </w:pPr>
            <w:r>
              <w:rPr>
                <w:rFonts w:ascii="Times New Roman;Times;serif" w:hAnsi="Times New Roman;Times;serif"/>
                <w:sz w:val="20"/>
              </w:rPr>
              <w:t>Depreciation and amortization</w:t>
            </w:r>
          </w:p>
        </w:tc>
        <w:tc>
          <w:tcPr>
            <w:tcW w:w="60" w:type="dxa"/>
            <w:tcBorders/>
            <w:vAlign w:val="center"/>
          </w:tcPr>
          <w:p>
            <w:pPr>
              <w:pStyle w:val="TableContents"/>
              <w:bidi w:val="0"/>
              <w:spacing w:before="0" w:after="283"/>
              <w:jc w:val="left"/>
              <w:rPr/>
            </w:pPr>
            <w:r>
              <w:rPr/>
              <w:t> </w:t>
            </w:r>
          </w:p>
        </w:tc>
        <w:tc>
          <w:tcPr>
            <w:tcW w:w="153" w:type="dxa"/>
            <w:tcBorders/>
            <w:vAlign w:val="center"/>
          </w:tcPr>
          <w:p>
            <w:pPr>
              <w:pStyle w:val="TableContents"/>
              <w:bidi w:val="0"/>
              <w:spacing w:before="0" w:after="283"/>
              <w:jc w:val="left"/>
              <w:rPr/>
            </w:pPr>
            <w:r>
              <w:rPr/>
              <w:t> </w:t>
            </w:r>
          </w:p>
        </w:tc>
        <w:tc>
          <w:tcPr>
            <w:tcW w:w="984" w:type="dxa"/>
            <w:tcBorders/>
            <w:vAlign w:val="center"/>
          </w:tcPr>
          <w:p>
            <w:pPr>
              <w:pStyle w:val="TableContents"/>
              <w:bidi w:val="0"/>
              <w:spacing w:lineRule="auto" w:line="300" w:before="0" w:after="0"/>
              <w:jc w:val="right"/>
              <w:rPr/>
            </w:pPr>
            <w:r>
              <w:rPr/>
              <w:t>5,746</w:t>
            </w:r>
          </w:p>
        </w:tc>
        <w:tc>
          <w:tcPr>
            <w:tcW w:w="98" w:type="dxa"/>
            <w:tcBorders/>
            <w:vAlign w:val="center"/>
          </w:tcPr>
          <w:p>
            <w:pPr>
              <w:pStyle w:val="TableContents"/>
              <w:bidi w:val="0"/>
              <w:spacing w:before="0" w:after="283"/>
              <w:jc w:val="left"/>
              <w:rPr/>
            </w:pPr>
            <w:r>
              <w:rPr/>
              <w:t> </w:t>
            </w:r>
          </w:p>
        </w:tc>
        <w:tc>
          <w:tcPr>
            <w:tcW w:w="73" w:type="dxa"/>
            <w:tcBorders/>
            <w:vAlign w:val="center"/>
          </w:tcPr>
          <w:p>
            <w:pPr>
              <w:pStyle w:val="TableContents"/>
              <w:bidi w:val="0"/>
              <w:spacing w:before="0" w:after="283"/>
              <w:jc w:val="left"/>
              <w:rPr/>
            </w:pPr>
            <w:r>
              <w:rPr/>
              <w:t> </w:t>
            </w:r>
          </w:p>
        </w:tc>
        <w:tc>
          <w:tcPr>
            <w:tcW w:w="153" w:type="dxa"/>
            <w:tcBorders/>
            <w:vAlign w:val="center"/>
          </w:tcPr>
          <w:p>
            <w:pPr>
              <w:pStyle w:val="TableContents"/>
              <w:bidi w:val="0"/>
              <w:spacing w:before="0" w:after="283"/>
              <w:jc w:val="left"/>
              <w:rPr/>
            </w:pPr>
            <w:r>
              <w:rPr/>
              <w:t> </w:t>
            </w:r>
          </w:p>
        </w:tc>
        <w:tc>
          <w:tcPr>
            <w:tcW w:w="1076" w:type="dxa"/>
            <w:tcBorders/>
            <w:vAlign w:val="center"/>
          </w:tcPr>
          <w:p>
            <w:pPr>
              <w:pStyle w:val="TableContents"/>
              <w:bidi w:val="0"/>
              <w:spacing w:lineRule="auto" w:line="300" w:before="0" w:after="0"/>
              <w:jc w:val="right"/>
              <w:rPr/>
            </w:pPr>
            <w:r>
              <w:rPr/>
              <w:t>16,028</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9" w:type="dxa"/>
            <w:tcBorders/>
            <w:vAlign w:val="center"/>
          </w:tcPr>
          <w:p>
            <w:pPr>
              <w:pStyle w:val="TableContents"/>
              <w:bidi w:val="0"/>
              <w:spacing w:before="0" w:after="283"/>
              <w:jc w:val="left"/>
              <w:rPr/>
            </w:pPr>
            <w:r>
              <w:rPr/>
              <w:t> </w:t>
            </w:r>
          </w:p>
        </w:tc>
        <w:tc>
          <w:tcPr>
            <w:tcW w:w="891" w:type="dxa"/>
            <w:tcBorders/>
            <w:vAlign w:val="center"/>
          </w:tcPr>
          <w:p>
            <w:pPr>
              <w:pStyle w:val="TableContents"/>
              <w:bidi w:val="0"/>
              <w:spacing w:lineRule="auto" w:line="300" w:before="0" w:after="0"/>
              <w:jc w:val="right"/>
              <w:rPr/>
            </w:pPr>
            <w:r>
              <w:rPr/>
              <w:t>11,687</w:t>
            </w:r>
          </w:p>
        </w:tc>
        <w:tc>
          <w:tcPr>
            <w:tcW w:w="89" w:type="dxa"/>
            <w:tcBorders/>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283"/>
              <w:jc w:val="left"/>
              <w:rPr/>
            </w:pPr>
            <w:r>
              <w:rPr/>
              <w:t> </w:t>
            </w:r>
          </w:p>
        </w:tc>
        <w:tc>
          <w:tcPr>
            <w:tcW w:w="139" w:type="dxa"/>
            <w:tcBorders/>
            <w:vAlign w:val="center"/>
          </w:tcPr>
          <w:p>
            <w:pPr>
              <w:pStyle w:val="TableContents"/>
              <w:bidi w:val="0"/>
              <w:spacing w:before="0" w:after="283"/>
              <w:jc w:val="left"/>
              <w:rPr/>
            </w:pPr>
            <w:r>
              <w:rPr/>
              <w:t> </w:t>
            </w:r>
          </w:p>
        </w:tc>
        <w:tc>
          <w:tcPr>
            <w:tcW w:w="974" w:type="dxa"/>
            <w:tcBorders/>
            <w:vAlign w:val="center"/>
          </w:tcPr>
          <w:p>
            <w:pPr>
              <w:pStyle w:val="TableContents"/>
              <w:bidi w:val="0"/>
              <w:spacing w:lineRule="auto" w:line="300" w:before="0" w:after="0"/>
              <w:jc w:val="right"/>
              <w:rPr/>
            </w:pPr>
            <w:r>
              <w:rPr/>
              <w:t>29,131</w:t>
            </w:r>
          </w:p>
        </w:tc>
        <w:tc>
          <w:tcPr>
            <w:tcW w:w="95" w:type="dxa"/>
            <w:tcBorders/>
            <w:vAlign w:val="center"/>
          </w:tcPr>
          <w:p>
            <w:pPr>
              <w:pStyle w:val="TableContents"/>
              <w:bidi w:val="0"/>
              <w:spacing w:before="0" w:after="283"/>
              <w:jc w:val="left"/>
              <w:rPr/>
            </w:pPr>
            <w:r>
              <w:rPr/>
              <w:t> </w:t>
            </w:r>
          </w:p>
        </w:tc>
      </w:tr>
      <w:tr>
        <w:trPr/>
        <w:tc>
          <w:tcPr>
            <w:tcW w:w="3350" w:type="dxa"/>
            <w:tcBorders/>
            <w:shd w:fill="CCEEFF" w:val="clear"/>
            <w:vAlign w:val="center"/>
          </w:tcPr>
          <w:p>
            <w:pPr>
              <w:pStyle w:val="TableContents"/>
              <w:bidi w:val="0"/>
              <w:spacing w:lineRule="auto" w:line="300" w:before="0" w:after="0"/>
              <w:ind w:left="120" w:right="0" w:hanging="0"/>
              <w:jc w:val="left"/>
              <w:rPr>
                <w:rFonts w:ascii="Times New Roman;Times;serif" w:hAnsi="Times New Roman;Times;serif"/>
                <w:sz w:val="20"/>
              </w:rPr>
            </w:pPr>
            <w:r>
              <w:rPr>
                <w:rFonts w:ascii="Times New Roman;Times;serif" w:hAnsi="Times New Roman;Times;serif"/>
                <w:sz w:val="20"/>
              </w:rPr>
              <w:t>Directly related overhead costs</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984" w:type="dxa"/>
            <w:tcBorders/>
            <w:shd w:fill="CCEEFF" w:val="clear"/>
            <w:vAlign w:val="center"/>
          </w:tcPr>
          <w:p>
            <w:pPr>
              <w:pStyle w:val="TableContents"/>
              <w:bidi w:val="0"/>
              <w:spacing w:lineRule="auto" w:line="300" w:before="0" w:after="0"/>
              <w:jc w:val="right"/>
              <w:rPr/>
            </w:pPr>
            <w:r>
              <w:rPr/>
              <w:t>16,982</w:t>
            </w:r>
          </w:p>
        </w:tc>
        <w:tc>
          <w:tcPr>
            <w:tcW w:w="98"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1076" w:type="dxa"/>
            <w:tcBorders/>
            <w:shd w:fill="CCEEFF" w:val="clear"/>
            <w:vAlign w:val="center"/>
          </w:tcPr>
          <w:p>
            <w:pPr>
              <w:pStyle w:val="TableContents"/>
              <w:bidi w:val="0"/>
              <w:spacing w:lineRule="auto" w:line="300" w:before="0" w:after="0"/>
              <w:jc w:val="right"/>
              <w:rPr/>
            </w:pPr>
            <w:r>
              <w:rPr/>
              <w:t>14,945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jc w:val="left"/>
              <w:rPr/>
            </w:pPr>
            <w:r>
              <w:rPr/>
              <w:t> </w:t>
            </w:r>
          </w:p>
        </w:tc>
        <w:tc>
          <w:tcPr>
            <w:tcW w:w="891" w:type="dxa"/>
            <w:tcBorders/>
            <w:shd w:fill="CCEEFF" w:val="clear"/>
            <w:vAlign w:val="center"/>
          </w:tcPr>
          <w:p>
            <w:pPr>
              <w:pStyle w:val="TableContents"/>
              <w:bidi w:val="0"/>
              <w:spacing w:lineRule="auto" w:line="300" w:before="0" w:after="0"/>
              <w:jc w:val="right"/>
              <w:rPr/>
            </w:pPr>
            <w:r>
              <w:rPr/>
              <w:t>31,807</w:t>
            </w:r>
          </w:p>
        </w:tc>
        <w:tc>
          <w:tcPr>
            <w:tcW w:w="89"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jc w:val="left"/>
              <w:rPr/>
            </w:pPr>
            <w:r>
              <w:rPr/>
              <w:t> </w:t>
            </w:r>
          </w:p>
        </w:tc>
        <w:tc>
          <w:tcPr>
            <w:tcW w:w="974" w:type="dxa"/>
            <w:tcBorders/>
            <w:shd w:fill="CCEEFF" w:val="clear"/>
            <w:vAlign w:val="center"/>
          </w:tcPr>
          <w:p>
            <w:pPr>
              <w:pStyle w:val="TableContents"/>
              <w:bidi w:val="0"/>
              <w:spacing w:lineRule="auto" w:line="300" w:before="0" w:after="0"/>
              <w:jc w:val="right"/>
              <w:rPr/>
            </w:pPr>
            <w:r>
              <w:rPr/>
              <w:t>26,633</w:t>
            </w:r>
          </w:p>
        </w:tc>
        <w:tc>
          <w:tcPr>
            <w:tcW w:w="95" w:type="dxa"/>
            <w:tcBorders/>
            <w:shd w:fill="CCEEFF" w:val="clear"/>
            <w:vAlign w:val="center"/>
          </w:tcPr>
          <w:p>
            <w:pPr>
              <w:pStyle w:val="TableContents"/>
              <w:bidi w:val="0"/>
              <w:spacing w:before="0" w:after="283"/>
              <w:jc w:val="left"/>
              <w:rPr/>
            </w:pPr>
            <w:r>
              <w:rPr/>
              <w:t> </w:t>
            </w:r>
          </w:p>
        </w:tc>
      </w:tr>
      <w:tr>
        <w:trPr/>
        <w:tc>
          <w:tcPr>
            <w:tcW w:w="3350" w:type="dxa"/>
            <w:tcBorders/>
            <w:vAlign w:val="center"/>
          </w:tcPr>
          <w:p>
            <w:pPr>
              <w:pStyle w:val="TableContents"/>
              <w:bidi w:val="0"/>
              <w:spacing w:lineRule="auto" w:line="240" w:before="0" w:after="0"/>
              <w:ind w:left="120" w:right="0" w:hanging="0"/>
              <w:jc w:val="left"/>
              <w:rPr>
                <w:rFonts w:ascii="Times New Roman;Times;serif" w:hAnsi="Times New Roman;Times;serif"/>
                <w:sz w:val="20"/>
              </w:rPr>
            </w:pPr>
            <w:r>
              <w:rPr>
                <w:rFonts w:ascii="Times New Roman;Times;serif" w:hAnsi="Times New Roman;Times;serif"/>
                <w:sz w:val="20"/>
              </w:rPr>
              <w:t>Other2</w:t>
            </w:r>
          </w:p>
        </w:tc>
        <w:tc>
          <w:tcPr>
            <w:tcW w:w="60" w:type="dxa"/>
            <w:tcBorders/>
            <w:vAlign w:val="center"/>
          </w:tcPr>
          <w:p>
            <w:pPr>
              <w:pStyle w:val="TableContents"/>
              <w:bidi w:val="0"/>
              <w:spacing w:before="0" w:after="283"/>
              <w:jc w:val="left"/>
              <w:rPr/>
            </w:pPr>
            <w:r>
              <w:rPr/>
              <w:t> </w:t>
            </w:r>
          </w:p>
        </w:tc>
        <w:tc>
          <w:tcPr>
            <w:tcW w:w="153" w:type="dxa"/>
            <w:tcBorders/>
            <w:vAlign w:val="center"/>
          </w:tcPr>
          <w:p>
            <w:pPr>
              <w:pStyle w:val="TableContents"/>
              <w:bidi w:val="0"/>
              <w:spacing w:before="0" w:after="283"/>
              <w:jc w:val="left"/>
              <w:rPr/>
            </w:pPr>
            <w:r>
              <w:rPr/>
              <w:t> </w:t>
            </w:r>
          </w:p>
        </w:tc>
        <w:tc>
          <w:tcPr>
            <w:tcW w:w="984" w:type="dxa"/>
            <w:tcBorders/>
            <w:vAlign w:val="center"/>
          </w:tcPr>
          <w:p>
            <w:pPr>
              <w:pStyle w:val="TableContents"/>
              <w:bidi w:val="0"/>
              <w:spacing w:lineRule="auto" w:line="300" w:before="0" w:after="0"/>
              <w:jc w:val="right"/>
              <w:rPr/>
            </w:pPr>
            <w:r>
              <w:rPr/>
              <w:t>17,710</w:t>
            </w:r>
          </w:p>
        </w:tc>
        <w:tc>
          <w:tcPr>
            <w:tcW w:w="98" w:type="dxa"/>
            <w:tcBorders/>
            <w:vAlign w:val="center"/>
          </w:tcPr>
          <w:p>
            <w:pPr>
              <w:pStyle w:val="TableContents"/>
              <w:bidi w:val="0"/>
              <w:spacing w:before="0" w:after="283"/>
              <w:jc w:val="left"/>
              <w:rPr/>
            </w:pPr>
            <w:r>
              <w:rPr/>
              <w:t> </w:t>
            </w:r>
          </w:p>
        </w:tc>
        <w:tc>
          <w:tcPr>
            <w:tcW w:w="73" w:type="dxa"/>
            <w:tcBorders/>
            <w:vAlign w:val="center"/>
          </w:tcPr>
          <w:p>
            <w:pPr>
              <w:pStyle w:val="TableContents"/>
              <w:bidi w:val="0"/>
              <w:spacing w:before="0" w:after="283"/>
              <w:jc w:val="left"/>
              <w:rPr/>
            </w:pPr>
            <w:r>
              <w:rPr/>
              <w:t> </w:t>
            </w:r>
          </w:p>
        </w:tc>
        <w:tc>
          <w:tcPr>
            <w:tcW w:w="153" w:type="dxa"/>
            <w:tcBorders/>
            <w:vAlign w:val="center"/>
          </w:tcPr>
          <w:p>
            <w:pPr>
              <w:pStyle w:val="TableContents"/>
              <w:bidi w:val="0"/>
              <w:spacing w:before="0" w:after="283"/>
              <w:jc w:val="left"/>
              <w:rPr/>
            </w:pPr>
            <w:r>
              <w:rPr/>
              <w:t> </w:t>
            </w:r>
          </w:p>
        </w:tc>
        <w:tc>
          <w:tcPr>
            <w:tcW w:w="1076" w:type="dxa"/>
            <w:tcBorders/>
            <w:vAlign w:val="center"/>
          </w:tcPr>
          <w:p>
            <w:pPr>
              <w:pStyle w:val="TableContents"/>
              <w:bidi w:val="0"/>
              <w:spacing w:lineRule="auto" w:line="300" w:before="0" w:after="0"/>
              <w:jc w:val="right"/>
              <w:rPr/>
            </w:pPr>
            <w:r>
              <w:rPr/>
              <w:t>77,570</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9" w:type="dxa"/>
            <w:tcBorders/>
            <w:vAlign w:val="center"/>
          </w:tcPr>
          <w:p>
            <w:pPr>
              <w:pStyle w:val="TableContents"/>
              <w:bidi w:val="0"/>
              <w:spacing w:before="0" w:after="283"/>
              <w:jc w:val="left"/>
              <w:rPr/>
            </w:pPr>
            <w:r>
              <w:rPr/>
              <w:t> </w:t>
            </w:r>
          </w:p>
        </w:tc>
        <w:tc>
          <w:tcPr>
            <w:tcW w:w="891" w:type="dxa"/>
            <w:tcBorders/>
            <w:vAlign w:val="center"/>
          </w:tcPr>
          <w:p>
            <w:pPr>
              <w:pStyle w:val="TableContents"/>
              <w:bidi w:val="0"/>
              <w:spacing w:lineRule="auto" w:line="300" w:before="0" w:after="0"/>
              <w:jc w:val="right"/>
              <w:rPr/>
            </w:pPr>
            <w:r>
              <w:rPr/>
              <w:t>55,008</w:t>
            </w:r>
          </w:p>
        </w:tc>
        <w:tc>
          <w:tcPr>
            <w:tcW w:w="89" w:type="dxa"/>
            <w:tcBorders/>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283"/>
              <w:jc w:val="left"/>
              <w:rPr/>
            </w:pPr>
            <w:r>
              <w:rPr/>
              <w:t> </w:t>
            </w:r>
          </w:p>
        </w:tc>
        <w:tc>
          <w:tcPr>
            <w:tcW w:w="139" w:type="dxa"/>
            <w:tcBorders/>
            <w:vAlign w:val="center"/>
          </w:tcPr>
          <w:p>
            <w:pPr>
              <w:pStyle w:val="TableContents"/>
              <w:bidi w:val="0"/>
              <w:spacing w:before="0" w:after="283"/>
              <w:jc w:val="left"/>
              <w:rPr/>
            </w:pPr>
            <w:r>
              <w:rPr/>
              <w:t> </w:t>
            </w:r>
          </w:p>
        </w:tc>
        <w:tc>
          <w:tcPr>
            <w:tcW w:w="974" w:type="dxa"/>
            <w:tcBorders/>
            <w:vAlign w:val="center"/>
          </w:tcPr>
          <w:p>
            <w:pPr>
              <w:pStyle w:val="TableContents"/>
              <w:bidi w:val="0"/>
              <w:spacing w:lineRule="auto" w:line="300" w:before="0" w:after="0"/>
              <w:jc w:val="right"/>
              <w:rPr/>
            </w:pPr>
            <w:r>
              <w:rPr/>
              <w:t>108,856</w:t>
            </w:r>
          </w:p>
        </w:tc>
        <w:tc>
          <w:tcPr>
            <w:tcW w:w="95" w:type="dxa"/>
            <w:tcBorders/>
            <w:vAlign w:val="center"/>
          </w:tcPr>
          <w:p>
            <w:pPr>
              <w:pStyle w:val="TableContents"/>
              <w:bidi w:val="0"/>
              <w:spacing w:before="0" w:after="283"/>
              <w:jc w:val="left"/>
              <w:rPr/>
            </w:pPr>
            <w:r>
              <w:rPr/>
              <w:t> </w:t>
            </w:r>
          </w:p>
        </w:tc>
      </w:tr>
      <w:tr>
        <w:trPr/>
        <w:tc>
          <w:tcPr>
            <w:tcW w:w="3350" w:type="dxa"/>
            <w:tcBorders/>
            <w:shd w:fill="CCEEFF" w:val="clear"/>
            <w:vAlign w:val="center"/>
          </w:tcPr>
          <w:p>
            <w:pPr>
              <w:pStyle w:val="TableContents"/>
              <w:bidi w:val="0"/>
              <w:spacing w:lineRule="auto" w:line="300" w:before="0" w:after="0"/>
              <w:ind w:left="120" w:right="0" w:hanging="0"/>
              <w:jc w:val="left"/>
              <w:rPr>
                <w:rFonts w:ascii="Times New Roman;Times;serif" w:hAnsi="Times New Roman;Times;serif"/>
                <w:sz w:val="20"/>
              </w:rPr>
            </w:pPr>
            <w:r>
              <w:rPr>
                <w:rFonts w:ascii="Times New Roman;Times;serif" w:hAnsi="Times New Roman;Times;serif"/>
                <w:sz w:val="20"/>
              </w:rPr>
              <w:t>Financial (income) expense, net</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984" w:type="dxa"/>
            <w:tcBorders/>
            <w:shd w:fill="CCEEFF" w:val="clear"/>
            <w:vAlign w:val="center"/>
          </w:tcPr>
          <w:p>
            <w:pPr>
              <w:pStyle w:val="TableContents"/>
              <w:bidi w:val="0"/>
              <w:spacing w:lineRule="auto" w:line="300" w:before="0" w:after="0"/>
              <w:jc w:val="right"/>
              <w:rPr/>
            </w:pPr>
            <w:r>
              <w:rPr/>
              <w:t>12,378</w:t>
            </w:r>
          </w:p>
        </w:tc>
        <w:tc>
          <w:tcPr>
            <w:tcW w:w="98"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1076" w:type="dxa"/>
            <w:tcBorders/>
            <w:shd w:fill="CCEEFF" w:val="clear"/>
            <w:vAlign w:val="center"/>
          </w:tcPr>
          <w:p>
            <w:pPr>
              <w:pStyle w:val="TableContents"/>
              <w:bidi w:val="0"/>
              <w:spacing w:lineRule="auto" w:line="300" w:before="0" w:after="0"/>
              <w:jc w:val="right"/>
              <w:rPr/>
            </w:pPr>
            <w:r>
              <w:rPr/>
              <w:t>7,323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jc w:val="left"/>
              <w:rPr/>
            </w:pPr>
            <w:r>
              <w:rPr/>
              <w:t> </w:t>
            </w:r>
          </w:p>
        </w:tc>
        <w:tc>
          <w:tcPr>
            <w:tcW w:w="891" w:type="dxa"/>
            <w:tcBorders/>
            <w:shd w:fill="CCEEFF" w:val="clear"/>
            <w:vAlign w:val="center"/>
          </w:tcPr>
          <w:p>
            <w:pPr>
              <w:pStyle w:val="TableContents"/>
              <w:bidi w:val="0"/>
              <w:spacing w:lineRule="auto" w:line="300" w:before="0" w:after="0"/>
              <w:jc w:val="right"/>
              <w:rPr/>
            </w:pPr>
            <w:r>
              <w:rPr/>
              <w:t>13,415</w:t>
            </w:r>
          </w:p>
        </w:tc>
        <w:tc>
          <w:tcPr>
            <w:tcW w:w="89"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jc w:val="left"/>
              <w:rPr/>
            </w:pPr>
            <w:r>
              <w:rPr/>
              <w:t> </w:t>
            </w:r>
          </w:p>
        </w:tc>
        <w:tc>
          <w:tcPr>
            <w:tcW w:w="974" w:type="dxa"/>
            <w:tcBorders/>
            <w:shd w:fill="CCEEFF" w:val="clear"/>
            <w:vAlign w:val="center"/>
          </w:tcPr>
          <w:p>
            <w:pPr>
              <w:pStyle w:val="TableContents"/>
              <w:bidi w:val="0"/>
              <w:spacing w:lineRule="auto" w:line="300" w:before="0" w:after="0"/>
              <w:jc w:val="right"/>
              <w:rPr/>
            </w:pPr>
            <w:r>
              <w:rPr/>
              <w:t>(2,745</w:t>
            </w:r>
          </w:p>
        </w:tc>
        <w:tc>
          <w:tcPr>
            <w:tcW w:w="95"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r>
      <w:tr>
        <w:trPr/>
        <w:tc>
          <w:tcPr>
            <w:tcW w:w="3350" w:type="dxa"/>
            <w:tcBorders/>
            <w:vAlign w:val="center"/>
          </w:tcPr>
          <w:p>
            <w:pPr>
              <w:pStyle w:val="TableContents"/>
              <w:bidi w:val="0"/>
              <w:spacing w:lineRule="auto" w:line="300" w:before="0" w:after="0"/>
              <w:ind w:left="120" w:right="0" w:hanging="0"/>
              <w:jc w:val="left"/>
              <w:rPr>
                <w:rFonts w:ascii="Times New Roman;Times;serif" w:hAnsi="Times New Roman;Times;serif"/>
                <w:sz w:val="20"/>
              </w:rPr>
            </w:pPr>
            <w:r>
              <w:rPr>
                <w:rFonts w:ascii="Times New Roman;Times;serif" w:hAnsi="Times New Roman;Times;serif"/>
                <w:sz w:val="20"/>
              </w:rPr>
              <w:t>Income taxes</w:t>
            </w:r>
          </w:p>
        </w:tc>
        <w:tc>
          <w:tcPr>
            <w:tcW w:w="60" w:type="dxa"/>
            <w:tcBorders/>
            <w:vAlign w:val="center"/>
          </w:tcPr>
          <w:p>
            <w:pPr>
              <w:pStyle w:val="TableContents"/>
              <w:bidi w:val="0"/>
              <w:spacing w:before="0" w:after="283"/>
              <w:jc w:val="left"/>
              <w:rPr/>
            </w:pPr>
            <w:r>
              <w:rPr/>
              <w:t> </w:t>
            </w:r>
          </w:p>
        </w:tc>
        <w:tc>
          <w:tcPr>
            <w:tcW w:w="153" w:type="dxa"/>
            <w:tcBorders/>
            <w:vAlign w:val="center"/>
          </w:tcPr>
          <w:p>
            <w:pPr>
              <w:pStyle w:val="TableContents"/>
              <w:bidi w:val="0"/>
              <w:spacing w:before="0" w:after="283"/>
              <w:jc w:val="left"/>
              <w:rPr/>
            </w:pPr>
            <w:r>
              <w:rPr/>
              <w:t> </w:t>
            </w:r>
          </w:p>
        </w:tc>
        <w:tc>
          <w:tcPr>
            <w:tcW w:w="984" w:type="dxa"/>
            <w:tcBorders/>
            <w:vAlign w:val="center"/>
          </w:tcPr>
          <w:p>
            <w:pPr>
              <w:pStyle w:val="TableContents"/>
              <w:bidi w:val="0"/>
              <w:spacing w:lineRule="auto" w:line="300" w:before="0" w:after="0"/>
              <w:jc w:val="right"/>
              <w:rPr/>
            </w:pPr>
            <w:r>
              <w:rPr/>
              <w:t>2,329</w:t>
            </w:r>
          </w:p>
        </w:tc>
        <w:tc>
          <w:tcPr>
            <w:tcW w:w="98" w:type="dxa"/>
            <w:tcBorders/>
            <w:vAlign w:val="center"/>
          </w:tcPr>
          <w:p>
            <w:pPr>
              <w:pStyle w:val="TableContents"/>
              <w:bidi w:val="0"/>
              <w:spacing w:before="0" w:after="283"/>
              <w:jc w:val="left"/>
              <w:rPr/>
            </w:pPr>
            <w:r>
              <w:rPr/>
              <w:t> </w:t>
            </w:r>
          </w:p>
        </w:tc>
        <w:tc>
          <w:tcPr>
            <w:tcW w:w="73" w:type="dxa"/>
            <w:tcBorders/>
            <w:vAlign w:val="center"/>
          </w:tcPr>
          <w:p>
            <w:pPr>
              <w:pStyle w:val="TableContents"/>
              <w:bidi w:val="0"/>
              <w:spacing w:before="0" w:after="283"/>
              <w:jc w:val="left"/>
              <w:rPr/>
            </w:pPr>
            <w:r>
              <w:rPr/>
              <w:t> </w:t>
            </w:r>
          </w:p>
        </w:tc>
        <w:tc>
          <w:tcPr>
            <w:tcW w:w="153" w:type="dxa"/>
            <w:tcBorders/>
            <w:vAlign w:val="center"/>
          </w:tcPr>
          <w:p>
            <w:pPr>
              <w:pStyle w:val="TableContents"/>
              <w:bidi w:val="0"/>
              <w:spacing w:before="0" w:after="283"/>
              <w:jc w:val="left"/>
              <w:rPr/>
            </w:pPr>
            <w:r>
              <w:rPr/>
              <w:t> </w:t>
            </w:r>
          </w:p>
        </w:tc>
        <w:tc>
          <w:tcPr>
            <w:tcW w:w="1076" w:type="dxa"/>
            <w:tcBorders/>
            <w:vAlign w:val="center"/>
          </w:tcPr>
          <w:p>
            <w:pPr>
              <w:pStyle w:val="TableContents"/>
              <w:bidi w:val="0"/>
              <w:spacing w:lineRule="auto" w:line="300" w:before="0" w:after="0"/>
              <w:jc w:val="right"/>
              <w:rPr/>
            </w:pPr>
            <w:r>
              <w:rPr/>
              <w:t>5,657</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9" w:type="dxa"/>
            <w:tcBorders/>
            <w:vAlign w:val="center"/>
          </w:tcPr>
          <w:p>
            <w:pPr>
              <w:pStyle w:val="TableContents"/>
              <w:bidi w:val="0"/>
              <w:spacing w:before="0" w:after="283"/>
              <w:jc w:val="left"/>
              <w:rPr/>
            </w:pPr>
            <w:r>
              <w:rPr/>
              <w:t> </w:t>
            </w:r>
          </w:p>
        </w:tc>
        <w:tc>
          <w:tcPr>
            <w:tcW w:w="891" w:type="dxa"/>
            <w:tcBorders/>
            <w:vAlign w:val="center"/>
          </w:tcPr>
          <w:p>
            <w:pPr>
              <w:pStyle w:val="TableContents"/>
              <w:bidi w:val="0"/>
              <w:spacing w:lineRule="auto" w:line="300" w:before="0" w:after="0"/>
              <w:jc w:val="right"/>
              <w:rPr/>
            </w:pPr>
            <w:r>
              <w:rPr/>
              <w:t>3,615</w:t>
            </w:r>
          </w:p>
        </w:tc>
        <w:tc>
          <w:tcPr>
            <w:tcW w:w="89" w:type="dxa"/>
            <w:tcBorders/>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283"/>
              <w:jc w:val="left"/>
              <w:rPr/>
            </w:pPr>
            <w:r>
              <w:rPr/>
              <w:t> </w:t>
            </w:r>
          </w:p>
        </w:tc>
        <w:tc>
          <w:tcPr>
            <w:tcW w:w="139" w:type="dxa"/>
            <w:tcBorders/>
            <w:vAlign w:val="center"/>
          </w:tcPr>
          <w:p>
            <w:pPr>
              <w:pStyle w:val="TableContents"/>
              <w:bidi w:val="0"/>
              <w:spacing w:before="0" w:after="283"/>
              <w:jc w:val="left"/>
              <w:rPr/>
            </w:pPr>
            <w:r>
              <w:rPr/>
              <w:t> </w:t>
            </w:r>
          </w:p>
        </w:tc>
        <w:tc>
          <w:tcPr>
            <w:tcW w:w="974" w:type="dxa"/>
            <w:tcBorders/>
            <w:vAlign w:val="center"/>
          </w:tcPr>
          <w:p>
            <w:pPr>
              <w:pStyle w:val="TableContents"/>
              <w:bidi w:val="0"/>
              <w:spacing w:lineRule="auto" w:line="300" w:before="0" w:after="0"/>
              <w:jc w:val="right"/>
              <w:rPr/>
            </w:pPr>
            <w:r>
              <w:rPr/>
              <w:t>11,383</w:t>
            </w:r>
          </w:p>
        </w:tc>
        <w:tc>
          <w:tcPr>
            <w:tcW w:w="95" w:type="dxa"/>
            <w:tcBorders/>
            <w:vAlign w:val="center"/>
          </w:tcPr>
          <w:p>
            <w:pPr>
              <w:pStyle w:val="TableContents"/>
              <w:bidi w:val="0"/>
              <w:spacing w:before="0" w:after="283"/>
              <w:jc w:val="left"/>
              <w:rPr/>
            </w:pPr>
            <w:r>
              <w:rPr/>
              <w:t> </w:t>
            </w:r>
          </w:p>
        </w:tc>
      </w:tr>
      <w:tr>
        <w:trPr/>
        <w:tc>
          <w:tcPr>
            <w:tcW w:w="3350" w:type="dxa"/>
            <w:tcBorders/>
            <w:shd w:fill="CCEEFF" w:val="clear"/>
            <w:vAlign w:val="center"/>
          </w:tcPr>
          <w:p>
            <w:pPr>
              <w:pStyle w:val="TableContents"/>
              <w:bidi w:val="0"/>
              <w:spacing w:lineRule="auto" w:line="300" w:before="0" w:after="0"/>
              <w:ind w:left="120" w:right="0" w:hanging="0"/>
              <w:jc w:val="left"/>
              <w:rPr>
                <w:rFonts w:ascii="Times New Roman;Times;serif" w:hAnsi="Times New Roman;Times;serif"/>
                <w:sz w:val="20"/>
              </w:rPr>
            </w:pPr>
            <w:r>
              <w:rPr>
                <w:rFonts w:ascii="Times New Roman;Times;serif" w:hAnsi="Times New Roman;Times;serif"/>
                <w:sz w:val="20"/>
              </w:rPr>
              <w:t>Net loss from equity method investments</w:t>
            </w:r>
          </w:p>
        </w:tc>
        <w:tc>
          <w:tcPr>
            <w:tcW w:w="60" w:type="dxa"/>
            <w:tcBorders/>
            <w:shd w:fill="CCEEFF" w:val="clear"/>
            <w:vAlign w:val="center"/>
          </w:tcPr>
          <w:p>
            <w:pPr>
              <w:pStyle w:val="TableContents"/>
              <w:bidi w:val="0"/>
              <w:spacing w:before="0" w:after="283"/>
              <w:jc w:val="left"/>
              <w:rPr/>
            </w:pPr>
            <w:r>
              <w:rPr/>
              <w:t> </w:t>
            </w:r>
          </w:p>
        </w:tc>
        <w:tc>
          <w:tcPr>
            <w:tcW w:w="15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4" w:type="dxa"/>
            <w:tcBorders>
              <w:bottom w:val="single" w:sz="12" w:space="0" w:color="000000"/>
            </w:tcBorders>
            <w:shd w:fill="CCEEFF" w:val="clear"/>
            <w:tcMar>
              <w:bottom w:w="28" w:type="dxa"/>
            </w:tcMar>
            <w:vAlign w:val="center"/>
          </w:tcPr>
          <w:p>
            <w:pPr>
              <w:pStyle w:val="TableContents"/>
              <w:bidi w:val="0"/>
              <w:spacing w:lineRule="auto" w:line="300" w:before="0" w:after="0"/>
              <w:jc w:val="right"/>
              <w:rPr/>
            </w:pPr>
            <w:r>
              <w:rPr/>
              <w:t>-</w:t>
            </w:r>
          </w:p>
        </w:tc>
        <w:tc>
          <w:tcPr>
            <w:tcW w:w="98"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5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76" w:type="dxa"/>
            <w:tcBorders>
              <w:bottom w:val="single" w:sz="12" w:space="0" w:color="000000"/>
            </w:tcBorders>
            <w:shd w:fill="CCEEFF" w:val="clear"/>
            <w:tcMar>
              <w:bottom w:w="28" w:type="dxa"/>
            </w:tcMar>
            <w:vAlign w:val="center"/>
          </w:tcPr>
          <w:p>
            <w:pPr>
              <w:pStyle w:val="TableContents"/>
              <w:bidi w:val="0"/>
              <w:spacing w:lineRule="auto" w:line="300" w:before="0" w:after="0"/>
              <w:jc w:val="right"/>
              <w:rPr/>
            </w:pPr>
            <w:r>
              <w:rPr/>
              <w:t>288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91" w:type="dxa"/>
            <w:tcBorders>
              <w:bottom w:val="single" w:sz="12" w:space="0" w:color="000000"/>
            </w:tcBorders>
            <w:shd w:fill="CCEEFF" w:val="clear"/>
            <w:tcMar>
              <w:bottom w:w="28" w:type="dxa"/>
            </w:tcMar>
            <w:vAlign w:val="center"/>
          </w:tcPr>
          <w:p>
            <w:pPr>
              <w:pStyle w:val="TableContents"/>
              <w:bidi w:val="0"/>
              <w:spacing w:lineRule="auto" w:line="300" w:before="0" w:after="0"/>
              <w:jc w:val="right"/>
              <w:rPr/>
            </w:pPr>
            <w:r>
              <w:rPr/>
              <w:t>-</w:t>
            </w:r>
          </w:p>
        </w:tc>
        <w:tc>
          <w:tcPr>
            <w:tcW w:w="89"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3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74" w:type="dxa"/>
            <w:tcBorders>
              <w:bottom w:val="single" w:sz="12" w:space="0" w:color="000000"/>
            </w:tcBorders>
            <w:shd w:fill="CCEEFF" w:val="clear"/>
            <w:tcMar>
              <w:bottom w:w="28" w:type="dxa"/>
            </w:tcMar>
            <w:vAlign w:val="center"/>
          </w:tcPr>
          <w:p>
            <w:pPr>
              <w:pStyle w:val="TableContents"/>
              <w:bidi w:val="0"/>
              <w:spacing w:lineRule="auto" w:line="300" w:before="0" w:after="0"/>
              <w:jc w:val="right"/>
              <w:rPr/>
            </w:pPr>
            <w:r>
              <w:rPr/>
              <w:t>575</w:t>
            </w:r>
          </w:p>
        </w:tc>
        <w:tc>
          <w:tcPr>
            <w:tcW w:w="95" w:type="dxa"/>
            <w:tcBorders/>
            <w:shd w:fill="CCEEFF" w:val="clear"/>
            <w:vAlign w:val="center"/>
          </w:tcPr>
          <w:p>
            <w:pPr>
              <w:pStyle w:val="TableContents"/>
              <w:bidi w:val="0"/>
              <w:spacing w:before="0" w:after="283"/>
              <w:jc w:val="left"/>
              <w:rPr/>
            </w:pPr>
            <w:r>
              <w:rPr/>
              <w:t> </w:t>
            </w:r>
          </w:p>
        </w:tc>
      </w:tr>
      <w:tr>
        <w:trPr/>
        <w:tc>
          <w:tcPr>
            <w:tcW w:w="3350"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Net loss</w:t>
            </w:r>
          </w:p>
        </w:tc>
        <w:tc>
          <w:tcPr>
            <w:tcW w:w="60" w:type="dxa"/>
            <w:tcBorders/>
            <w:vAlign w:val="center"/>
          </w:tcPr>
          <w:p>
            <w:pPr>
              <w:pStyle w:val="TableContents"/>
              <w:bidi w:val="0"/>
              <w:spacing w:before="0" w:after="283"/>
              <w:jc w:val="left"/>
              <w:rPr/>
            </w:pPr>
            <w:r>
              <w:rPr/>
              <w:t> </w:t>
            </w:r>
          </w:p>
        </w:tc>
        <w:tc>
          <w:tcPr>
            <w:tcW w:w="153" w:type="dxa"/>
            <w:tcBorders>
              <w:bottom w:val="double" w:sz="8" w:space="0" w:color="000000"/>
            </w:tcBorders>
            <w:tcMar>
              <w:bottom w:w="28" w:type="dxa"/>
            </w:tcM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984" w:type="dxa"/>
            <w:tcBorders>
              <w:bottom w:val="double" w:sz="8" w:space="0" w:color="000000"/>
            </w:tcBorders>
            <w:tcMar>
              <w:bottom w:w="28" w:type="dxa"/>
            </w:tcMar>
            <w:vAlign w:val="center"/>
          </w:tcPr>
          <w:p>
            <w:pPr>
              <w:pStyle w:val="TableContents"/>
              <w:bidi w:val="0"/>
              <w:spacing w:lineRule="auto" w:line="300" w:before="0" w:after="0"/>
              <w:jc w:val="right"/>
              <w:rPr/>
            </w:pPr>
            <w:r>
              <w:rPr/>
              <w:t>(30,753</w:t>
            </w:r>
          </w:p>
        </w:tc>
        <w:tc>
          <w:tcPr>
            <w:tcW w:w="98"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73" w:type="dxa"/>
            <w:tcBorders/>
            <w:vAlign w:val="center"/>
          </w:tcPr>
          <w:p>
            <w:pPr>
              <w:pStyle w:val="TableContents"/>
              <w:bidi w:val="0"/>
              <w:spacing w:before="0" w:after="283"/>
              <w:jc w:val="left"/>
              <w:rPr/>
            </w:pPr>
            <w:r>
              <w:rPr/>
              <w:t> </w:t>
            </w:r>
          </w:p>
        </w:tc>
        <w:tc>
          <w:tcPr>
            <w:tcW w:w="153" w:type="dxa"/>
            <w:tcBorders>
              <w:bottom w:val="double" w:sz="8" w:space="0" w:color="000000"/>
            </w:tcBorders>
            <w:tcMar>
              <w:bottom w:w="28" w:type="dxa"/>
            </w:tcM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1076" w:type="dxa"/>
            <w:tcBorders>
              <w:bottom w:val="double" w:sz="8" w:space="0" w:color="000000"/>
            </w:tcBorders>
            <w:tcMar>
              <w:bottom w:w="28" w:type="dxa"/>
            </w:tcMar>
            <w:vAlign w:val="center"/>
          </w:tcPr>
          <w:p>
            <w:pPr>
              <w:pStyle w:val="TableContents"/>
              <w:bidi w:val="0"/>
              <w:spacing w:lineRule="auto" w:line="300" w:before="0" w:after="0"/>
              <w:jc w:val="right"/>
              <w:rPr/>
            </w:pPr>
            <w:r>
              <w:rPr/>
              <w:t>(124,744</w:t>
            </w:r>
          </w:p>
        </w:tc>
        <w:tc>
          <w:tcPr>
            <w:tcW w:w="80"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vAlign w:val="center"/>
          </w:tcPr>
          <w:p>
            <w:pPr>
              <w:pStyle w:val="TableContents"/>
              <w:bidi w:val="0"/>
              <w:spacing w:before="0" w:after="283"/>
              <w:jc w:val="left"/>
              <w:rPr/>
            </w:pPr>
            <w:r>
              <w:rPr/>
              <w:t> </w:t>
            </w:r>
          </w:p>
        </w:tc>
        <w:tc>
          <w:tcPr>
            <w:tcW w:w="139" w:type="dxa"/>
            <w:tcBorders>
              <w:bottom w:val="double" w:sz="8" w:space="0" w:color="000000"/>
            </w:tcBorders>
            <w:tcMar>
              <w:bottom w:w="28" w:type="dxa"/>
            </w:tcM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891" w:type="dxa"/>
            <w:tcBorders>
              <w:bottom w:val="double" w:sz="8" w:space="0" w:color="000000"/>
            </w:tcBorders>
            <w:tcMar>
              <w:bottom w:w="28" w:type="dxa"/>
            </w:tcMar>
            <w:vAlign w:val="center"/>
          </w:tcPr>
          <w:p>
            <w:pPr>
              <w:pStyle w:val="TableContents"/>
              <w:bidi w:val="0"/>
              <w:spacing w:lineRule="auto" w:line="300" w:before="0" w:after="0"/>
              <w:jc w:val="right"/>
              <w:rPr/>
            </w:pPr>
            <w:r>
              <w:rPr/>
              <w:t>(88,119</w:t>
            </w:r>
          </w:p>
        </w:tc>
        <w:tc>
          <w:tcPr>
            <w:tcW w:w="89"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6" w:type="dxa"/>
            <w:tcBorders/>
            <w:vAlign w:val="center"/>
          </w:tcPr>
          <w:p>
            <w:pPr>
              <w:pStyle w:val="TableContents"/>
              <w:bidi w:val="0"/>
              <w:spacing w:before="0" w:after="283"/>
              <w:jc w:val="left"/>
              <w:rPr/>
            </w:pPr>
            <w:r>
              <w:rPr/>
              <w:t> </w:t>
            </w:r>
          </w:p>
        </w:tc>
        <w:tc>
          <w:tcPr>
            <w:tcW w:w="139" w:type="dxa"/>
            <w:tcBorders>
              <w:bottom w:val="double" w:sz="8" w:space="0" w:color="000000"/>
            </w:tcBorders>
            <w:tcMar>
              <w:bottom w:w="28" w:type="dxa"/>
            </w:tcM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974" w:type="dxa"/>
            <w:tcBorders>
              <w:bottom w:val="double" w:sz="8" w:space="0" w:color="000000"/>
            </w:tcBorders>
            <w:tcMar>
              <w:bottom w:w="28" w:type="dxa"/>
            </w:tcMar>
            <w:vAlign w:val="center"/>
          </w:tcPr>
          <w:p>
            <w:pPr>
              <w:pStyle w:val="TableContents"/>
              <w:bidi w:val="0"/>
              <w:spacing w:lineRule="auto" w:line="300" w:before="0" w:after="0"/>
              <w:jc w:val="right"/>
              <w:rPr/>
            </w:pPr>
            <w:r>
              <w:rPr/>
              <w:t>(223,267</w:t>
            </w:r>
          </w:p>
        </w:tc>
        <w:tc>
          <w:tcPr>
            <w:tcW w:w="95"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lineRule="auto" w:line="300" w:before="0" w:after="0"/>
        <w:jc w:val="left"/>
        <w:rPr/>
      </w:pPr>
      <w:r>
        <w:rPr/>
        <w:t> </w:t>
      </w:r>
    </w:p>
    <w:p>
      <w:pPr>
        <w:pStyle w:val="TextBody"/>
        <w:bidi w:val="0"/>
        <w:spacing w:lineRule="auto" w:line="240" w:before="0" w:after="0"/>
        <w:jc w:val="both"/>
        <w:rPr>
          <w:rFonts w:ascii="Times New Roman;Times;serif" w:hAnsi="Times New Roman;Times;serif"/>
          <w:sz w:val="20"/>
        </w:rPr>
      </w:pPr>
      <w:r>
        <w:rPr>
          <w:rFonts w:ascii="Times New Roman;Times;serif" w:hAnsi="Times New Roman;Times;serif"/>
          <w:sz w:val="20"/>
        </w:rPr>
        <w:t>1   Including stock-based compensation expenses.</w:t>
      </w:r>
    </w:p>
    <w:p>
      <w:pPr>
        <w:pStyle w:val="TextBody"/>
        <w:bidi w:val="0"/>
        <w:spacing w:lineRule="auto" w:line="300" w:before="0" w:after="0"/>
        <w:jc w:val="left"/>
        <w:rPr/>
      </w:pPr>
      <w:r>
        <w:rPr/>
        <w:t> </w:t>
      </w:r>
    </w:p>
    <w:p>
      <w:pPr>
        <w:pStyle w:val="TextBody"/>
        <w:bidi w:val="0"/>
        <w:spacing w:lineRule="auto" w:line="240" w:before="0" w:after="0"/>
        <w:jc w:val="both"/>
        <w:rPr>
          <w:rFonts w:ascii="Times New Roman;Times;serif" w:hAnsi="Times New Roman;Times;serif"/>
          <w:sz w:val="20"/>
        </w:rPr>
      </w:pPr>
      <w:r>
        <w:rPr>
          <w:rFonts w:ascii="Times New Roman;Times;serif" w:hAnsi="Times New Roman;Times;serif"/>
          <w:sz w:val="20"/>
        </w:rPr>
        <w:t>2   Represents indirect costs of goods, consultants and sub-contractors, marketing, bad debt, impairments and dispositions.</w:t>
      </w:r>
    </w:p>
    <w:p>
      <w:pPr>
        <w:pStyle w:val="TextBody"/>
        <w:bidi w:val="0"/>
        <w:spacing w:lineRule="auto" w:line="300" w:before="0" w:after="0"/>
        <w:jc w:val="both"/>
        <w:rPr/>
      </w:pPr>
      <w:r>
        <w:rPr/>
        <w:t> </w:t>
      </w:r>
    </w:p>
    <w:p>
      <w:pPr>
        <w:pStyle w:val="TextBody"/>
        <w:bidi w:val="0"/>
        <w:spacing w:before="200" w:after="283"/>
        <w:jc w:val="center"/>
        <w:rPr/>
      </w:pPr>
      <w:r>
        <w:rPr>
          <w:b w:val="false"/>
          <w:i w:val="false"/>
          <w:caps w:val="false"/>
          <w:smallCaps w:val="false"/>
        </w:rPr>
        <w:t xml:space="preserve">SOLAREDGE TECHNOLOGIES INC. | 2026 Form 10-Q | F - </w:t>
      </w:r>
      <w:r>
        <w:rPr>
          <w:rFonts w:ascii="Times New Roman;Times;serif" w:hAnsi="Times New Roman;Times;serif"/>
          <w:sz w:val="20"/>
        </w:rPr>
        <w:t>30</w:t>
      </w:r>
    </w:p>
    <w:p>
      <w:pPr>
        <w:pStyle w:val="HorizontalLine"/>
        <w:bidi w:val="0"/>
        <w:spacing w:before="0" w:after="0"/>
        <w:jc w:val="left"/>
        <w:rPr/>
      </w:pPr>
      <w:r>
        <w:rPr/>
      </w:r>
    </w:p>
    <w:p>
      <w:pPr>
        <w:pStyle w:val="TextBody"/>
        <w:bidi w:val="0"/>
        <w:spacing w:before="0" w:after="0"/>
        <w:jc w:val="left"/>
        <w:rPr/>
      </w:pPr>
      <w:r>
        <w:rPr/>
        <w:t> </w:t>
      </w:r>
    </w:p>
    <w:p>
      <w:pPr>
        <w:pStyle w:val="TextBody"/>
        <w:bidi w:val="0"/>
        <w:spacing w:lineRule="auto" w:line="300" w:before="0" w:after="0"/>
        <w:ind w:left="360" w:right="360" w:hanging="0"/>
        <w:jc w:val="center"/>
        <w:rPr>
          <w:b/>
        </w:rPr>
      </w:pPr>
      <w:r>
        <w:rPr>
          <w:b/>
        </w:rPr>
        <w:t>SOLAREDGE TECHNOLOGIES, INC.</w:t>
      </w:r>
    </w:p>
    <w:p>
      <w:pPr>
        <w:pStyle w:val="TextBody"/>
        <w:bidi w:val="0"/>
        <w:spacing w:lineRule="auto" w:line="300" w:before="0" w:after="0"/>
        <w:jc w:val="left"/>
        <w:rPr/>
      </w:pPr>
      <w:r>
        <w:rPr/>
        <w:t> </w:t>
      </w:r>
    </w:p>
    <w:p>
      <w:pPr>
        <w:pStyle w:val="TextBody"/>
        <w:bidi w:val="0"/>
        <w:spacing w:lineRule="auto" w:line="300" w:before="0" w:after="0"/>
        <w:ind w:left="360" w:right="360" w:hanging="0"/>
        <w:jc w:val="center"/>
        <w:rPr>
          <w:b/>
        </w:rPr>
      </w:pPr>
      <w:r>
        <w:rPr>
          <w:b/>
        </w:rPr>
        <w:t>NOTES TO CONDENSED CONSOLIDATED FINANCIAL STATEMENTS (Unaudited)</w:t>
      </w:r>
    </w:p>
    <w:p>
      <w:pPr>
        <w:pStyle w:val="TextBody"/>
        <w:bidi w:val="0"/>
        <w:spacing w:lineRule="auto" w:line="300" w:before="0" w:after="0"/>
        <w:jc w:val="left"/>
        <w:rPr/>
      </w:pPr>
      <w:r>
        <w:rPr/>
        <w:t> </w:t>
      </w:r>
    </w:p>
    <w:p>
      <w:pPr>
        <w:pStyle w:val="TextBody"/>
        <w:bidi w:val="0"/>
        <w:spacing w:lineRule="auto" w:line="300"/>
        <w:ind w:left="360" w:right="360" w:hanging="0"/>
        <w:jc w:val="center"/>
        <w:rPr/>
      </w:pPr>
      <w:r>
        <w:rPr>
          <w:b/>
        </w:rPr>
        <w:t>(in thousands, except per share data</w:t>
      </w:r>
      <w:r>
        <w:rPr/>
        <w:t>)</w:t>
      </w:r>
    </w:p>
    <w:p>
      <w:pPr>
        <w:pStyle w:val="TextBody"/>
        <w:bidi w:val="0"/>
        <w:spacing w:before="0" w:after="0"/>
        <w:jc w:val="left"/>
        <w:rPr/>
      </w:pPr>
      <w:r>
        <w:rPr/>
        <w:t> </w:t>
      </w:r>
    </w:p>
    <w:p>
      <w:pPr>
        <w:pStyle w:val="TextBody"/>
        <w:bidi w:val="0"/>
        <w:spacing w:lineRule="auto" w:line="300" w:before="0" w:after="0"/>
        <w:jc w:val="left"/>
        <w:rPr>
          <w:rFonts w:ascii="Times New Roman;Times;serif" w:hAnsi="Times New Roman;Times;serif"/>
          <w:sz w:val="20"/>
        </w:rPr>
      </w:pPr>
      <w:r>
        <w:rPr>
          <w:rFonts w:ascii="Times New Roman;Times;serif" w:hAnsi="Times New Roman;Times;serif"/>
          <w:sz w:val="20"/>
        </w:rPr>
        <w:t>The following table presents revenues disaggregated by geographical location:</w:t>
      </w:r>
    </w:p>
    <w:p>
      <w:pPr>
        <w:pStyle w:val="TextBody"/>
        <w:bidi w:val="0"/>
        <w:spacing w:lineRule="auto" w:line="300" w:before="0" w:after="283"/>
        <w:jc w:val="both"/>
        <w:rPr/>
      </w:pPr>
      <w:r>
        <w:rPr/>
        <w:t> </w:t>
      </w:r>
    </w:p>
    <w:tbl>
      <w:tblPr>
        <w:tblW w:w="6821" w:type="dxa"/>
        <w:jc w:val="left"/>
        <w:tblInd w:w="0" w:type="dxa"/>
        <w:tblLayout w:type="fixed"/>
        <w:tblCellMar>
          <w:top w:w="0" w:type="dxa"/>
          <w:left w:w="0" w:type="dxa"/>
          <w:bottom w:w="0" w:type="dxa"/>
          <w:right w:w="0" w:type="dxa"/>
        </w:tblCellMar>
      </w:tblPr>
      <w:tblGrid>
        <w:gridCol w:w="1745"/>
        <w:gridCol w:w="60"/>
        <w:gridCol w:w="161"/>
        <w:gridCol w:w="1031"/>
        <w:gridCol w:w="77"/>
        <w:gridCol w:w="77"/>
        <w:gridCol w:w="161"/>
        <w:gridCol w:w="1031"/>
        <w:gridCol w:w="60"/>
        <w:gridCol w:w="60"/>
        <w:gridCol w:w="145"/>
        <w:gridCol w:w="934"/>
        <w:gridCol w:w="70"/>
        <w:gridCol w:w="70"/>
        <w:gridCol w:w="145"/>
        <w:gridCol w:w="934"/>
        <w:gridCol w:w="60"/>
      </w:tblGrid>
      <w:tr>
        <w:trPr/>
        <w:tc>
          <w:tcPr>
            <w:tcW w:w="17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538" w:type="dxa"/>
            <w:gridSpan w:val="6"/>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Three Months Ended June 30,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98" w:type="dxa"/>
            <w:gridSpan w:val="6"/>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Six Months Ended June 30,</w:t>
            </w:r>
          </w:p>
        </w:tc>
        <w:tc>
          <w:tcPr>
            <w:tcW w:w="60" w:type="dxa"/>
            <w:tcBorders/>
            <w:vAlign w:val="center"/>
          </w:tcPr>
          <w:p>
            <w:pPr>
              <w:pStyle w:val="TableContents"/>
              <w:bidi w:val="0"/>
              <w:spacing w:before="0" w:after="283"/>
              <w:jc w:val="left"/>
              <w:rPr/>
            </w:pPr>
            <w:r>
              <w:rPr/>
              <w:t> </w:t>
            </w:r>
          </w:p>
        </w:tc>
      </w:tr>
      <w:tr>
        <w:trPr/>
        <w:tc>
          <w:tcPr>
            <w:tcW w:w="17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2"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2026</w:t>
            </w:r>
          </w:p>
        </w:tc>
        <w:tc>
          <w:tcPr>
            <w:tcW w:w="77"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tc>
        <w:tc>
          <w:tcPr>
            <w:tcW w:w="1192"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79"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2026</w:t>
            </w:r>
          </w:p>
        </w:tc>
        <w:tc>
          <w:tcPr>
            <w:tcW w:w="7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1079"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2025</w:t>
            </w:r>
          </w:p>
        </w:tc>
        <w:tc>
          <w:tcPr>
            <w:tcW w:w="60" w:type="dxa"/>
            <w:tcBorders/>
            <w:vAlign w:val="center"/>
          </w:tcPr>
          <w:p>
            <w:pPr>
              <w:pStyle w:val="TableContents"/>
              <w:bidi w:val="0"/>
              <w:spacing w:before="0" w:after="283"/>
              <w:jc w:val="left"/>
              <w:rPr/>
            </w:pPr>
            <w:r>
              <w:rPr/>
              <w:t> </w:t>
            </w:r>
          </w:p>
        </w:tc>
      </w:tr>
      <w:tr>
        <w:trPr/>
        <w:tc>
          <w:tcPr>
            <w:tcW w:w="1745"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United States</w:t>
            </w:r>
          </w:p>
        </w:tc>
        <w:tc>
          <w:tcPr>
            <w:tcW w:w="60"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1031" w:type="dxa"/>
            <w:tcBorders/>
            <w:shd w:fill="CCEEFF" w:val="clear"/>
            <w:vAlign w:val="center"/>
          </w:tcPr>
          <w:p>
            <w:pPr>
              <w:pStyle w:val="TableContents"/>
              <w:bidi w:val="0"/>
              <w:spacing w:lineRule="auto" w:line="300" w:before="0" w:after="0"/>
              <w:jc w:val="right"/>
              <w:rPr/>
            </w:pPr>
            <w:r>
              <w:rPr/>
              <w:t>154,858</w:t>
            </w:r>
          </w:p>
        </w:tc>
        <w:tc>
          <w:tcPr>
            <w:tcW w:w="77"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1031" w:type="dxa"/>
            <w:tcBorders/>
            <w:shd w:fill="CCEEFF" w:val="clear"/>
            <w:vAlign w:val="center"/>
          </w:tcPr>
          <w:p>
            <w:pPr>
              <w:pStyle w:val="TableContents"/>
              <w:bidi w:val="0"/>
              <w:spacing w:lineRule="auto" w:line="300" w:before="0" w:after="0"/>
              <w:jc w:val="right"/>
              <w:rPr/>
            </w:pPr>
            <w:r>
              <w:rPr/>
              <w:t>185,126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934" w:type="dxa"/>
            <w:tcBorders/>
            <w:shd w:fill="CCEEFF" w:val="clear"/>
            <w:vAlign w:val="center"/>
          </w:tcPr>
          <w:p>
            <w:pPr>
              <w:pStyle w:val="TableContents"/>
              <w:bidi w:val="0"/>
              <w:spacing w:lineRule="auto" w:line="300" w:before="0" w:after="0"/>
              <w:jc w:val="right"/>
              <w:rPr/>
            </w:pPr>
            <w:r>
              <w:rPr/>
              <w:t>312,952</w:t>
            </w:r>
          </w:p>
        </w:tc>
        <w:tc>
          <w:tcPr>
            <w:tcW w:w="7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934" w:type="dxa"/>
            <w:tcBorders/>
            <w:shd w:fill="CCEEFF" w:val="clear"/>
            <w:vAlign w:val="center"/>
          </w:tcPr>
          <w:p>
            <w:pPr>
              <w:pStyle w:val="TableContents"/>
              <w:bidi w:val="0"/>
              <w:spacing w:lineRule="auto" w:line="300" w:before="0" w:after="0"/>
              <w:jc w:val="right"/>
              <w:rPr/>
            </w:pPr>
            <w:r>
              <w:rPr/>
              <w:t>317,230</w:t>
            </w:r>
          </w:p>
        </w:tc>
        <w:tc>
          <w:tcPr>
            <w:tcW w:w="60" w:type="dxa"/>
            <w:tcBorders/>
            <w:shd w:fill="CCEEFF" w:val="clear"/>
            <w:vAlign w:val="center"/>
          </w:tcPr>
          <w:p>
            <w:pPr>
              <w:pStyle w:val="TableContents"/>
              <w:bidi w:val="0"/>
              <w:spacing w:before="0" w:after="283"/>
              <w:jc w:val="left"/>
              <w:rPr/>
            </w:pPr>
            <w:r>
              <w:rPr/>
              <w:t> </w:t>
            </w:r>
          </w:p>
        </w:tc>
      </w:tr>
      <w:tr>
        <w:trPr/>
        <w:tc>
          <w:tcPr>
            <w:tcW w:w="1745" w:type="dxa"/>
            <w:tcBorders/>
            <w:shd w:fill="FFFF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Europe</w:t>
            </w:r>
          </w:p>
        </w:tc>
        <w:tc>
          <w:tcPr>
            <w:tcW w:w="60" w:type="dxa"/>
            <w:tcBorders/>
            <w:shd w:fill="FFFFFF" w:val="clear"/>
            <w:vAlign w:val="center"/>
          </w:tcPr>
          <w:p>
            <w:pPr>
              <w:pStyle w:val="TableContents"/>
              <w:bidi w:val="0"/>
              <w:spacing w:before="0" w:after="283"/>
              <w:jc w:val="left"/>
              <w:rPr/>
            </w:pPr>
            <w:r>
              <w:rPr/>
              <w:t> </w:t>
            </w:r>
          </w:p>
        </w:tc>
        <w:tc>
          <w:tcPr>
            <w:tcW w:w="161" w:type="dxa"/>
            <w:tcBorders/>
            <w:shd w:fill="FFFFFF" w:val="clear"/>
            <w:vAlign w:val="center"/>
          </w:tcPr>
          <w:p>
            <w:pPr>
              <w:pStyle w:val="TableContents"/>
              <w:bidi w:val="0"/>
              <w:spacing w:before="0" w:after="283"/>
              <w:jc w:val="left"/>
              <w:rPr/>
            </w:pPr>
            <w:r>
              <w:rPr/>
              <w:t> </w:t>
            </w:r>
          </w:p>
        </w:tc>
        <w:tc>
          <w:tcPr>
            <w:tcW w:w="1031" w:type="dxa"/>
            <w:tcBorders/>
            <w:shd w:fill="FFFFFF" w:val="clear"/>
            <w:vAlign w:val="center"/>
          </w:tcPr>
          <w:p>
            <w:pPr>
              <w:pStyle w:val="TableContents"/>
              <w:bidi w:val="0"/>
              <w:spacing w:lineRule="auto" w:line="300" w:before="0" w:after="0"/>
              <w:jc w:val="right"/>
              <w:rPr/>
            </w:pPr>
            <w:r>
              <w:rPr/>
              <w:t>154,459</w:t>
            </w:r>
          </w:p>
        </w:tc>
        <w:tc>
          <w:tcPr>
            <w:tcW w:w="77"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jc w:val="left"/>
              <w:rPr/>
            </w:pPr>
            <w:r>
              <w:rPr/>
              <w:t> </w:t>
            </w:r>
          </w:p>
        </w:tc>
        <w:tc>
          <w:tcPr>
            <w:tcW w:w="161" w:type="dxa"/>
            <w:tcBorders/>
            <w:shd w:fill="FFFFFF" w:val="clear"/>
            <w:vAlign w:val="center"/>
          </w:tcPr>
          <w:p>
            <w:pPr>
              <w:pStyle w:val="TableContents"/>
              <w:bidi w:val="0"/>
              <w:spacing w:before="0" w:after="283"/>
              <w:jc w:val="left"/>
              <w:rPr/>
            </w:pPr>
            <w:r>
              <w:rPr/>
              <w:t> </w:t>
            </w:r>
          </w:p>
        </w:tc>
        <w:tc>
          <w:tcPr>
            <w:tcW w:w="1031" w:type="dxa"/>
            <w:tcBorders/>
            <w:shd w:fill="FFFFFF" w:val="clear"/>
            <w:vAlign w:val="center"/>
          </w:tcPr>
          <w:p>
            <w:pPr>
              <w:pStyle w:val="TableContents"/>
              <w:bidi w:val="0"/>
              <w:spacing w:lineRule="auto" w:line="300" w:before="0" w:after="0"/>
              <w:jc w:val="right"/>
              <w:rPr/>
            </w:pPr>
            <w:r>
              <w:rPr/>
              <w:t>65,258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934" w:type="dxa"/>
            <w:tcBorders/>
            <w:shd w:fill="FFFFFF" w:val="clear"/>
            <w:vAlign w:val="center"/>
          </w:tcPr>
          <w:p>
            <w:pPr>
              <w:pStyle w:val="TableContents"/>
              <w:bidi w:val="0"/>
              <w:spacing w:lineRule="auto" w:line="300" w:before="0" w:after="0"/>
              <w:jc w:val="right"/>
              <w:rPr/>
            </w:pPr>
            <w:r>
              <w:rPr/>
              <w:t>267,970</w:t>
            </w:r>
          </w:p>
        </w:tc>
        <w:tc>
          <w:tcPr>
            <w:tcW w:w="7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934" w:type="dxa"/>
            <w:tcBorders/>
            <w:shd w:fill="FFFFFF" w:val="clear"/>
            <w:vAlign w:val="center"/>
          </w:tcPr>
          <w:p>
            <w:pPr>
              <w:pStyle w:val="TableContents"/>
              <w:bidi w:val="0"/>
              <w:spacing w:lineRule="auto" w:line="300" w:before="0" w:after="0"/>
              <w:jc w:val="right"/>
              <w:rPr/>
            </w:pPr>
            <w:r>
              <w:rPr/>
              <w:t>117,760</w:t>
            </w:r>
          </w:p>
        </w:tc>
        <w:tc>
          <w:tcPr>
            <w:tcW w:w="60" w:type="dxa"/>
            <w:tcBorders/>
            <w:shd w:fill="FFFFFF" w:val="clear"/>
            <w:vAlign w:val="center"/>
          </w:tcPr>
          <w:p>
            <w:pPr>
              <w:pStyle w:val="TableContents"/>
              <w:bidi w:val="0"/>
              <w:spacing w:before="0" w:after="283"/>
              <w:jc w:val="left"/>
              <w:rPr/>
            </w:pPr>
            <w:r>
              <w:rPr/>
              <w:t> </w:t>
            </w:r>
          </w:p>
        </w:tc>
      </w:tr>
      <w:tr>
        <w:trPr/>
        <w:tc>
          <w:tcPr>
            <w:tcW w:w="1745"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International markets</w:t>
            </w:r>
          </w:p>
        </w:tc>
        <w:tc>
          <w:tcPr>
            <w:tcW w:w="60" w:type="dxa"/>
            <w:tcBorders/>
            <w:shd w:fill="CCEEFF" w:val="clear"/>
            <w:vAlign w:val="center"/>
          </w:tcPr>
          <w:p>
            <w:pPr>
              <w:pStyle w:val="TableContents"/>
              <w:bidi w:val="0"/>
              <w:spacing w:before="0" w:after="283"/>
              <w:jc w:val="left"/>
              <w:rPr/>
            </w:pPr>
            <w:r>
              <w:rPr/>
              <w:t> </w:t>
            </w:r>
          </w:p>
        </w:tc>
        <w:tc>
          <w:tcPr>
            <w:tcW w:w="16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31" w:type="dxa"/>
            <w:tcBorders>
              <w:bottom w:val="single" w:sz="12" w:space="0" w:color="000000"/>
            </w:tcBorders>
            <w:shd w:fill="CCEEFF" w:val="clear"/>
            <w:tcMar>
              <w:bottom w:w="28" w:type="dxa"/>
            </w:tcMar>
            <w:vAlign w:val="center"/>
          </w:tcPr>
          <w:p>
            <w:pPr>
              <w:pStyle w:val="TableContents"/>
              <w:bidi w:val="0"/>
              <w:spacing w:lineRule="auto" w:line="300" w:before="0" w:after="0"/>
              <w:jc w:val="right"/>
              <w:rPr/>
            </w:pPr>
            <w:r>
              <w:rPr/>
              <w:t>36,928</w:t>
            </w:r>
          </w:p>
        </w:tc>
        <w:tc>
          <w:tcPr>
            <w:tcW w:w="77"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16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31" w:type="dxa"/>
            <w:tcBorders>
              <w:bottom w:val="single" w:sz="12" w:space="0" w:color="000000"/>
            </w:tcBorders>
            <w:shd w:fill="CCEEFF" w:val="clear"/>
            <w:tcMar>
              <w:bottom w:w="28" w:type="dxa"/>
            </w:tcMar>
            <w:vAlign w:val="center"/>
          </w:tcPr>
          <w:p>
            <w:pPr>
              <w:pStyle w:val="TableContents"/>
              <w:bidi w:val="0"/>
              <w:spacing w:lineRule="auto" w:line="300" w:before="0" w:after="0"/>
              <w:jc w:val="right"/>
              <w:rPr/>
            </w:pPr>
            <w:r>
              <w:rPr/>
              <w:t>39,045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34" w:type="dxa"/>
            <w:tcBorders>
              <w:bottom w:val="single" w:sz="12" w:space="0" w:color="000000"/>
            </w:tcBorders>
            <w:shd w:fill="CCEEFF" w:val="clear"/>
            <w:tcMar>
              <w:bottom w:w="28" w:type="dxa"/>
            </w:tcMar>
            <w:vAlign w:val="center"/>
          </w:tcPr>
          <w:p>
            <w:pPr>
              <w:pStyle w:val="TableContents"/>
              <w:bidi w:val="0"/>
              <w:spacing w:lineRule="auto" w:line="300" w:before="0" w:after="0"/>
              <w:jc w:val="right"/>
              <w:rPr/>
            </w:pPr>
            <w:r>
              <w:rPr/>
              <w:t>75,824</w:t>
            </w:r>
          </w:p>
        </w:tc>
        <w:tc>
          <w:tcPr>
            <w:tcW w:w="7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4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34" w:type="dxa"/>
            <w:tcBorders>
              <w:bottom w:val="single" w:sz="12" w:space="0" w:color="000000"/>
            </w:tcBorders>
            <w:shd w:fill="CCEEFF" w:val="clear"/>
            <w:tcMar>
              <w:bottom w:w="28" w:type="dxa"/>
            </w:tcMar>
            <w:vAlign w:val="center"/>
          </w:tcPr>
          <w:p>
            <w:pPr>
              <w:pStyle w:val="TableContents"/>
              <w:bidi w:val="0"/>
              <w:spacing w:lineRule="auto" w:line="300" w:before="0" w:after="0"/>
              <w:jc w:val="right"/>
              <w:rPr/>
            </w:pPr>
            <w:r>
              <w:rPr/>
              <w:t>73,919</w:t>
            </w:r>
          </w:p>
        </w:tc>
        <w:tc>
          <w:tcPr>
            <w:tcW w:w="60" w:type="dxa"/>
            <w:tcBorders/>
            <w:shd w:fill="CCEEFF" w:val="clear"/>
            <w:vAlign w:val="center"/>
          </w:tcPr>
          <w:p>
            <w:pPr>
              <w:pStyle w:val="TableContents"/>
              <w:bidi w:val="0"/>
              <w:spacing w:before="0" w:after="283"/>
              <w:jc w:val="left"/>
              <w:rPr/>
            </w:pPr>
            <w:r>
              <w:rPr/>
              <w:t> </w:t>
            </w:r>
          </w:p>
        </w:tc>
      </w:tr>
      <w:tr>
        <w:trPr/>
        <w:tc>
          <w:tcPr>
            <w:tcW w:w="1745" w:type="dxa"/>
            <w:tcBorders/>
            <w:shd w:fill="FFFF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Total revenues</w:t>
            </w:r>
          </w:p>
        </w:tc>
        <w:tc>
          <w:tcPr>
            <w:tcW w:w="60" w:type="dxa"/>
            <w:tcBorders/>
            <w:shd w:fill="FFFFFF" w:val="clear"/>
            <w:vAlign w:val="center"/>
          </w:tcPr>
          <w:p>
            <w:pPr>
              <w:pStyle w:val="TableContents"/>
              <w:bidi w:val="0"/>
              <w:spacing w:before="0" w:after="283"/>
              <w:jc w:val="left"/>
              <w:rPr/>
            </w:pPr>
            <w:r>
              <w:rPr/>
              <w:t> </w:t>
            </w:r>
          </w:p>
        </w:tc>
        <w:tc>
          <w:tcPr>
            <w:tcW w:w="161" w:type="dxa"/>
            <w:tcBorders>
              <w:bottom w:val="double" w:sz="8" w:space="0" w:color="000000"/>
            </w:tcBorders>
            <w:shd w:fill="FFFFFF" w:val="clear"/>
            <w:tcMar>
              <w:bottom w:w="28" w:type="dxa"/>
            </w:tcM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1031" w:type="dxa"/>
            <w:tcBorders>
              <w:bottom w:val="double" w:sz="8" w:space="0" w:color="000000"/>
            </w:tcBorders>
            <w:shd w:fill="FFFFFF" w:val="clear"/>
            <w:tcMar>
              <w:bottom w:w="28" w:type="dxa"/>
            </w:tcMar>
            <w:vAlign w:val="center"/>
          </w:tcPr>
          <w:p>
            <w:pPr>
              <w:pStyle w:val="TableContents"/>
              <w:bidi w:val="0"/>
              <w:spacing w:lineRule="auto" w:line="300" w:before="0" w:after="0"/>
              <w:jc w:val="right"/>
              <w:rPr/>
            </w:pPr>
            <w:r>
              <w:rPr/>
              <w:t>346,245</w:t>
            </w:r>
          </w:p>
        </w:tc>
        <w:tc>
          <w:tcPr>
            <w:tcW w:w="77"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jc w:val="left"/>
              <w:rPr/>
            </w:pPr>
            <w:r>
              <w:rPr/>
              <w:t> </w:t>
            </w:r>
          </w:p>
        </w:tc>
        <w:tc>
          <w:tcPr>
            <w:tcW w:w="161" w:type="dxa"/>
            <w:tcBorders>
              <w:bottom w:val="double" w:sz="8" w:space="0" w:color="000000"/>
            </w:tcBorders>
            <w:shd w:fill="FFFFFF" w:val="clear"/>
            <w:tcMar>
              <w:bottom w:w="28" w:type="dxa"/>
            </w:tcM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1031" w:type="dxa"/>
            <w:tcBorders>
              <w:bottom w:val="double" w:sz="8" w:space="0" w:color="000000"/>
            </w:tcBorders>
            <w:shd w:fill="FFFFFF" w:val="clear"/>
            <w:tcMar>
              <w:bottom w:w="28" w:type="dxa"/>
            </w:tcMar>
            <w:vAlign w:val="center"/>
          </w:tcPr>
          <w:p>
            <w:pPr>
              <w:pStyle w:val="TableContents"/>
              <w:bidi w:val="0"/>
              <w:spacing w:lineRule="auto" w:line="300" w:before="0" w:after="0"/>
              <w:jc w:val="right"/>
              <w:rPr/>
            </w:pPr>
            <w:r>
              <w:rPr/>
              <w:t>289,429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bottom w:val="double" w:sz="8" w:space="0" w:color="000000"/>
            </w:tcBorders>
            <w:shd w:fill="FFFFFF" w:val="clear"/>
            <w:tcMar>
              <w:bottom w:w="28" w:type="dxa"/>
            </w:tcM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934" w:type="dxa"/>
            <w:tcBorders>
              <w:bottom w:val="double" w:sz="8" w:space="0" w:color="000000"/>
            </w:tcBorders>
            <w:shd w:fill="FFFFFF" w:val="clear"/>
            <w:tcMar>
              <w:bottom w:w="28" w:type="dxa"/>
            </w:tcMar>
            <w:vAlign w:val="center"/>
          </w:tcPr>
          <w:p>
            <w:pPr>
              <w:pStyle w:val="TableContents"/>
              <w:bidi w:val="0"/>
              <w:spacing w:lineRule="auto" w:line="300" w:before="0" w:after="0"/>
              <w:jc w:val="right"/>
              <w:rPr/>
            </w:pPr>
            <w:r>
              <w:rPr/>
              <w:t>656,746</w:t>
            </w:r>
          </w:p>
        </w:tc>
        <w:tc>
          <w:tcPr>
            <w:tcW w:w="7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45" w:type="dxa"/>
            <w:tcBorders>
              <w:bottom w:val="double" w:sz="8" w:space="0" w:color="000000"/>
            </w:tcBorders>
            <w:shd w:fill="FFFFFF" w:val="clear"/>
            <w:tcMar>
              <w:bottom w:w="28" w:type="dxa"/>
            </w:tcM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934" w:type="dxa"/>
            <w:tcBorders>
              <w:bottom w:val="double" w:sz="8" w:space="0" w:color="000000"/>
            </w:tcBorders>
            <w:shd w:fill="FFFFFF" w:val="clear"/>
            <w:tcMar>
              <w:bottom w:w="28" w:type="dxa"/>
            </w:tcMar>
            <w:vAlign w:val="center"/>
          </w:tcPr>
          <w:p>
            <w:pPr>
              <w:pStyle w:val="TableContents"/>
              <w:bidi w:val="0"/>
              <w:spacing w:lineRule="auto" w:line="300" w:before="0" w:after="0"/>
              <w:jc w:val="right"/>
              <w:rPr/>
            </w:pPr>
            <w:r>
              <w:rPr/>
              <w:t>508,909</w:t>
            </w:r>
          </w:p>
        </w:tc>
        <w:tc>
          <w:tcPr>
            <w:tcW w:w="60" w:type="dxa"/>
            <w:tcBorders/>
            <w:shd w:fill="FFFFFF" w:val="clear"/>
            <w:vAlign w:val="center"/>
          </w:tcPr>
          <w:p>
            <w:pPr>
              <w:pStyle w:val="TableContents"/>
              <w:bidi w:val="0"/>
              <w:spacing w:before="0" w:after="283"/>
              <w:jc w:val="left"/>
              <w:rPr/>
            </w:pPr>
            <w:r>
              <w:rPr/>
              <w:t> </w:t>
            </w:r>
          </w:p>
        </w:tc>
      </w:tr>
    </w:tbl>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sz w:val="20"/>
        </w:rPr>
      </w:pPr>
      <w:r>
        <w:rPr>
          <w:rFonts w:ascii="Times New Roman;Times;serif" w:hAnsi="Times New Roman;Times;serif"/>
          <w:sz w:val="20"/>
        </w:rPr>
        <w:t>The following table presents revenues disaggregated by type:</w:t>
      </w:r>
    </w:p>
    <w:p>
      <w:pPr>
        <w:pStyle w:val="TextBody"/>
        <w:bidi w:val="0"/>
        <w:spacing w:lineRule="auto" w:line="300" w:before="0" w:after="0"/>
        <w:jc w:val="both"/>
        <w:rPr/>
      </w:pPr>
      <w:r>
        <w:rPr/>
        <w:t> </w:t>
      </w:r>
    </w:p>
    <w:p>
      <w:pPr>
        <w:pStyle w:val="TextBody"/>
        <w:bidi w:val="0"/>
        <w:spacing w:lineRule="auto" w:line="300" w:before="0" w:after="0"/>
        <w:jc w:val="left"/>
        <w:rPr/>
      </w:pPr>
      <w:r>
        <w:rPr/>
        <w:t> </w:t>
      </w:r>
    </w:p>
    <w:tbl>
      <w:tblPr>
        <w:tblW w:w="7016" w:type="dxa"/>
        <w:jc w:val="left"/>
        <w:tblInd w:w="0" w:type="dxa"/>
        <w:tblLayout w:type="fixed"/>
        <w:tblCellMar>
          <w:top w:w="0" w:type="dxa"/>
          <w:left w:w="0" w:type="dxa"/>
          <w:bottom w:w="0" w:type="dxa"/>
          <w:right w:w="0" w:type="dxa"/>
        </w:tblCellMar>
      </w:tblPr>
      <w:tblGrid>
        <w:gridCol w:w="1925"/>
        <w:gridCol w:w="60"/>
        <w:gridCol w:w="180"/>
        <w:gridCol w:w="1003"/>
        <w:gridCol w:w="86"/>
        <w:gridCol w:w="86"/>
        <w:gridCol w:w="180"/>
        <w:gridCol w:w="1003"/>
        <w:gridCol w:w="60"/>
        <w:gridCol w:w="60"/>
        <w:gridCol w:w="163"/>
        <w:gridCol w:w="908"/>
        <w:gridCol w:w="78"/>
        <w:gridCol w:w="78"/>
        <w:gridCol w:w="163"/>
        <w:gridCol w:w="908"/>
        <w:gridCol w:w="75"/>
      </w:tblGrid>
      <w:tr>
        <w:trPr/>
        <w:tc>
          <w:tcPr>
            <w:tcW w:w="19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538" w:type="dxa"/>
            <w:gridSpan w:val="6"/>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Three Months Ended June 30,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98" w:type="dxa"/>
            <w:gridSpan w:val="6"/>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Six Months Ended June 30,</w:t>
            </w:r>
          </w:p>
        </w:tc>
        <w:tc>
          <w:tcPr>
            <w:tcW w:w="75" w:type="dxa"/>
            <w:tcBorders/>
            <w:vAlign w:val="center"/>
          </w:tcPr>
          <w:p>
            <w:pPr>
              <w:pStyle w:val="TableContents"/>
              <w:bidi w:val="0"/>
              <w:spacing w:before="0" w:after="283"/>
              <w:jc w:val="left"/>
              <w:rPr/>
            </w:pPr>
            <w:r>
              <w:rPr/>
              <w:t> </w:t>
            </w:r>
          </w:p>
        </w:tc>
      </w:tr>
      <w:tr>
        <w:trPr/>
        <w:tc>
          <w:tcPr>
            <w:tcW w:w="19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83"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2026</w:t>
            </w:r>
          </w:p>
        </w:tc>
        <w:tc>
          <w:tcPr>
            <w:tcW w:w="86" w:type="dxa"/>
            <w:tcBorders/>
            <w:vAlign w:val="center"/>
          </w:tcPr>
          <w:p>
            <w:pPr>
              <w:pStyle w:val="TableContents"/>
              <w:bidi w:val="0"/>
              <w:spacing w:before="0" w:after="283"/>
              <w:jc w:val="left"/>
              <w:rPr/>
            </w:pPr>
            <w:r>
              <w:rPr/>
              <w:t> </w:t>
            </w:r>
          </w:p>
        </w:tc>
        <w:tc>
          <w:tcPr>
            <w:tcW w:w="86" w:type="dxa"/>
            <w:tcBorders/>
            <w:vAlign w:val="center"/>
          </w:tcPr>
          <w:p>
            <w:pPr>
              <w:pStyle w:val="TableContents"/>
              <w:bidi w:val="0"/>
              <w:spacing w:before="0" w:after="283"/>
              <w:jc w:val="left"/>
              <w:rPr/>
            </w:pPr>
            <w:r>
              <w:rPr/>
              <w:t> </w:t>
            </w:r>
          </w:p>
        </w:tc>
        <w:tc>
          <w:tcPr>
            <w:tcW w:w="1183"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71"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2026</w:t>
            </w:r>
          </w:p>
        </w:tc>
        <w:tc>
          <w:tcPr>
            <w:tcW w:w="78"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pPr>
            <w:r>
              <w:rPr/>
              <w:t> </w:t>
            </w:r>
          </w:p>
        </w:tc>
        <w:tc>
          <w:tcPr>
            <w:tcW w:w="1071"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2025</w:t>
            </w:r>
          </w:p>
        </w:tc>
        <w:tc>
          <w:tcPr>
            <w:tcW w:w="75" w:type="dxa"/>
            <w:tcBorders/>
            <w:vAlign w:val="center"/>
          </w:tcPr>
          <w:p>
            <w:pPr>
              <w:pStyle w:val="TableContents"/>
              <w:bidi w:val="0"/>
              <w:spacing w:before="0" w:after="283"/>
              <w:jc w:val="left"/>
              <w:rPr/>
            </w:pPr>
            <w:r>
              <w:rPr/>
              <w:t> </w:t>
            </w:r>
          </w:p>
        </w:tc>
      </w:tr>
      <w:tr>
        <w:trPr/>
        <w:tc>
          <w:tcPr>
            <w:tcW w:w="1925"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Power optimizers</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1003"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116,514</w:t>
            </w:r>
          </w:p>
        </w:tc>
        <w:tc>
          <w:tcPr>
            <w:tcW w:w="86"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1003"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121,251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908"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245,382</w:t>
            </w:r>
          </w:p>
        </w:tc>
        <w:tc>
          <w:tcPr>
            <w:tcW w:w="78"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908"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214,249</w:t>
            </w:r>
          </w:p>
        </w:tc>
        <w:tc>
          <w:tcPr>
            <w:tcW w:w="75" w:type="dxa"/>
            <w:tcBorders/>
            <w:shd w:fill="CCEEFF" w:val="clear"/>
            <w:vAlign w:val="center"/>
          </w:tcPr>
          <w:p>
            <w:pPr>
              <w:pStyle w:val="TableContents"/>
              <w:bidi w:val="0"/>
              <w:spacing w:before="0" w:after="283"/>
              <w:jc w:val="left"/>
              <w:rPr/>
            </w:pPr>
            <w:r>
              <w:rPr/>
              <w:t> </w:t>
            </w:r>
          </w:p>
        </w:tc>
      </w:tr>
      <w:tr>
        <w:trPr/>
        <w:tc>
          <w:tcPr>
            <w:tcW w:w="1925"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Batteries</w:t>
            </w:r>
          </w:p>
        </w:tc>
        <w:tc>
          <w:tcPr>
            <w:tcW w:w="6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pPr>
            <w:r>
              <w:rPr/>
              <w:t> </w:t>
            </w:r>
          </w:p>
        </w:tc>
        <w:tc>
          <w:tcPr>
            <w:tcW w:w="1003"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125,986</w:t>
            </w:r>
          </w:p>
        </w:tc>
        <w:tc>
          <w:tcPr>
            <w:tcW w:w="86" w:type="dxa"/>
            <w:tcBorders/>
            <w:vAlign w:val="center"/>
          </w:tcPr>
          <w:p>
            <w:pPr>
              <w:pStyle w:val="TableContents"/>
              <w:bidi w:val="0"/>
              <w:spacing w:before="0" w:after="283"/>
              <w:jc w:val="left"/>
              <w:rPr/>
            </w:pPr>
            <w:r>
              <w:rPr/>
              <w:t> </w:t>
            </w:r>
          </w:p>
        </w:tc>
        <w:tc>
          <w:tcPr>
            <w:tcW w:w="86"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pPr>
            <w:r>
              <w:rPr/>
              <w:t> </w:t>
            </w:r>
          </w:p>
        </w:tc>
        <w:tc>
          <w:tcPr>
            <w:tcW w:w="1003"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67,639</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3" w:type="dxa"/>
            <w:tcBorders/>
            <w:vAlign w:val="center"/>
          </w:tcPr>
          <w:p>
            <w:pPr>
              <w:pStyle w:val="TableContents"/>
              <w:bidi w:val="0"/>
              <w:spacing w:before="0" w:after="283"/>
              <w:jc w:val="left"/>
              <w:rPr/>
            </w:pPr>
            <w:r>
              <w:rPr/>
              <w:t> </w:t>
            </w:r>
          </w:p>
        </w:tc>
        <w:tc>
          <w:tcPr>
            <w:tcW w:w="908"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215,970</w:t>
            </w:r>
          </w:p>
        </w:tc>
        <w:tc>
          <w:tcPr>
            <w:tcW w:w="78"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pPr>
            <w:r>
              <w:rPr/>
              <w:t> </w:t>
            </w:r>
          </w:p>
        </w:tc>
        <w:tc>
          <w:tcPr>
            <w:tcW w:w="163" w:type="dxa"/>
            <w:tcBorders/>
            <w:vAlign w:val="center"/>
          </w:tcPr>
          <w:p>
            <w:pPr>
              <w:pStyle w:val="TableContents"/>
              <w:bidi w:val="0"/>
              <w:spacing w:before="0" w:after="283"/>
              <w:jc w:val="left"/>
              <w:rPr/>
            </w:pPr>
            <w:r>
              <w:rPr/>
              <w:t> </w:t>
            </w:r>
          </w:p>
        </w:tc>
        <w:tc>
          <w:tcPr>
            <w:tcW w:w="908"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107,531</w:t>
            </w:r>
          </w:p>
        </w:tc>
        <w:tc>
          <w:tcPr>
            <w:tcW w:w="75" w:type="dxa"/>
            <w:tcBorders/>
            <w:vAlign w:val="center"/>
          </w:tcPr>
          <w:p>
            <w:pPr>
              <w:pStyle w:val="TableContents"/>
              <w:bidi w:val="0"/>
              <w:spacing w:before="0" w:after="283"/>
              <w:jc w:val="left"/>
              <w:rPr/>
            </w:pPr>
            <w:r>
              <w:rPr/>
              <w:t> </w:t>
            </w:r>
          </w:p>
        </w:tc>
      </w:tr>
      <w:tr>
        <w:trPr/>
        <w:tc>
          <w:tcPr>
            <w:tcW w:w="1925"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Inverters</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1003"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71,468</w:t>
            </w:r>
          </w:p>
        </w:tc>
        <w:tc>
          <w:tcPr>
            <w:tcW w:w="86"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1003"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80,645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908"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134,738</w:t>
            </w:r>
          </w:p>
        </w:tc>
        <w:tc>
          <w:tcPr>
            <w:tcW w:w="78"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908"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151,689</w:t>
            </w:r>
          </w:p>
        </w:tc>
        <w:tc>
          <w:tcPr>
            <w:tcW w:w="75" w:type="dxa"/>
            <w:tcBorders/>
            <w:shd w:fill="CCEEFF" w:val="clear"/>
            <w:vAlign w:val="center"/>
          </w:tcPr>
          <w:p>
            <w:pPr>
              <w:pStyle w:val="TableContents"/>
              <w:bidi w:val="0"/>
              <w:spacing w:before="0" w:after="283"/>
              <w:jc w:val="left"/>
              <w:rPr/>
            </w:pPr>
            <w:r>
              <w:rPr/>
              <w:t> </w:t>
            </w:r>
          </w:p>
        </w:tc>
      </w:tr>
      <w:tr>
        <w:trPr/>
        <w:tc>
          <w:tcPr>
            <w:tcW w:w="1925"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Battery accessories</w:t>
            </w:r>
          </w:p>
        </w:tc>
        <w:tc>
          <w:tcPr>
            <w:tcW w:w="6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pPr>
            <w:r>
              <w:rPr/>
              <w:t> </w:t>
            </w:r>
          </w:p>
        </w:tc>
        <w:tc>
          <w:tcPr>
            <w:tcW w:w="1003"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13,330</w:t>
            </w:r>
          </w:p>
        </w:tc>
        <w:tc>
          <w:tcPr>
            <w:tcW w:w="86" w:type="dxa"/>
            <w:tcBorders/>
            <w:vAlign w:val="center"/>
          </w:tcPr>
          <w:p>
            <w:pPr>
              <w:pStyle w:val="TableContents"/>
              <w:bidi w:val="0"/>
              <w:spacing w:before="0" w:after="283"/>
              <w:jc w:val="left"/>
              <w:rPr/>
            </w:pPr>
            <w:r>
              <w:rPr/>
              <w:t> </w:t>
            </w:r>
          </w:p>
        </w:tc>
        <w:tc>
          <w:tcPr>
            <w:tcW w:w="86"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pPr>
            <w:r>
              <w:rPr/>
              <w:t> </w:t>
            </w:r>
          </w:p>
        </w:tc>
        <w:tc>
          <w:tcPr>
            <w:tcW w:w="1003"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8,644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3" w:type="dxa"/>
            <w:tcBorders/>
            <w:vAlign w:val="center"/>
          </w:tcPr>
          <w:p>
            <w:pPr>
              <w:pStyle w:val="TableContents"/>
              <w:bidi w:val="0"/>
              <w:spacing w:before="0" w:after="283"/>
              <w:jc w:val="left"/>
              <w:rPr/>
            </w:pPr>
            <w:r>
              <w:rPr/>
              <w:t> </w:t>
            </w:r>
          </w:p>
        </w:tc>
        <w:tc>
          <w:tcPr>
            <w:tcW w:w="908"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21,094</w:t>
            </w:r>
          </w:p>
        </w:tc>
        <w:tc>
          <w:tcPr>
            <w:tcW w:w="78"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pPr>
            <w:r>
              <w:rPr/>
              <w:t> </w:t>
            </w:r>
          </w:p>
        </w:tc>
        <w:tc>
          <w:tcPr>
            <w:tcW w:w="163" w:type="dxa"/>
            <w:tcBorders/>
            <w:vAlign w:val="center"/>
          </w:tcPr>
          <w:p>
            <w:pPr>
              <w:pStyle w:val="TableContents"/>
              <w:bidi w:val="0"/>
              <w:spacing w:before="0" w:after="283"/>
              <w:jc w:val="left"/>
              <w:rPr/>
            </w:pPr>
            <w:r>
              <w:rPr/>
              <w:t> </w:t>
            </w:r>
          </w:p>
        </w:tc>
        <w:tc>
          <w:tcPr>
            <w:tcW w:w="908"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14,517</w:t>
            </w:r>
          </w:p>
        </w:tc>
        <w:tc>
          <w:tcPr>
            <w:tcW w:w="75" w:type="dxa"/>
            <w:tcBorders/>
            <w:vAlign w:val="center"/>
          </w:tcPr>
          <w:p>
            <w:pPr>
              <w:pStyle w:val="TableContents"/>
              <w:bidi w:val="0"/>
              <w:spacing w:before="0" w:after="283"/>
              <w:jc w:val="left"/>
              <w:rPr/>
            </w:pPr>
            <w:r>
              <w:rPr/>
              <w:t> </w:t>
            </w:r>
          </w:p>
        </w:tc>
      </w:tr>
      <w:tr>
        <w:trPr/>
        <w:tc>
          <w:tcPr>
            <w:tcW w:w="1925"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Energy storage systems</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1003"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w:t>
            </w:r>
          </w:p>
        </w:tc>
        <w:tc>
          <w:tcPr>
            <w:tcW w:w="86"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1003"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8,132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908"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w:t>
            </w:r>
          </w:p>
        </w:tc>
        <w:tc>
          <w:tcPr>
            <w:tcW w:w="78"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908"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15,230</w:t>
            </w:r>
          </w:p>
        </w:tc>
        <w:tc>
          <w:tcPr>
            <w:tcW w:w="75" w:type="dxa"/>
            <w:tcBorders/>
            <w:shd w:fill="CCEEFF" w:val="clear"/>
            <w:vAlign w:val="center"/>
          </w:tcPr>
          <w:p>
            <w:pPr>
              <w:pStyle w:val="TableContents"/>
              <w:bidi w:val="0"/>
              <w:spacing w:before="0" w:after="283"/>
              <w:jc w:val="left"/>
              <w:rPr/>
            </w:pPr>
            <w:r>
              <w:rPr/>
              <w:t> </w:t>
            </w:r>
          </w:p>
        </w:tc>
      </w:tr>
      <w:tr>
        <w:trPr/>
        <w:tc>
          <w:tcPr>
            <w:tcW w:w="1925"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Other</w:t>
            </w:r>
          </w:p>
        </w:tc>
        <w:tc>
          <w:tcPr>
            <w:tcW w:w="60" w:type="dxa"/>
            <w:tcBorders/>
            <w:vAlign w:val="center"/>
          </w:tcPr>
          <w:p>
            <w:pPr>
              <w:pStyle w:val="TableContents"/>
              <w:bidi w:val="0"/>
              <w:spacing w:before="0" w:after="283"/>
              <w:jc w:val="left"/>
              <w:rPr/>
            </w:pPr>
            <w:r>
              <w:rPr/>
              <w:t> </w:t>
            </w:r>
          </w:p>
        </w:tc>
        <w:tc>
          <w:tcPr>
            <w:tcW w:w="180" w:type="dxa"/>
            <w:tcBorders>
              <w:bottom w:val="single" w:sz="12" w:space="0" w:color="000000"/>
            </w:tcBorders>
            <w:tcMar>
              <w:bottom w:w="28" w:type="dxa"/>
            </w:tcMar>
            <w:vAlign w:val="center"/>
          </w:tcPr>
          <w:p>
            <w:pPr>
              <w:pStyle w:val="TableContents"/>
              <w:bidi w:val="0"/>
              <w:spacing w:before="0" w:after="283"/>
              <w:jc w:val="left"/>
              <w:rPr/>
            </w:pPr>
            <w:r>
              <w:rPr/>
              <w:t> </w:t>
            </w:r>
          </w:p>
        </w:tc>
        <w:tc>
          <w:tcPr>
            <w:tcW w:w="1003" w:type="dxa"/>
            <w:tcBorders>
              <w:bottom w:val="single" w:sz="12" w:space="0" w:color="000000"/>
            </w:tcBorders>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18,947</w:t>
            </w:r>
          </w:p>
        </w:tc>
        <w:tc>
          <w:tcPr>
            <w:tcW w:w="86" w:type="dxa"/>
            <w:tcBorders/>
            <w:vAlign w:val="center"/>
          </w:tcPr>
          <w:p>
            <w:pPr>
              <w:pStyle w:val="TableContents"/>
              <w:bidi w:val="0"/>
              <w:spacing w:before="0" w:after="283"/>
              <w:jc w:val="left"/>
              <w:rPr/>
            </w:pPr>
            <w:r>
              <w:rPr/>
              <w:t> </w:t>
            </w:r>
          </w:p>
        </w:tc>
        <w:tc>
          <w:tcPr>
            <w:tcW w:w="86" w:type="dxa"/>
            <w:tcBorders/>
            <w:vAlign w:val="center"/>
          </w:tcPr>
          <w:p>
            <w:pPr>
              <w:pStyle w:val="TableContents"/>
              <w:bidi w:val="0"/>
              <w:spacing w:before="0" w:after="283"/>
              <w:jc w:val="left"/>
              <w:rPr/>
            </w:pPr>
            <w:r>
              <w:rPr/>
              <w:t> </w:t>
            </w:r>
          </w:p>
        </w:tc>
        <w:tc>
          <w:tcPr>
            <w:tcW w:w="180" w:type="dxa"/>
            <w:tcBorders>
              <w:bottom w:val="single" w:sz="12" w:space="0" w:color="000000"/>
            </w:tcBorders>
            <w:tcMar>
              <w:bottom w:w="28" w:type="dxa"/>
            </w:tcMar>
            <w:vAlign w:val="center"/>
          </w:tcPr>
          <w:p>
            <w:pPr>
              <w:pStyle w:val="TableContents"/>
              <w:bidi w:val="0"/>
              <w:spacing w:before="0" w:after="283"/>
              <w:jc w:val="left"/>
              <w:rPr/>
            </w:pPr>
            <w:r>
              <w:rPr/>
              <w:t> </w:t>
            </w:r>
          </w:p>
        </w:tc>
        <w:tc>
          <w:tcPr>
            <w:tcW w:w="1003" w:type="dxa"/>
            <w:tcBorders>
              <w:bottom w:val="single" w:sz="12" w:space="0" w:color="000000"/>
            </w:tcBorders>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3,118</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3" w:type="dxa"/>
            <w:tcBorders>
              <w:bottom w:val="single" w:sz="12" w:space="0" w:color="000000"/>
            </w:tcBorders>
            <w:tcMar>
              <w:bottom w:w="28" w:type="dxa"/>
            </w:tcMar>
            <w:vAlign w:val="center"/>
          </w:tcPr>
          <w:p>
            <w:pPr>
              <w:pStyle w:val="TableContents"/>
              <w:bidi w:val="0"/>
              <w:spacing w:before="0" w:after="283"/>
              <w:jc w:val="left"/>
              <w:rPr/>
            </w:pPr>
            <w:r>
              <w:rPr/>
              <w:t> </w:t>
            </w:r>
          </w:p>
        </w:tc>
        <w:tc>
          <w:tcPr>
            <w:tcW w:w="908" w:type="dxa"/>
            <w:tcBorders>
              <w:bottom w:val="single" w:sz="12" w:space="0" w:color="000000"/>
            </w:tcBorders>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39,562</w:t>
            </w:r>
          </w:p>
        </w:tc>
        <w:tc>
          <w:tcPr>
            <w:tcW w:w="78"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pPr>
            <w:r>
              <w:rPr/>
              <w:t> </w:t>
            </w:r>
          </w:p>
        </w:tc>
        <w:tc>
          <w:tcPr>
            <w:tcW w:w="163" w:type="dxa"/>
            <w:tcBorders>
              <w:bottom w:val="single" w:sz="12" w:space="0" w:color="000000"/>
            </w:tcBorders>
            <w:tcMar>
              <w:bottom w:w="28" w:type="dxa"/>
            </w:tcMar>
            <w:vAlign w:val="center"/>
          </w:tcPr>
          <w:p>
            <w:pPr>
              <w:pStyle w:val="TableContents"/>
              <w:bidi w:val="0"/>
              <w:spacing w:before="0" w:after="283"/>
              <w:jc w:val="left"/>
              <w:rPr/>
            </w:pPr>
            <w:r>
              <w:rPr/>
              <w:t> </w:t>
            </w:r>
          </w:p>
        </w:tc>
        <w:tc>
          <w:tcPr>
            <w:tcW w:w="908" w:type="dxa"/>
            <w:tcBorders>
              <w:bottom w:val="single" w:sz="12" w:space="0" w:color="000000"/>
            </w:tcBorders>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5,693</w:t>
            </w:r>
          </w:p>
        </w:tc>
        <w:tc>
          <w:tcPr>
            <w:tcW w:w="75" w:type="dxa"/>
            <w:tcBorders/>
            <w:vAlign w:val="center"/>
          </w:tcPr>
          <w:p>
            <w:pPr>
              <w:pStyle w:val="TableContents"/>
              <w:bidi w:val="0"/>
              <w:spacing w:before="0" w:after="283"/>
              <w:jc w:val="left"/>
              <w:rPr/>
            </w:pPr>
            <w:r>
              <w:rPr/>
              <w:t> </w:t>
            </w:r>
          </w:p>
        </w:tc>
      </w:tr>
      <w:tr>
        <w:trPr/>
        <w:tc>
          <w:tcPr>
            <w:tcW w:w="1925"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Total revenues</w:t>
            </w:r>
          </w:p>
        </w:tc>
        <w:tc>
          <w:tcPr>
            <w:tcW w:w="60" w:type="dxa"/>
            <w:tcBorders/>
            <w:shd w:fill="CCEEFF" w:val="clear"/>
            <w:vAlign w:val="center"/>
          </w:tcPr>
          <w:p>
            <w:pPr>
              <w:pStyle w:val="TableContents"/>
              <w:bidi w:val="0"/>
              <w:spacing w:before="0" w:after="283"/>
              <w:jc w:val="left"/>
              <w:rPr/>
            </w:pPr>
            <w:r>
              <w:rPr/>
              <w:t> </w:t>
            </w:r>
          </w:p>
        </w:tc>
        <w:tc>
          <w:tcPr>
            <w:tcW w:w="180" w:type="dxa"/>
            <w:tcBorders>
              <w:bottom w:val="double" w:sz="8" w:space="0" w:color="000000"/>
            </w:tcBorders>
            <w:shd w:fill="CCEEFF" w:val="clear"/>
            <w:tcMar>
              <w:bottom w:w="28" w:type="dxa"/>
            </w:tcM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1003" w:type="dxa"/>
            <w:tcBorders>
              <w:bottom w:val="double" w:sz="8" w:space="0" w:color="000000"/>
            </w:tcBorders>
            <w:shd w:fill="CCEEFF" w:val="clear"/>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346,245</w:t>
            </w:r>
          </w:p>
        </w:tc>
        <w:tc>
          <w:tcPr>
            <w:tcW w:w="86"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180" w:type="dxa"/>
            <w:tcBorders>
              <w:bottom w:val="double" w:sz="8" w:space="0" w:color="000000"/>
            </w:tcBorders>
            <w:shd w:fill="CCEEFF" w:val="clear"/>
            <w:tcMar>
              <w:bottom w:w="28" w:type="dxa"/>
            </w:tcM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1003" w:type="dxa"/>
            <w:tcBorders>
              <w:bottom w:val="double" w:sz="8" w:space="0" w:color="000000"/>
            </w:tcBorders>
            <w:shd w:fill="CCEEFF" w:val="clear"/>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289,429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bottom w:val="double" w:sz="8" w:space="0" w:color="000000"/>
            </w:tcBorders>
            <w:shd w:fill="CCEEFF" w:val="clear"/>
            <w:tcMar>
              <w:bottom w:w="28" w:type="dxa"/>
            </w:tcM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908" w:type="dxa"/>
            <w:tcBorders>
              <w:bottom w:val="double" w:sz="8" w:space="0" w:color="000000"/>
            </w:tcBorders>
            <w:shd w:fill="CCEEFF" w:val="clear"/>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656,746</w:t>
            </w:r>
          </w:p>
        </w:tc>
        <w:tc>
          <w:tcPr>
            <w:tcW w:w="78"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63" w:type="dxa"/>
            <w:tcBorders>
              <w:bottom w:val="double" w:sz="8" w:space="0" w:color="000000"/>
            </w:tcBorders>
            <w:shd w:fill="CCEEFF" w:val="clear"/>
            <w:tcMar>
              <w:bottom w:w="28" w:type="dxa"/>
            </w:tcM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908" w:type="dxa"/>
            <w:tcBorders>
              <w:bottom w:val="double" w:sz="8" w:space="0" w:color="000000"/>
            </w:tcBorders>
            <w:shd w:fill="CCEEFF" w:val="clear"/>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508,909</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lineRule="auto" w:line="300" w:before="0" w:after="0"/>
        <w:jc w:val="left"/>
        <w:rPr/>
      </w:pPr>
      <w:r>
        <w:rPr/>
        <w:t> </w:t>
      </w:r>
    </w:p>
    <w:p>
      <w:pPr>
        <w:pStyle w:val="TextBody"/>
        <w:bidi w:val="0"/>
        <w:spacing w:before="200" w:after="20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SOLAREDGE TECHNOLOGIES INC. | 2026 Form 10-Q | F - 31</w:t>
      </w:r>
    </w:p>
    <w:p>
      <w:pPr>
        <w:pStyle w:val="HorizontalLine"/>
        <w:bidi w:val="0"/>
        <w:spacing w:before="200" w:after="200"/>
        <w:jc w:val="left"/>
        <w:rPr/>
      </w:pPr>
      <w:r>
        <w:rPr/>
      </w:r>
    </w:p>
    <w:p>
      <w:pPr>
        <w:pStyle w:val="TextBody"/>
        <w:bidi w:val="0"/>
        <w:spacing w:lineRule="auto" w:line="300" w:before="0" w:after="0"/>
        <w:jc w:val="left"/>
        <w:rPr/>
      </w:pPr>
      <w:r>
        <w:rPr/>
        <w:t> </w:t>
      </w:r>
    </w:p>
    <w:p>
      <w:pPr>
        <w:pStyle w:val="TextBody"/>
        <w:bidi w:val="0"/>
        <w:spacing w:lineRule="auto" w:line="300" w:before="0" w:after="0"/>
        <w:jc w:val="left"/>
        <w:rPr>
          <w:rFonts w:ascii="Times New Roman;Times;serif" w:hAnsi="Times New Roman;Times;serif"/>
          <w:b/>
          <w:sz w:val="20"/>
        </w:rPr>
      </w:pPr>
      <w:r>
        <w:rPr>
          <w:rFonts w:ascii="Times New Roman;Times;serif" w:hAnsi="Times New Roman;Times;serif"/>
          <w:b/>
          <w:sz w:val="20"/>
        </w:rPr>
        <w:t>ITEM 2</w:t>
      </w:r>
      <w:bookmarkStart w:id="11" w:name="ITEM2"/>
      <w:bookmarkEnd w:id="11"/>
      <w:r>
        <w:rPr>
          <w:rFonts w:ascii="Times New Roman;Times;serif" w:hAnsi="Times New Roman;Times;serif"/>
          <w:b/>
          <w:sz w:val="20"/>
        </w:rPr>
        <w:t>.  MANAGEMENT’S DISCUSSION AND ANALYSIS OF FINANCIAL CONDITION AND RESULTS OF OPERATIONS</w:t>
      </w:r>
    </w:p>
    <w:p>
      <w:pPr>
        <w:pStyle w:val="TextBody"/>
        <w:bidi w:val="0"/>
        <w:spacing w:lineRule="auto" w:line="300" w:before="0" w:after="0"/>
        <w:jc w:val="left"/>
        <w:rPr/>
      </w:pPr>
      <w:r>
        <w:rPr/>
        <w:t> </w:t>
      </w:r>
    </w:p>
    <w:p>
      <w:pPr>
        <w:pStyle w:val="TextBody"/>
        <w:bidi w:val="0"/>
        <w:spacing w:lineRule="auto" w:line="300" w:before="0" w:after="0"/>
        <w:jc w:val="left"/>
        <w:rPr>
          <w:rFonts w:ascii="Times New Roman;Times;serif" w:hAnsi="Times New Roman;Times;serif"/>
          <w:b/>
          <w:sz w:val="20"/>
        </w:rPr>
      </w:pPr>
      <w:r>
        <w:rPr>
          <w:rFonts w:ascii="Times New Roman;Times;serif" w:hAnsi="Times New Roman;Times;serif"/>
          <w:b/>
          <w:sz w:val="20"/>
        </w:rPr>
        <w:t>SPECIAL NOTE REGARDING FORWARD-LOOKING STATEMENTS</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rFonts w:ascii="Times New Roman;Times;serif" w:hAnsi="Times New Roman;Times;serif"/>
          <w:sz w:val="20"/>
        </w:rPr>
      </w:pPr>
      <w:r>
        <w:rPr>
          <w:rFonts w:ascii="Times New Roman;Times;serif" w:hAnsi="Times New Roman;Times;serif"/>
          <w:sz w:val="20"/>
        </w:rPr>
        <w:t>Statements contained in this Form 10-Q or statements incorporated by reference from documents we have filed with the Securities and Exchange Commission may contain forward-looking statements that are based on our management’s expectations, estimates, projections, beliefs and assumptions and on information currently available to our management. The forward-looking statements should be read in conjunction with our unaudited condensed consolidated financial statements and related notes included in Part 1, Item 1 of this report. This discussion contains certain forward-looking statements within the meaning of Section 27A of the Securities Act of 1933, as amended, and Section 21E of the Securities Exchange Act of 1934, as amended. Forward-looking statements include information concerning our possible or assumed future results of operations, business strategies, technology developments, new products and services, financing and investment plans, competitive position, backlog, industry and regulatory environment, effects of acquisitions, growth opportunities, potential future impairments, and the effects of competition. Forward-looking statements include statements that are not historical facts and can be identified by terms such as “anticipate,” “believe,” “could,” “seek,” “estimate,” “expect,” “intend,” “may,” “plan,” “potential,” “predict,” “project,” “should,” “will,” “would” or similar expressions and the negatives of those terms.</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pPr>
      <w:r>
        <w:rPr/>
        <w:t> </w:t>
      </w:r>
      <w:r>
        <w:rPr>
          <w:rFonts w:ascii="Times New Roman;Times;serif" w:hAnsi="Times New Roman;Times;serif"/>
          <w:sz w:val="20"/>
        </w:rPr>
        <w:t>Forward-looking statements inherently involve known and unknown risks, uncertainties and other factors that may cause our actual results, performance or achievements to be materially different from any future results, performance or achievements expressed or implied by the forward-looking statements. Given these uncertainties, you should not place undue reliance on forward-looking statements. Forward-looking and other statements regarding our sustainability efforts and aspirations are not an indication that these statements are necessarily material to investors or requiring disclosure in our filing with the Securities and Exchange Commission (“SEC”). In addition, historical, current and forward-looking sustainability-related statements may be based on standards for measuring progress that are still developing, internal controls and processes that continue to evolve and assumptions that are subject to change in the future, including future rule-making. Also, forward-looking statements represent our management’s beliefs and assumptions only as of the date of this filing. Important factors that could cause actual results to differ materially from our expectations include:</w:t>
      </w:r>
    </w:p>
    <w:p>
      <w:pPr>
        <w:pStyle w:val="TextBody"/>
        <w:bidi w:val="0"/>
        <w:spacing w:lineRule="auto" w:line="300" w:before="0" w:after="0"/>
        <w:jc w:val="left"/>
        <w:rPr/>
      </w:pPr>
      <w:r>
        <w:rPr/>
        <w:t> </w:t>
      </w:r>
    </w:p>
    <w:tbl>
      <w:tblPr>
        <w:tblW w:w="5890" w:type="dxa"/>
        <w:jc w:val="left"/>
        <w:tblInd w:w="0" w:type="dxa"/>
        <w:tblLayout w:type="fixed"/>
        <w:tblCellMar>
          <w:top w:w="0" w:type="dxa"/>
          <w:left w:w="0" w:type="dxa"/>
          <w:bottom w:w="0" w:type="dxa"/>
          <w:right w:w="0" w:type="dxa"/>
        </w:tblCellMar>
      </w:tblPr>
      <w:tblGrid>
        <w:gridCol w:w="125"/>
        <w:gridCol w:w="5765"/>
      </w:tblGrid>
      <w:tr>
        <w:trPr/>
        <w:tc>
          <w:tcPr>
            <w:tcW w:w="125" w:type="dxa"/>
            <w:tcBorders/>
            <w:vAlign w:val="center"/>
          </w:tcPr>
          <w:p>
            <w:pPr>
              <w:pStyle w:val="TableContents"/>
              <w:bidi w:val="0"/>
              <w:spacing w:lineRule="auto" w:line="300" w:before="0" w:after="0"/>
              <w:ind w:left="360" w:right="0" w:hanging="0"/>
              <w:jc w:val="left"/>
              <w:rPr/>
            </w:pPr>
            <w:r>
              <w:rPr/>
              <w:t>•</w:t>
            </w:r>
          </w:p>
        </w:tc>
        <w:tc>
          <w:tcPr>
            <w:tcW w:w="5765" w:type="dxa"/>
            <w:tcBorders/>
            <w:vAlign w:val="center"/>
          </w:tcPr>
          <w:p>
            <w:pPr>
              <w:pStyle w:val="TableContents"/>
              <w:bidi w:val="0"/>
              <w:spacing w:lineRule="auto" w:line="300" w:before="0" w:after="0"/>
              <w:jc w:val="both"/>
              <w:rPr>
                <w:rFonts w:ascii="Times New Roman;Times;serif" w:hAnsi="Times New Roman;Times;serif"/>
                <w:sz w:val="20"/>
              </w:rPr>
            </w:pPr>
            <w:r>
              <w:rPr>
                <w:rFonts w:ascii="Times New Roman;Times;serif" w:hAnsi="Times New Roman;Times;serif"/>
                <w:sz w:val="20"/>
              </w:rPr>
              <w:t>Future demand for renewable energy, including solar energy solutions;</w:t>
            </w:r>
          </w:p>
        </w:tc>
      </w:tr>
    </w:tbl>
    <w:tbl>
      <w:tblPr>
        <w:tblW w:w="3400" w:type="dxa"/>
        <w:jc w:val="left"/>
        <w:tblInd w:w="0" w:type="dxa"/>
        <w:tblLayout w:type="fixed"/>
        <w:tblCellMar>
          <w:top w:w="0" w:type="dxa"/>
          <w:left w:w="0" w:type="dxa"/>
          <w:bottom w:w="0" w:type="dxa"/>
          <w:right w:w="0" w:type="dxa"/>
        </w:tblCellMar>
      </w:tblPr>
      <w:tblGrid>
        <w:gridCol w:w="125"/>
        <w:gridCol w:w="3275"/>
      </w:tblGrid>
      <w:tr>
        <w:trPr/>
        <w:tc>
          <w:tcPr>
            <w:tcW w:w="125" w:type="dxa"/>
            <w:tcBorders/>
            <w:vAlign w:val="center"/>
          </w:tcPr>
          <w:p>
            <w:pPr>
              <w:pStyle w:val="TableContents"/>
              <w:bidi w:val="0"/>
              <w:spacing w:lineRule="auto" w:line="300" w:before="0" w:after="0"/>
              <w:ind w:left="360" w:right="0" w:hanging="0"/>
              <w:jc w:val="left"/>
              <w:rPr/>
            </w:pPr>
            <w:r>
              <w:rPr/>
              <w:t>•</w:t>
            </w:r>
          </w:p>
        </w:tc>
        <w:tc>
          <w:tcPr>
            <w:tcW w:w="3275" w:type="dxa"/>
            <w:tcBorders/>
            <w:vAlign w:val="center"/>
          </w:tcPr>
          <w:p>
            <w:pPr>
              <w:pStyle w:val="TableContents"/>
              <w:bidi w:val="0"/>
              <w:spacing w:lineRule="auto" w:line="300" w:before="0" w:after="0"/>
              <w:jc w:val="both"/>
              <w:rPr>
                <w:rFonts w:ascii="Times New Roman;Times;serif" w:hAnsi="Times New Roman;Times;serif"/>
                <w:sz w:val="20"/>
              </w:rPr>
            </w:pPr>
            <w:r>
              <w:rPr>
                <w:rFonts w:ascii="Times New Roman;Times;serif" w:hAnsi="Times New Roman;Times;serif"/>
                <w:sz w:val="20"/>
              </w:rPr>
              <w:t>our ability to be profitable in the future;</w:t>
            </w:r>
          </w:p>
        </w:tc>
      </w:tr>
    </w:tbl>
    <w:tbl>
      <w:tblPr>
        <w:tblW w:w="5470" w:type="dxa"/>
        <w:jc w:val="left"/>
        <w:tblInd w:w="0" w:type="dxa"/>
        <w:tblLayout w:type="fixed"/>
        <w:tblCellMar>
          <w:top w:w="0" w:type="dxa"/>
          <w:left w:w="0" w:type="dxa"/>
          <w:bottom w:w="0" w:type="dxa"/>
          <w:right w:w="0" w:type="dxa"/>
        </w:tblCellMar>
      </w:tblPr>
      <w:tblGrid>
        <w:gridCol w:w="125"/>
        <w:gridCol w:w="5345"/>
      </w:tblGrid>
      <w:tr>
        <w:trPr/>
        <w:tc>
          <w:tcPr>
            <w:tcW w:w="125" w:type="dxa"/>
            <w:tcBorders/>
            <w:vAlign w:val="center"/>
          </w:tcPr>
          <w:p>
            <w:pPr>
              <w:pStyle w:val="TableContents"/>
              <w:bidi w:val="0"/>
              <w:spacing w:lineRule="auto" w:line="300" w:before="0" w:after="0"/>
              <w:ind w:left="360" w:right="0" w:hanging="0"/>
              <w:jc w:val="left"/>
              <w:rPr/>
            </w:pPr>
            <w:r>
              <w:rPr/>
              <w:t>•</w:t>
            </w:r>
          </w:p>
        </w:tc>
        <w:tc>
          <w:tcPr>
            <w:tcW w:w="5345" w:type="dxa"/>
            <w:tcBorders/>
            <w:vAlign w:val="center"/>
          </w:tcPr>
          <w:p>
            <w:pPr>
              <w:pStyle w:val="TableContents"/>
              <w:bidi w:val="0"/>
              <w:spacing w:lineRule="auto" w:line="300" w:before="0" w:after="0"/>
              <w:jc w:val="both"/>
              <w:rPr>
                <w:rFonts w:ascii="Times New Roman;Times;serif" w:hAnsi="Times New Roman;Times;serif"/>
                <w:sz w:val="20"/>
              </w:rPr>
            </w:pPr>
            <w:r>
              <w:rPr>
                <w:rFonts w:ascii="Times New Roman;Times;serif" w:hAnsi="Times New Roman;Times;serif"/>
                <w:sz w:val="20"/>
              </w:rPr>
              <w:t>the rapidly evolving and competitive nature of the solar industry;</w:t>
            </w:r>
          </w:p>
        </w:tc>
      </w:tr>
    </w:tbl>
    <w:tbl>
      <w:tblPr>
        <w:tblW w:w="10205" w:type="dxa"/>
        <w:jc w:val="left"/>
        <w:tblInd w:w="0" w:type="dxa"/>
        <w:tblLayout w:type="fixed"/>
        <w:tblCellMar>
          <w:top w:w="0" w:type="dxa"/>
          <w:left w:w="0" w:type="dxa"/>
          <w:bottom w:w="0" w:type="dxa"/>
          <w:right w:w="0" w:type="dxa"/>
        </w:tblCellMar>
      </w:tblPr>
      <w:tblGrid>
        <w:gridCol w:w="125"/>
        <w:gridCol w:w="10080"/>
      </w:tblGrid>
      <w:tr>
        <w:trPr/>
        <w:tc>
          <w:tcPr>
            <w:tcW w:w="125" w:type="dxa"/>
            <w:tcBorders/>
            <w:vAlign w:val="center"/>
          </w:tcPr>
          <w:p>
            <w:pPr>
              <w:pStyle w:val="TableContents"/>
              <w:bidi w:val="0"/>
              <w:spacing w:lineRule="auto" w:line="300" w:before="0" w:after="0"/>
              <w:ind w:left="360" w:right="0" w:hanging="0"/>
              <w:jc w:val="left"/>
              <w:rPr/>
            </w:pPr>
            <w:r>
              <w:rPr/>
              <w:t>•</w:t>
            </w:r>
          </w:p>
        </w:tc>
        <w:tc>
          <w:tcPr>
            <w:tcW w:w="10080" w:type="dxa"/>
            <w:tcBorders/>
            <w:vAlign w:val="center"/>
          </w:tcPr>
          <w:p>
            <w:pPr>
              <w:pStyle w:val="TableContents"/>
              <w:bidi w:val="0"/>
              <w:spacing w:lineRule="auto" w:line="300" w:before="0" w:after="0"/>
              <w:jc w:val="both"/>
              <w:rPr>
                <w:rFonts w:ascii="Times New Roman;Times;serif" w:hAnsi="Times New Roman;Times;serif"/>
                <w:sz w:val="20"/>
              </w:rPr>
            </w:pPr>
            <w:r>
              <w:rPr>
                <w:rFonts w:ascii="Times New Roman;Times;serif" w:hAnsi="Times New Roman;Times;serif"/>
                <w:sz w:val="20"/>
              </w:rPr>
              <w:t>changes in tax laws, tax treaties, regulations, guidance or the interpretation of them, including the Inflation Reduction Act and the H.R.1;</w:t>
            </w:r>
          </w:p>
        </w:tc>
      </w:tr>
    </w:tbl>
    <w:tbl>
      <w:tblPr>
        <w:tblW w:w="10205" w:type="dxa"/>
        <w:jc w:val="left"/>
        <w:tblInd w:w="0" w:type="dxa"/>
        <w:tblLayout w:type="fixed"/>
        <w:tblCellMar>
          <w:top w:w="0" w:type="dxa"/>
          <w:left w:w="0" w:type="dxa"/>
          <w:bottom w:w="0" w:type="dxa"/>
          <w:right w:w="0" w:type="dxa"/>
        </w:tblCellMar>
      </w:tblPr>
      <w:tblGrid>
        <w:gridCol w:w="125"/>
        <w:gridCol w:w="10080"/>
      </w:tblGrid>
      <w:tr>
        <w:trPr/>
        <w:tc>
          <w:tcPr>
            <w:tcW w:w="125" w:type="dxa"/>
            <w:tcBorders/>
            <w:vAlign w:val="center"/>
          </w:tcPr>
          <w:p>
            <w:pPr>
              <w:pStyle w:val="TableContents"/>
              <w:bidi w:val="0"/>
              <w:spacing w:lineRule="auto" w:line="300" w:before="0" w:after="0"/>
              <w:ind w:left="360" w:right="0" w:hanging="0"/>
              <w:jc w:val="left"/>
              <w:rPr/>
            </w:pPr>
            <w:r>
              <w:rPr/>
              <w:t>•</w:t>
            </w:r>
          </w:p>
        </w:tc>
        <w:tc>
          <w:tcPr>
            <w:tcW w:w="10080" w:type="dxa"/>
            <w:tcBorders/>
            <w:vAlign w:val="center"/>
          </w:tcPr>
          <w:p>
            <w:pPr>
              <w:pStyle w:val="TableContents"/>
              <w:bidi w:val="0"/>
              <w:spacing w:lineRule="auto" w:line="300" w:before="0" w:after="0"/>
              <w:jc w:val="both"/>
              <w:rPr>
                <w:rFonts w:ascii="Times New Roman;Times;serif" w:hAnsi="Times New Roman;Times;serif"/>
                <w:sz w:val="20"/>
              </w:rPr>
            </w:pPr>
            <w:r>
              <w:rPr>
                <w:rFonts w:ascii="Times New Roman;Times;serif" w:hAnsi="Times New Roman;Times;serif"/>
                <w:sz w:val="20"/>
              </w:rPr>
              <w:t>fluctuations in demand for solar energy solutions, including if demand for solar energy solutions does not resume growth or grows at a slower rate than anticipated;</w:t>
            </w:r>
          </w:p>
        </w:tc>
      </w:tr>
    </w:tbl>
    <w:tbl>
      <w:tblPr>
        <w:tblW w:w="10205" w:type="dxa"/>
        <w:jc w:val="left"/>
        <w:tblInd w:w="0" w:type="dxa"/>
        <w:tblLayout w:type="fixed"/>
        <w:tblCellMar>
          <w:top w:w="0" w:type="dxa"/>
          <w:left w:w="0" w:type="dxa"/>
          <w:bottom w:w="0" w:type="dxa"/>
          <w:right w:w="0" w:type="dxa"/>
        </w:tblCellMar>
      </w:tblPr>
      <w:tblGrid>
        <w:gridCol w:w="125"/>
        <w:gridCol w:w="10080"/>
      </w:tblGrid>
      <w:tr>
        <w:trPr/>
        <w:tc>
          <w:tcPr>
            <w:tcW w:w="125" w:type="dxa"/>
            <w:tcBorders/>
            <w:vAlign w:val="center"/>
          </w:tcPr>
          <w:p>
            <w:pPr>
              <w:pStyle w:val="TableContents"/>
              <w:bidi w:val="0"/>
              <w:spacing w:lineRule="auto" w:line="300" w:before="0" w:after="0"/>
              <w:ind w:left="360" w:right="0" w:hanging="0"/>
              <w:jc w:val="left"/>
              <w:rPr/>
            </w:pPr>
            <w:r>
              <w:rPr/>
              <w:t>•</w:t>
            </w:r>
          </w:p>
        </w:tc>
        <w:tc>
          <w:tcPr>
            <w:tcW w:w="10080" w:type="dxa"/>
            <w:tcBorders/>
            <w:vAlign w:val="center"/>
          </w:tcPr>
          <w:p>
            <w:pPr>
              <w:pStyle w:val="TableContents"/>
              <w:bidi w:val="0"/>
              <w:spacing w:lineRule="auto" w:line="300" w:before="0" w:after="0"/>
              <w:jc w:val="both"/>
              <w:rPr>
                <w:rFonts w:ascii="Times New Roman;Times;serif" w:hAnsi="Times New Roman;Times;serif"/>
                <w:sz w:val="20"/>
              </w:rPr>
            </w:pPr>
            <w:r>
              <w:rPr>
                <w:rFonts w:ascii="Times New Roman;Times;serif" w:hAnsi="Times New Roman;Times;serif"/>
                <w:sz w:val="20"/>
              </w:rPr>
              <w:t>macroeconomic conditions in our domestic and international markets, such as inflation concerns, interest rates and recessionary concerns;</w:t>
            </w:r>
          </w:p>
        </w:tc>
      </w:tr>
    </w:tbl>
    <w:tbl>
      <w:tblPr>
        <w:tblW w:w="10205" w:type="dxa"/>
        <w:jc w:val="left"/>
        <w:tblInd w:w="0" w:type="dxa"/>
        <w:tblLayout w:type="fixed"/>
        <w:tblCellMar>
          <w:top w:w="0" w:type="dxa"/>
          <w:left w:w="0" w:type="dxa"/>
          <w:bottom w:w="0" w:type="dxa"/>
          <w:right w:w="0" w:type="dxa"/>
        </w:tblCellMar>
      </w:tblPr>
      <w:tblGrid>
        <w:gridCol w:w="125"/>
        <w:gridCol w:w="10080"/>
      </w:tblGrid>
      <w:tr>
        <w:trPr/>
        <w:tc>
          <w:tcPr>
            <w:tcW w:w="125" w:type="dxa"/>
            <w:tcBorders/>
            <w:vAlign w:val="center"/>
          </w:tcPr>
          <w:p>
            <w:pPr>
              <w:pStyle w:val="TableContents"/>
              <w:bidi w:val="0"/>
              <w:spacing w:lineRule="auto" w:line="300" w:before="0" w:after="0"/>
              <w:ind w:left="360" w:right="0" w:hanging="0"/>
              <w:jc w:val="left"/>
              <w:rPr/>
            </w:pPr>
            <w:r>
              <w:rPr/>
              <w:t>•</w:t>
            </w:r>
          </w:p>
        </w:tc>
        <w:tc>
          <w:tcPr>
            <w:tcW w:w="10080" w:type="dxa"/>
            <w:tcBorders/>
            <w:vAlign w:val="center"/>
          </w:tcPr>
          <w:p>
            <w:pPr>
              <w:pStyle w:val="TableContents"/>
              <w:bidi w:val="0"/>
              <w:spacing w:lineRule="auto" w:line="300" w:before="0" w:after="0"/>
              <w:jc w:val="both"/>
              <w:rPr>
                <w:rFonts w:ascii="Times New Roman;Times;serif" w:hAnsi="Times New Roman;Times;serif"/>
                <w:sz w:val="20"/>
              </w:rPr>
            </w:pPr>
            <w:r>
              <w:rPr>
                <w:rFonts w:ascii="Times New Roman;Times;serif" w:hAnsi="Times New Roman;Times;serif"/>
                <w:sz w:val="20"/>
              </w:rPr>
              <w:t>changes in the U.S. and global trade environments, including the imposition and/or increase of import tariffs or other restrictive trade measures;</w:t>
            </w:r>
          </w:p>
        </w:tc>
      </w:tr>
    </w:tbl>
    <w:tbl>
      <w:tblPr>
        <w:tblW w:w="7150" w:type="dxa"/>
        <w:jc w:val="left"/>
        <w:tblInd w:w="0" w:type="dxa"/>
        <w:tblLayout w:type="fixed"/>
        <w:tblCellMar>
          <w:top w:w="0" w:type="dxa"/>
          <w:left w:w="0" w:type="dxa"/>
          <w:bottom w:w="0" w:type="dxa"/>
          <w:right w:w="0" w:type="dxa"/>
        </w:tblCellMar>
      </w:tblPr>
      <w:tblGrid>
        <w:gridCol w:w="125"/>
        <w:gridCol w:w="7025"/>
      </w:tblGrid>
      <w:tr>
        <w:trPr/>
        <w:tc>
          <w:tcPr>
            <w:tcW w:w="125" w:type="dxa"/>
            <w:tcBorders/>
            <w:vAlign w:val="center"/>
          </w:tcPr>
          <w:p>
            <w:pPr>
              <w:pStyle w:val="TableContents"/>
              <w:bidi w:val="0"/>
              <w:spacing w:lineRule="auto" w:line="300" w:before="0" w:after="0"/>
              <w:ind w:left="360" w:right="0" w:hanging="0"/>
              <w:jc w:val="left"/>
              <w:rPr/>
            </w:pPr>
            <w:r>
              <w:rPr/>
              <w:t>•</w:t>
            </w:r>
          </w:p>
        </w:tc>
        <w:tc>
          <w:tcPr>
            <w:tcW w:w="7025" w:type="dxa"/>
            <w:tcBorders/>
            <w:vAlign w:val="center"/>
          </w:tcPr>
          <w:p>
            <w:pPr>
              <w:pStyle w:val="TableContents"/>
              <w:bidi w:val="0"/>
              <w:spacing w:lineRule="auto" w:line="300" w:before="0" w:after="0"/>
              <w:jc w:val="both"/>
              <w:rPr>
                <w:rFonts w:ascii="Times New Roman;Times;serif" w:hAnsi="Times New Roman;Times;serif"/>
                <w:sz w:val="20"/>
              </w:rPr>
            </w:pPr>
            <w:r>
              <w:rPr>
                <w:rFonts w:ascii="Times New Roman;Times;serif" w:hAnsi="Times New Roman;Times;serif"/>
                <w:sz w:val="20"/>
              </w:rPr>
              <w:t>the retail price of electricity derived from the utility grid or alternative energy sources;</w:t>
            </w:r>
          </w:p>
        </w:tc>
      </w:tr>
    </w:tbl>
    <w:tbl>
      <w:tblPr>
        <w:tblW w:w="9100" w:type="dxa"/>
        <w:jc w:val="left"/>
        <w:tblInd w:w="0" w:type="dxa"/>
        <w:tblLayout w:type="fixed"/>
        <w:tblCellMar>
          <w:top w:w="0" w:type="dxa"/>
          <w:left w:w="0" w:type="dxa"/>
          <w:bottom w:w="0" w:type="dxa"/>
          <w:right w:w="0" w:type="dxa"/>
        </w:tblCellMar>
      </w:tblPr>
      <w:tblGrid>
        <w:gridCol w:w="125"/>
        <w:gridCol w:w="8975"/>
      </w:tblGrid>
      <w:tr>
        <w:trPr/>
        <w:tc>
          <w:tcPr>
            <w:tcW w:w="125" w:type="dxa"/>
            <w:tcBorders/>
            <w:vAlign w:val="center"/>
          </w:tcPr>
          <w:p>
            <w:pPr>
              <w:pStyle w:val="TableContents"/>
              <w:bidi w:val="0"/>
              <w:spacing w:lineRule="auto" w:line="300" w:before="0" w:after="0"/>
              <w:ind w:left="360" w:right="0" w:hanging="0"/>
              <w:jc w:val="left"/>
              <w:rPr/>
            </w:pPr>
            <w:r>
              <w:rPr/>
              <w:t>•</w:t>
            </w:r>
          </w:p>
        </w:tc>
        <w:tc>
          <w:tcPr>
            <w:tcW w:w="8975" w:type="dxa"/>
            <w:tcBorders/>
            <w:vAlign w:val="center"/>
          </w:tcPr>
          <w:p>
            <w:pPr>
              <w:pStyle w:val="TableContents"/>
              <w:bidi w:val="0"/>
              <w:spacing w:lineRule="auto" w:line="300" w:before="0" w:after="0"/>
              <w:jc w:val="both"/>
              <w:rPr>
                <w:rFonts w:ascii="Times New Roman;Times;serif" w:hAnsi="Times New Roman;Times;serif"/>
                <w:sz w:val="20"/>
              </w:rPr>
            </w:pPr>
            <w:r>
              <w:rPr>
                <w:rFonts w:ascii="Times New Roman;Times;serif" w:hAnsi="Times New Roman;Times;serif"/>
                <w:sz w:val="20"/>
              </w:rPr>
              <w:t>interest rates and supply of capital in the global financial markets in general and in the PV market specifically;</w:t>
            </w:r>
          </w:p>
        </w:tc>
      </w:tr>
    </w:tbl>
    <w:tbl>
      <w:tblPr>
        <w:tblW w:w="10205" w:type="dxa"/>
        <w:jc w:val="left"/>
        <w:tblInd w:w="0" w:type="dxa"/>
        <w:tblLayout w:type="fixed"/>
        <w:tblCellMar>
          <w:top w:w="0" w:type="dxa"/>
          <w:left w:w="0" w:type="dxa"/>
          <w:bottom w:w="0" w:type="dxa"/>
          <w:right w:w="0" w:type="dxa"/>
        </w:tblCellMar>
      </w:tblPr>
      <w:tblGrid>
        <w:gridCol w:w="125"/>
        <w:gridCol w:w="10080"/>
      </w:tblGrid>
      <w:tr>
        <w:trPr/>
        <w:tc>
          <w:tcPr>
            <w:tcW w:w="125" w:type="dxa"/>
            <w:tcBorders/>
            <w:vAlign w:val="center"/>
          </w:tcPr>
          <w:p>
            <w:pPr>
              <w:pStyle w:val="TableContents"/>
              <w:bidi w:val="0"/>
              <w:spacing w:lineRule="auto" w:line="300" w:before="0" w:after="0"/>
              <w:ind w:left="360" w:right="0" w:hanging="0"/>
              <w:jc w:val="left"/>
              <w:rPr/>
            </w:pPr>
            <w:r>
              <w:rPr/>
              <w:t>•</w:t>
            </w:r>
          </w:p>
        </w:tc>
        <w:tc>
          <w:tcPr>
            <w:tcW w:w="10080" w:type="dxa"/>
            <w:tcBorders/>
            <w:vAlign w:val="center"/>
          </w:tcPr>
          <w:p>
            <w:pPr>
              <w:pStyle w:val="TableContents"/>
              <w:bidi w:val="0"/>
              <w:spacing w:lineRule="auto" w:line="300" w:before="0" w:after="0"/>
              <w:jc w:val="both"/>
              <w:rPr>
                <w:rFonts w:ascii="Times New Roman;Times;serif" w:hAnsi="Times New Roman;Times;serif"/>
                <w:sz w:val="20"/>
              </w:rPr>
            </w:pPr>
            <w:r>
              <w:rPr>
                <w:rFonts w:ascii="Times New Roman;Times;serif" w:hAnsi="Times New Roman;Times;serif"/>
                <w:sz w:val="20"/>
              </w:rPr>
              <w:t>competition, including introduction of power optimizers and inverters, electric vehicle (“EV”) chargers, batteries and photovoltaic (“PV”) system monitoring products by our competitors;</w:t>
            </w:r>
          </w:p>
        </w:tc>
      </w:tr>
    </w:tbl>
    <w:tbl>
      <w:tblPr>
        <w:tblW w:w="10205" w:type="dxa"/>
        <w:jc w:val="left"/>
        <w:tblInd w:w="0" w:type="dxa"/>
        <w:tblLayout w:type="fixed"/>
        <w:tblCellMar>
          <w:top w:w="0" w:type="dxa"/>
          <w:left w:w="0" w:type="dxa"/>
          <w:bottom w:w="0" w:type="dxa"/>
          <w:right w:w="0" w:type="dxa"/>
        </w:tblCellMar>
      </w:tblPr>
      <w:tblGrid>
        <w:gridCol w:w="125"/>
        <w:gridCol w:w="10080"/>
      </w:tblGrid>
      <w:tr>
        <w:trPr/>
        <w:tc>
          <w:tcPr>
            <w:tcW w:w="125" w:type="dxa"/>
            <w:tcBorders/>
            <w:vAlign w:val="center"/>
          </w:tcPr>
          <w:p>
            <w:pPr>
              <w:pStyle w:val="TableContents"/>
              <w:bidi w:val="0"/>
              <w:spacing w:lineRule="auto" w:line="300" w:before="0" w:after="0"/>
              <w:ind w:left="360" w:right="0" w:hanging="0"/>
              <w:jc w:val="left"/>
              <w:rPr/>
            </w:pPr>
            <w:r>
              <w:rPr/>
              <w:t>•</w:t>
            </w:r>
          </w:p>
        </w:tc>
        <w:tc>
          <w:tcPr>
            <w:tcW w:w="10080" w:type="dxa"/>
            <w:tcBorders/>
            <w:vAlign w:val="center"/>
          </w:tcPr>
          <w:p>
            <w:pPr>
              <w:pStyle w:val="TableContents"/>
              <w:bidi w:val="0"/>
              <w:spacing w:lineRule="auto" w:line="300" w:before="0" w:after="0"/>
              <w:jc w:val="both"/>
              <w:rPr>
                <w:rFonts w:ascii="Times New Roman;Times;serif" w:hAnsi="Times New Roman;Times;serif"/>
                <w:sz w:val="20"/>
              </w:rPr>
            </w:pPr>
            <w:r>
              <w:rPr>
                <w:rFonts w:ascii="Times New Roman;Times;serif" w:hAnsi="Times New Roman;Times;serif"/>
                <w:sz w:val="20"/>
              </w:rPr>
              <w:t>our reliance on distributors and large installers to assist in selling our products, and the failure of these customers to perform as expected;</w:t>
            </w:r>
          </w:p>
        </w:tc>
      </w:tr>
    </w:tbl>
    <w:tbl>
      <w:tblPr>
        <w:tblW w:w="8080" w:type="dxa"/>
        <w:jc w:val="left"/>
        <w:tblInd w:w="0" w:type="dxa"/>
        <w:tblLayout w:type="fixed"/>
        <w:tblCellMar>
          <w:top w:w="0" w:type="dxa"/>
          <w:left w:w="0" w:type="dxa"/>
          <w:bottom w:w="0" w:type="dxa"/>
          <w:right w:w="0" w:type="dxa"/>
        </w:tblCellMar>
      </w:tblPr>
      <w:tblGrid>
        <w:gridCol w:w="125"/>
        <w:gridCol w:w="7955"/>
      </w:tblGrid>
      <w:tr>
        <w:trPr/>
        <w:tc>
          <w:tcPr>
            <w:tcW w:w="125" w:type="dxa"/>
            <w:tcBorders/>
            <w:vAlign w:val="center"/>
          </w:tcPr>
          <w:p>
            <w:pPr>
              <w:pStyle w:val="TableContents"/>
              <w:bidi w:val="0"/>
              <w:spacing w:lineRule="auto" w:line="300" w:before="0" w:after="0"/>
              <w:ind w:left="360" w:right="0" w:hanging="0"/>
              <w:jc w:val="left"/>
              <w:rPr/>
            </w:pPr>
            <w:r>
              <w:rPr/>
              <w:t>•</w:t>
            </w:r>
          </w:p>
        </w:tc>
        <w:tc>
          <w:tcPr>
            <w:tcW w:w="7955" w:type="dxa"/>
            <w:tcBorders/>
            <w:vAlign w:val="center"/>
          </w:tcPr>
          <w:p>
            <w:pPr>
              <w:pStyle w:val="TableContents"/>
              <w:bidi w:val="0"/>
              <w:spacing w:lineRule="auto" w:line="300" w:before="0" w:after="0"/>
              <w:jc w:val="both"/>
              <w:rPr>
                <w:rFonts w:ascii="Times New Roman;Times;serif" w:hAnsi="Times New Roman;Times;serif"/>
                <w:sz w:val="20"/>
              </w:rPr>
            </w:pPr>
            <w:r>
              <w:rPr>
                <w:rFonts w:ascii="Times New Roman;Times;serif" w:hAnsi="Times New Roman;Times;serif"/>
                <w:sz w:val="20"/>
              </w:rPr>
              <w:t>developments in alternative technologies or improvements in distributed solar energy generation;</w:t>
            </w:r>
          </w:p>
        </w:tc>
      </w:tr>
    </w:tbl>
    <w:tbl>
      <w:tblPr>
        <w:tblW w:w="5380" w:type="dxa"/>
        <w:jc w:val="left"/>
        <w:tblInd w:w="0" w:type="dxa"/>
        <w:tblLayout w:type="fixed"/>
        <w:tblCellMar>
          <w:top w:w="0" w:type="dxa"/>
          <w:left w:w="0" w:type="dxa"/>
          <w:bottom w:w="0" w:type="dxa"/>
          <w:right w:w="0" w:type="dxa"/>
        </w:tblCellMar>
      </w:tblPr>
      <w:tblGrid>
        <w:gridCol w:w="125"/>
        <w:gridCol w:w="5255"/>
      </w:tblGrid>
      <w:tr>
        <w:trPr/>
        <w:tc>
          <w:tcPr>
            <w:tcW w:w="125" w:type="dxa"/>
            <w:tcBorders/>
            <w:vAlign w:val="center"/>
          </w:tcPr>
          <w:p>
            <w:pPr>
              <w:pStyle w:val="TableContents"/>
              <w:bidi w:val="0"/>
              <w:spacing w:lineRule="auto" w:line="300" w:before="0" w:after="0"/>
              <w:ind w:left="360" w:right="0" w:hanging="0"/>
              <w:jc w:val="left"/>
              <w:rPr/>
            </w:pPr>
            <w:r>
              <w:rPr/>
              <w:t>•</w:t>
            </w:r>
          </w:p>
        </w:tc>
        <w:tc>
          <w:tcPr>
            <w:tcW w:w="5255" w:type="dxa"/>
            <w:tcBorders/>
            <w:vAlign w:val="center"/>
          </w:tcPr>
          <w:p>
            <w:pPr>
              <w:pStyle w:val="TableContents"/>
              <w:bidi w:val="0"/>
              <w:spacing w:lineRule="auto" w:line="300" w:before="0" w:after="0"/>
              <w:jc w:val="both"/>
              <w:rPr>
                <w:rFonts w:ascii="Times New Roman;Times;serif" w:hAnsi="Times New Roman;Times;serif"/>
                <w:sz w:val="20"/>
              </w:rPr>
            </w:pPr>
            <w:r>
              <w:rPr>
                <w:rFonts w:ascii="Times New Roman;Times;serif" w:hAnsi="Times New Roman;Times;serif"/>
                <w:sz w:val="20"/>
              </w:rPr>
              <w:t>historic cyclicality of the solar industry and periodic downturns;</w:t>
            </w:r>
          </w:p>
        </w:tc>
      </w:tr>
    </w:tbl>
    <w:tbl>
      <w:tblPr>
        <w:tblW w:w="4810" w:type="dxa"/>
        <w:jc w:val="left"/>
        <w:tblInd w:w="0" w:type="dxa"/>
        <w:tblLayout w:type="fixed"/>
        <w:tblCellMar>
          <w:top w:w="0" w:type="dxa"/>
          <w:left w:w="0" w:type="dxa"/>
          <w:bottom w:w="0" w:type="dxa"/>
          <w:right w:w="0" w:type="dxa"/>
        </w:tblCellMar>
      </w:tblPr>
      <w:tblGrid>
        <w:gridCol w:w="125"/>
        <w:gridCol w:w="4685"/>
      </w:tblGrid>
      <w:tr>
        <w:trPr/>
        <w:tc>
          <w:tcPr>
            <w:tcW w:w="125" w:type="dxa"/>
            <w:tcBorders/>
            <w:vAlign w:val="center"/>
          </w:tcPr>
          <w:p>
            <w:pPr>
              <w:pStyle w:val="TableContents"/>
              <w:bidi w:val="0"/>
              <w:spacing w:lineRule="auto" w:line="300" w:before="0" w:after="0"/>
              <w:ind w:left="360" w:right="0" w:hanging="0"/>
              <w:jc w:val="left"/>
              <w:rPr/>
            </w:pPr>
            <w:r>
              <w:rPr/>
              <w:t>•</w:t>
            </w:r>
          </w:p>
        </w:tc>
        <w:tc>
          <w:tcPr>
            <w:tcW w:w="4685" w:type="dxa"/>
            <w:tcBorders/>
            <w:vAlign w:val="center"/>
          </w:tcPr>
          <w:p>
            <w:pPr>
              <w:pStyle w:val="TableContents"/>
              <w:bidi w:val="0"/>
              <w:spacing w:lineRule="auto" w:line="300" w:before="0" w:after="0"/>
              <w:jc w:val="both"/>
              <w:rPr>
                <w:rFonts w:ascii="Times New Roman;Times;serif" w:hAnsi="Times New Roman;Times;serif"/>
                <w:sz w:val="20"/>
              </w:rPr>
            </w:pPr>
            <w:r>
              <w:rPr>
                <w:rFonts w:ascii="Times New Roman;Times;serif" w:hAnsi="Times New Roman;Times;serif"/>
                <w:sz w:val="20"/>
              </w:rPr>
              <w:t>product quality or performance problems in our products;</w:t>
            </w:r>
          </w:p>
        </w:tc>
      </w:tr>
    </w:tbl>
    <w:tbl>
      <w:tblPr>
        <w:tblW w:w="5740" w:type="dxa"/>
        <w:jc w:val="left"/>
        <w:tblInd w:w="0" w:type="dxa"/>
        <w:tblLayout w:type="fixed"/>
        <w:tblCellMar>
          <w:top w:w="0" w:type="dxa"/>
          <w:left w:w="0" w:type="dxa"/>
          <w:bottom w:w="0" w:type="dxa"/>
          <w:right w:w="0" w:type="dxa"/>
        </w:tblCellMar>
      </w:tblPr>
      <w:tblGrid>
        <w:gridCol w:w="125"/>
        <w:gridCol w:w="5615"/>
      </w:tblGrid>
      <w:tr>
        <w:trPr/>
        <w:tc>
          <w:tcPr>
            <w:tcW w:w="125" w:type="dxa"/>
            <w:tcBorders/>
            <w:vAlign w:val="center"/>
          </w:tcPr>
          <w:p>
            <w:pPr>
              <w:pStyle w:val="TableContents"/>
              <w:bidi w:val="0"/>
              <w:spacing w:lineRule="auto" w:line="300" w:before="0" w:after="0"/>
              <w:ind w:left="360" w:right="0" w:hanging="0"/>
              <w:jc w:val="left"/>
              <w:rPr/>
            </w:pPr>
            <w:r>
              <w:rPr/>
              <w:t>•</w:t>
            </w:r>
          </w:p>
        </w:tc>
        <w:tc>
          <w:tcPr>
            <w:tcW w:w="5615" w:type="dxa"/>
            <w:tcBorders/>
            <w:vAlign w:val="center"/>
          </w:tcPr>
          <w:p>
            <w:pPr>
              <w:pStyle w:val="TableContents"/>
              <w:bidi w:val="0"/>
              <w:spacing w:lineRule="auto" w:line="300" w:before="0" w:after="0"/>
              <w:jc w:val="both"/>
              <w:rPr>
                <w:rFonts w:ascii="Times New Roman;Times;serif" w:hAnsi="Times New Roman;Times;serif"/>
                <w:sz w:val="20"/>
              </w:rPr>
            </w:pPr>
            <w:r>
              <w:rPr>
                <w:rFonts w:ascii="Times New Roman;Times;serif" w:hAnsi="Times New Roman;Times;serif"/>
                <w:sz w:val="20"/>
              </w:rPr>
              <w:t>changes in our geographic footprint or product and service offerings;</w:t>
            </w:r>
          </w:p>
        </w:tc>
      </w:tr>
    </w:tbl>
    <w:tbl>
      <w:tblPr>
        <w:tblW w:w="9070" w:type="dxa"/>
        <w:jc w:val="left"/>
        <w:tblInd w:w="0" w:type="dxa"/>
        <w:tblLayout w:type="fixed"/>
        <w:tblCellMar>
          <w:top w:w="0" w:type="dxa"/>
          <w:left w:w="0" w:type="dxa"/>
          <w:bottom w:w="0" w:type="dxa"/>
          <w:right w:w="0" w:type="dxa"/>
        </w:tblCellMar>
      </w:tblPr>
      <w:tblGrid>
        <w:gridCol w:w="125"/>
        <w:gridCol w:w="8945"/>
      </w:tblGrid>
      <w:tr>
        <w:trPr/>
        <w:tc>
          <w:tcPr>
            <w:tcW w:w="125" w:type="dxa"/>
            <w:tcBorders/>
            <w:vAlign w:val="center"/>
          </w:tcPr>
          <w:p>
            <w:pPr>
              <w:pStyle w:val="TableContents"/>
              <w:bidi w:val="0"/>
              <w:spacing w:lineRule="auto" w:line="300" w:before="0" w:after="0"/>
              <w:ind w:left="360" w:right="0" w:hanging="0"/>
              <w:jc w:val="left"/>
              <w:rPr/>
            </w:pPr>
            <w:r>
              <w:rPr/>
              <w:t>•</w:t>
            </w:r>
          </w:p>
        </w:tc>
        <w:tc>
          <w:tcPr>
            <w:tcW w:w="8945" w:type="dxa"/>
            <w:tcBorders/>
            <w:vAlign w:val="center"/>
          </w:tcPr>
          <w:p>
            <w:pPr>
              <w:pStyle w:val="TableContents"/>
              <w:bidi w:val="0"/>
              <w:spacing w:lineRule="auto" w:line="300" w:before="0" w:after="0"/>
              <w:jc w:val="both"/>
              <w:rPr>
                <w:rFonts w:ascii="Times New Roman;Times;serif" w:hAnsi="Times New Roman;Times;serif"/>
                <w:sz w:val="20"/>
              </w:rPr>
            </w:pPr>
            <w:r>
              <w:rPr>
                <w:rFonts w:ascii="Times New Roman;Times;serif" w:hAnsi="Times New Roman;Times;serif"/>
                <w:sz w:val="20"/>
              </w:rPr>
              <w:t>our dependence upon a small number of outside contract manufacturers and limited or single source suppliers;</w:t>
            </w:r>
          </w:p>
        </w:tc>
      </w:tr>
    </w:tbl>
    <w:tbl>
      <w:tblPr>
        <w:tblW w:w="5635" w:type="dxa"/>
        <w:jc w:val="left"/>
        <w:tblInd w:w="0" w:type="dxa"/>
        <w:tblLayout w:type="fixed"/>
        <w:tblCellMar>
          <w:top w:w="0" w:type="dxa"/>
          <w:left w:w="0" w:type="dxa"/>
          <w:bottom w:w="0" w:type="dxa"/>
          <w:right w:w="0" w:type="dxa"/>
        </w:tblCellMar>
      </w:tblPr>
      <w:tblGrid>
        <w:gridCol w:w="125"/>
        <w:gridCol w:w="5510"/>
      </w:tblGrid>
      <w:tr>
        <w:trPr/>
        <w:tc>
          <w:tcPr>
            <w:tcW w:w="125" w:type="dxa"/>
            <w:tcBorders/>
            <w:vAlign w:val="center"/>
          </w:tcPr>
          <w:p>
            <w:pPr>
              <w:pStyle w:val="TableContents"/>
              <w:bidi w:val="0"/>
              <w:spacing w:lineRule="auto" w:line="300" w:before="0" w:after="0"/>
              <w:ind w:left="360" w:right="0" w:hanging="0"/>
              <w:jc w:val="left"/>
              <w:rPr/>
            </w:pPr>
            <w:r>
              <w:rPr/>
              <w:t>•</w:t>
            </w:r>
          </w:p>
        </w:tc>
        <w:tc>
          <w:tcPr>
            <w:tcW w:w="5510" w:type="dxa"/>
            <w:tcBorders/>
            <w:vAlign w:val="center"/>
          </w:tcPr>
          <w:p>
            <w:pPr>
              <w:pStyle w:val="TableContents"/>
              <w:bidi w:val="0"/>
              <w:spacing w:lineRule="auto" w:line="300" w:before="0" w:after="0"/>
              <w:jc w:val="both"/>
              <w:rPr>
                <w:rFonts w:ascii="Times New Roman;Times;serif" w:hAnsi="Times New Roman;Times;serif"/>
                <w:sz w:val="20"/>
              </w:rPr>
            </w:pPr>
            <w:r>
              <w:rPr>
                <w:rFonts w:ascii="Times New Roman;Times;serif" w:hAnsi="Times New Roman;Times;serif"/>
                <w:sz w:val="20"/>
              </w:rPr>
              <w:t>delays, disruptions, and quality control problems in manufacturing;</w:t>
            </w:r>
          </w:p>
        </w:tc>
      </w:tr>
    </w:tbl>
    <w:tbl>
      <w:tblPr>
        <w:tblW w:w="9565" w:type="dxa"/>
        <w:jc w:val="left"/>
        <w:tblInd w:w="0" w:type="dxa"/>
        <w:tblLayout w:type="fixed"/>
        <w:tblCellMar>
          <w:top w:w="0" w:type="dxa"/>
          <w:left w:w="0" w:type="dxa"/>
          <w:bottom w:w="0" w:type="dxa"/>
          <w:right w:w="0" w:type="dxa"/>
        </w:tblCellMar>
      </w:tblPr>
      <w:tblGrid>
        <w:gridCol w:w="125"/>
        <w:gridCol w:w="9440"/>
      </w:tblGrid>
      <w:tr>
        <w:trPr/>
        <w:tc>
          <w:tcPr>
            <w:tcW w:w="125" w:type="dxa"/>
            <w:tcBorders/>
            <w:vAlign w:val="center"/>
          </w:tcPr>
          <w:p>
            <w:pPr>
              <w:pStyle w:val="TableContents"/>
              <w:bidi w:val="0"/>
              <w:spacing w:lineRule="auto" w:line="300" w:before="0" w:after="0"/>
              <w:ind w:left="360" w:right="0" w:hanging="0"/>
              <w:jc w:val="left"/>
              <w:rPr/>
            </w:pPr>
            <w:r>
              <w:rPr/>
              <w:t>•</w:t>
            </w:r>
          </w:p>
        </w:tc>
        <w:tc>
          <w:tcPr>
            <w:tcW w:w="9440" w:type="dxa"/>
            <w:tcBorders/>
            <w:vAlign w:val="center"/>
          </w:tcPr>
          <w:p>
            <w:pPr>
              <w:pStyle w:val="TableContents"/>
              <w:bidi w:val="0"/>
              <w:spacing w:lineRule="auto" w:line="300" w:before="0" w:after="0"/>
              <w:jc w:val="both"/>
              <w:rPr>
                <w:rFonts w:ascii="Times New Roman;Times;serif" w:hAnsi="Times New Roman;Times;serif"/>
                <w:sz w:val="20"/>
              </w:rPr>
            </w:pPr>
            <w:r>
              <w:rPr>
                <w:rFonts w:ascii="Times New Roman;Times;serif" w:hAnsi="Times New Roman;Times;serif"/>
                <w:sz w:val="20"/>
              </w:rPr>
              <w:t>shortages, delays, price changes, or cessation of operations or production affecting our suppliers of key components;</w:t>
            </w:r>
          </w:p>
        </w:tc>
      </w:tr>
    </w:tbl>
    <w:tbl>
      <w:tblPr>
        <w:tblW w:w="10205" w:type="dxa"/>
        <w:jc w:val="left"/>
        <w:tblInd w:w="0" w:type="dxa"/>
        <w:tblLayout w:type="fixed"/>
        <w:tblCellMar>
          <w:top w:w="0" w:type="dxa"/>
          <w:left w:w="0" w:type="dxa"/>
          <w:bottom w:w="0" w:type="dxa"/>
          <w:right w:w="0" w:type="dxa"/>
        </w:tblCellMar>
      </w:tblPr>
      <w:tblGrid>
        <w:gridCol w:w="125"/>
        <w:gridCol w:w="10080"/>
      </w:tblGrid>
      <w:tr>
        <w:trPr/>
        <w:tc>
          <w:tcPr>
            <w:tcW w:w="125" w:type="dxa"/>
            <w:tcBorders/>
            <w:vAlign w:val="center"/>
          </w:tcPr>
          <w:p>
            <w:pPr>
              <w:pStyle w:val="TableContents"/>
              <w:bidi w:val="0"/>
              <w:spacing w:lineRule="auto" w:line="300" w:before="0" w:after="0"/>
              <w:ind w:left="360" w:right="0" w:hanging="0"/>
              <w:jc w:val="left"/>
              <w:rPr/>
            </w:pPr>
            <w:r>
              <w:rPr/>
              <w:t>•</w:t>
            </w:r>
          </w:p>
        </w:tc>
        <w:tc>
          <w:tcPr>
            <w:tcW w:w="10080" w:type="dxa"/>
            <w:tcBorders/>
            <w:vAlign w:val="center"/>
          </w:tcPr>
          <w:p>
            <w:pPr>
              <w:pStyle w:val="TableContents"/>
              <w:bidi w:val="0"/>
              <w:spacing w:lineRule="auto" w:line="300" w:before="0" w:after="0"/>
              <w:jc w:val="both"/>
              <w:rPr>
                <w:rFonts w:ascii="Times New Roman;Times;serif" w:hAnsi="Times New Roman;Times;serif"/>
                <w:sz w:val="20"/>
              </w:rPr>
            </w:pPr>
            <w:r>
              <w:rPr>
                <w:rFonts w:ascii="Times New Roman;Times;serif" w:hAnsi="Times New Roman;Times;serif"/>
                <w:sz w:val="20"/>
              </w:rPr>
              <w:t>capacity constraints, delivery schedules, manufacturing yields, and costs of our contract manufacturers and availability of components;</w:t>
            </w:r>
          </w:p>
        </w:tc>
      </w:tr>
    </w:tbl>
    <w:tbl>
      <w:tblPr>
        <w:tblW w:w="7600" w:type="dxa"/>
        <w:jc w:val="left"/>
        <w:tblInd w:w="0" w:type="dxa"/>
        <w:tblLayout w:type="fixed"/>
        <w:tblCellMar>
          <w:top w:w="0" w:type="dxa"/>
          <w:left w:w="0" w:type="dxa"/>
          <w:bottom w:w="0" w:type="dxa"/>
          <w:right w:w="0" w:type="dxa"/>
        </w:tblCellMar>
      </w:tblPr>
      <w:tblGrid>
        <w:gridCol w:w="125"/>
        <w:gridCol w:w="7475"/>
      </w:tblGrid>
      <w:tr>
        <w:trPr/>
        <w:tc>
          <w:tcPr>
            <w:tcW w:w="125" w:type="dxa"/>
            <w:tcBorders/>
            <w:vAlign w:val="center"/>
          </w:tcPr>
          <w:p>
            <w:pPr>
              <w:pStyle w:val="TableContents"/>
              <w:bidi w:val="0"/>
              <w:spacing w:lineRule="auto" w:line="300" w:before="0" w:after="0"/>
              <w:ind w:left="360" w:right="0" w:hanging="0"/>
              <w:jc w:val="left"/>
              <w:rPr/>
            </w:pPr>
            <w:r>
              <w:rPr/>
              <w:t>•</w:t>
            </w:r>
          </w:p>
        </w:tc>
        <w:tc>
          <w:tcPr>
            <w:tcW w:w="7475" w:type="dxa"/>
            <w:tcBorders/>
            <w:vAlign w:val="center"/>
          </w:tcPr>
          <w:p>
            <w:pPr>
              <w:pStyle w:val="TableContents"/>
              <w:bidi w:val="0"/>
              <w:spacing w:lineRule="auto" w:line="300" w:before="0" w:after="0"/>
              <w:jc w:val="both"/>
              <w:rPr>
                <w:rFonts w:ascii="Times New Roman;Times;serif" w:hAnsi="Times New Roman;Times;serif"/>
                <w:sz w:val="20"/>
              </w:rPr>
            </w:pPr>
            <w:r>
              <w:rPr>
                <w:rFonts w:ascii="Times New Roman;Times;serif" w:hAnsi="Times New Roman;Times;serif"/>
                <w:sz w:val="20"/>
              </w:rPr>
              <w:t>changing political, geopolitical conditions, and the conditions of the global energy market;</w:t>
            </w:r>
          </w:p>
        </w:tc>
      </w:tr>
    </w:tbl>
    <w:p>
      <w:pPr>
        <w:pStyle w:val="TextBody"/>
        <w:bidi w:val="0"/>
        <w:spacing w:lineRule="auto" w:line="300" w:before="0" w:after="0"/>
        <w:jc w:val="left"/>
        <w:rPr/>
      </w:pPr>
      <w:r>
        <w:rPr/>
        <w:t> </w:t>
      </w:r>
    </w:p>
    <w:p>
      <w:pPr>
        <w:pStyle w:val="TextBody"/>
        <w:bidi w:val="0"/>
        <w:spacing w:lineRule="auto" w:line="300"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SOLAREDGE TECHNOLOGIES INC. | 2026 Form 10-Q | 3</w:t>
      </w:r>
    </w:p>
    <w:p>
      <w:pPr>
        <w:pStyle w:val="HorizontalLine"/>
        <w:bidi w:val="0"/>
        <w:spacing w:lineRule="auto" w:line="300" w:before="200" w:after="200"/>
        <w:jc w:val="left"/>
        <w:rPr/>
      </w:pPr>
      <w:r>
        <w:rPr/>
      </w:r>
    </w:p>
    <w:p>
      <w:pPr>
        <w:pStyle w:val="TextBody"/>
        <w:bidi w:val="0"/>
        <w:spacing w:lineRule="auto" w:line="300" w:before="0" w:after="0"/>
        <w:jc w:val="left"/>
        <w:rPr/>
      </w:pPr>
      <w:r>
        <w:rPr/>
        <w:t> </w:t>
      </w:r>
    </w:p>
    <w:tbl>
      <w:tblPr>
        <w:tblW w:w="5860" w:type="dxa"/>
        <w:jc w:val="left"/>
        <w:tblInd w:w="0" w:type="dxa"/>
        <w:tblLayout w:type="fixed"/>
        <w:tblCellMar>
          <w:top w:w="0" w:type="dxa"/>
          <w:left w:w="0" w:type="dxa"/>
          <w:bottom w:w="0" w:type="dxa"/>
          <w:right w:w="0" w:type="dxa"/>
        </w:tblCellMar>
      </w:tblPr>
      <w:tblGrid>
        <w:gridCol w:w="125"/>
        <w:gridCol w:w="5735"/>
      </w:tblGrid>
      <w:tr>
        <w:trPr/>
        <w:tc>
          <w:tcPr>
            <w:tcW w:w="125" w:type="dxa"/>
            <w:tcBorders/>
            <w:vAlign w:val="center"/>
          </w:tcPr>
          <w:p>
            <w:pPr>
              <w:pStyle w:val="TableContents"/>
              <w:bidi w:val="0"/>
              <w:spacing w:lineRule="auto" w:line="300" w:before="0" w:after="0"/>
              <w:ind w:left="360" w:right="0" w:hanging="0"/>
              <w:jc w:val="left"/>
              <w:rPr/>
            </w:pPr>
            <w:r>
              <w:rPr/>
              <w:t>•</w:t>
            </w:r>
          </w:p>
        </w:tc>
        <w:tc>
          <w:tcPr>
            <w:tcW w:w="5735" w:type="dxa"/>
            <w:tcBorders/>
            <w:vAlign w:val="center"/>
          </w:tcPr>
          <w:p>
            <w:pPr>
              <w:pStyle w:val="TableContents"/>
              <w:bidi w:val="0"/>
              <w:spacing w:lineRule="auto" w:line="300" w:before="0" w:after="0"/>
              <w:jc w:val="both"/>
              <w:rPr>
                <w:rFonts w:ascii="Times New Roman;Times;serif" w:hAnsi="Times New Roman;Times;serif"/>
                <w:sz w:val="20"/>
              </w:rPr>
            </w:pPr>
            <w:r>
              <w:rPr>
                <w:rFonts w:ascii="Times New Roman;Times;serif" w:hAnsi="Times New Roman;Times;serif"/>
                <w:sz w:val="20"/>
              </w:rPr>
              <w:t>performance of distributors and large installers in selling our products;</w:t>
            </w:r>
          </w:p>
        </w:tc>
      </w:tr>
    </w:tbl>
    <w:tbl>
      <w:tblPr>
        <w:tblW w:w="6100" w:type="dxa"/>
        <w:jc w:val="left"/>
        <w:tblInd w:w="0" w:type="dxa"/>
        <w:tblLayout w:type="fixed"/>
        <w:tblCellMar>
          <w:top w:w="0" w:type="dxa"/>
          <w:left w:w="0" w:type="dxa"/>
          <w:bottom w:w="0" w:type="dxa"/>
          <w:right w:w="0" w:type="dxa"/>
        </w:tblCellMar>
      </w:tblPr>
      <w:tblGrid>
        <w:gridCol w:w="125"/>
        <w:gridCol w:w="5975"/>
      </w:tblGrid>
      <w:tr>
        <w:trPr/>
        <w:tc>
          <w:tcPr>
            <w:tcW w:w="125" w:type="dxa"/>
            <w:tcBorders/>
            <w:vAlign w:val="center"/>
          </w:tcPr>
          <w:p>
            <w:pPr>
              <w:pStyle w:val="TableContents"/>
              <w:bidi w:val="0"/>
              <w:spacing w:lineRule="auto" w:line="300" w:before="0" w:after="0"/>
              <w:ind w:left="360" w:right="0" w:hanging="0"/>
              <w:jc w:val="left"/>
              <w:rPr/>
            </w:pPr>
            <w:r>
              <w:rPr/>
              <w:t>•</w:t>
            </w:r>
          </w:p>
        </w:tc>
        <w:tc>
          <w:tcPr>
            <w:tcW w:w="5975" w:type="dxa"/>
            <w:tcBorders/>
            <w:vAlign w:val="center"/>
          </w:tcPr>
          <w:p>
            <w:pPr>
              <w:pStyle w:val="TableContents"/>
              <w:bidi w:val="0"/>
              <w:spacing w:lineRule="auto" w:line="300" w:before="0" w:after="0"/>
              <w:jc w:val="both"/>
              <w:rPr>
                <w:rFonts w:ascii="Times New Roman;Times;serif" w:hAnsi="Times New Roman;Times;serif"/>
                <w:sz w:val="20"/>
              </w:rPr>
            </w:pPr>
            <w:r>
              <w:rPr>
                <w:rFonts w:ascii="Times New Roman;Times;serif" w:hAnsi="Times New Roman;Times;serif"/>
                <w:sz w:val="20"/>
              </w:rPr>
              <w:t>consolidation in the solar industry among our customers and distributors;</w:t>
            </w:r>
          </w:p>
        </w:tc>
      </w:tr>
    </w:tbl>
    <w:tbl>
      <w:tblPr>
        <w:tblW w:w="6610" w:type="dxa"/>
        <w:jc w:val="left"/>
        <w:tblInd w:w="0" w:type="dxa"/>
        <w:tblLayout w:type="fixed"/>
        <w:tblCellMar>
          <w:top w:w="0" w:type="dxa"/>
          <w:left w:w="0" w:type="dxa"/>
          <w:bottom w:w="0" w:type="dxa"/>
          <w:right w:w="0" w:type="dxa"/>
        </w:tblCellMar>
      </w:tblPr>
      <w:tblGrid>
        <w:gridCol w:w="125"/>
        <w:gridCol w:w="6485"/>
      </w:tblGrid>
      <w:tr>
        <w:trPr/>
        <w:tc>
          <w:tcPr>
            <w:tcW w:w="125" w:type="dxa"/>
            <w:tcBorders/>
            <w:vAlign w:val="center"/>
          </w:tcPr>
          <w:p>
            <w:pPr>
              <w:pStyle w:val="TableContents"/>
              <w:bidi w:val="0"/>
              <w:spacing w:lineRule="auto" w:line="300" w:before="0" w:after="0"/>
              <w:ind w:left="360" w:right="0" w:hanging="0"/>
              <w:jc w:val="left"/>
              <w:rPr/>
            </w:pPr>
            <w:r>
              <w:rPr/>
              <w:t>•</w:t>
            </w:r>
          </w:p>
        </w:tc>
        <w:tc>
          <w:tcPr>
            <w:tcW w:w="6485" w:type="dxa"/>
            <w:tcBorders/>
            <w:vAlign w:val="center"/>
          </w:tcPr>
          <w:p>
            <w:pPr>
              <w:pStyle w:val="TableContents"/>
              <w:bidi w:val="0"/>
              <w:spacing w:lineRule="auto" w:line="300" w:before="0" w:after="0"/>
              <w:jc w:val="both"/>
              <w:rPr>
                <w:rFonts w:ascii="Times New Roman;Times;serif" w:hAnsi="Times New Roman;Times;serif"/>
                <w:sz w:val="20"/>
              </w:rPr>
            </w:pPr>
            <w:r>
              <w:rPr>
                <w:rFonts w:ascii="Times New Roman;Times;serif" w:hAnsi="Times New Roman;Times;serif"/>
                <w:sz w:val="20"/>
              </w:rPr>
              <w:t>our ability to implement our new Enterprise Resource Planning ("ERP") system;</w:t>
            </w:r>
          </w:p>
        </w:tc>
      </w:tr>
    </w:tbl>
    <w:tbl>
      <w:tblPr>
        <w:tblW w:w="7780" w:type="dxa"/>
        <w:jc w:val="left"/>
        <w:tblInd w:w="0" w:type="dxa"/>
        <w:tblLayout w:type="fixed"/>
        <w:tblCellMar>
          <w:top w:w="0" w:type="dxa"/>
          <w:left w:w="0" w:type="dxa"/>
          <w:bottom w:w="0" w:type="dxa"/>
          <w:right w:w="0" w:type="dxa"/>
        </w:tblCellMar>
      </w:tblPr>
      <w:tblGrid>
        <w:gridCol w:w="125"/>
        <w:gridCol w:w="7655"/>
      </w:tblGrid>
      <w:tr>
        <w:trPr/>
        <w:tc>
          <w:tcPr>
            <w:tcW w:w="125" w:type="dxa"/>
            <w:tcBorders/>
            <w:vAlign w:val="center"/>
          </w:tcPr>
          <w:p>
            <w:pPr>
              <w:pStyle w:val="TableContents"/>
              <w:bidi w:val="0"/>
              <w:spacing w:lineRule="auto" w:line="300" w:before="0" w:after="0"/>
              <w:ind w:left="360" w:right="0" w:hanging="0"/>
              <w:jc w:val="left"/>
              <w:rPr/>
            </w:pPr>
            <w:r>
              <w:rPr/>
              <w:t>•</w:t>
            </w:r>
          </w:p>
        </w:tc>
        <w:tc>
          <w:tcPr>
            <w:tcW w:w="7655" w:type="dxa"/>
            <w:tcBorders/>
            <w:vAlign w:val="center"/>
          </w:tcPr>
          <w:p>
            <w:pPr>
              <w:pStyle w:val="TableContents"/>
              <w:bidi w:val="0"/>
              <w:spacing w:lineRule="auto" w:line="300" w:before="0" w:after="0"/>
              <w:jc w:val="both"/>
              <w:rPr>
                <w:rFonts w:ascii="Times New Roman;Times;serif" w:hAnsi="Times New Roman;Times;serif"/>
                <w:sz w:val="20"/>
              </w:rPr>
            </w:pPr>
            <w:r>
              <w:rPr>
                <w:rFonts w:ascii="Times New Roman;Times;serif" w:hAnsi="Times New Roman;Times;serif"/>
                <w:sz w:val="20"/>
              </w:rPr>
              <w:t>discontinuation of our e-Mobility business, energy storage business, and PV Tracker business;</w:t>
            </w:r>
          </w:p>
        </w:tc>
      </w:tr>
    </w:tbl>
    <w:tbl>
      <w:tblPr>
        <w:tblW w:w="6880" w:type="dxa"/>
        <w:jc w:val="left"/>
        <w:tblInd w:w="0" w:type="dxa"/>
        <w:tblLayout w:type="fixed"/>
        <w:tblCellMar>
          <w:top w:w="0" w:type="dxa"/>
          <w:left w:w="0" w:type="dxa"/>
          <w:bottom w:w="0" w:type="dxa"/>
          <w:right w:w="0" w:type="dxa"/>
        </w:tblCellMar>
      </w:tblPr>
      <w:tblGrid>
        <w:gridCol w:w="125"/>
        <w:gridCol w:w="6755"/>
      </w:tblGrid>
      <w:tr>
        <w:trPr/>
        <w:tc>
          <w:tcPr>
            <w:tcW w:w="125" w:type="dxa"/>
            <w:tcBorders/>
            <w:vAlign w:val="center"/>
          </w:tcPr>
          <w:p>
            <w:pPr>
              <w:pStyle w:val="TableContents"/>
              <w:bidi w:val="0"/>
              <w:spacing w:lineRule="auto" w:line="300" w:before="0" w:after="0"/>
              <w:ind w:left="360" w:right="0" w:hanging="0"/>
              <w:jc w:val="left"/>
              <w:rPr/>
            </w:pPr>
            <w:r>
              <w:rPr/>
              <w:t>•</w:t>
            </w:r>
          </w:p>
        </w:tc>
        <w:tc>
          <w:tcPr>
            <w:tcW w:w="6755" w:type="dxa"/>
            <w:tcBorders/>
            <w:vAlign w:val="center"/>
          </w:tcPr>
          <w:p>
            <w:pPr>
              <w:pStyle w:val="TableContents"/>
              <w:bidi w:val="0"/>
              <w:spacing w:lineRule="auto" w:line="300" w:before="0" w:after="0"/>
              <w:jc w:val="both"/>
              <w:rPr>
                <w:rFonts w:ascii="Times New Roman;Times;serif" w:hAnsi="Times New Roman;Times;serif"/>
                <w:sz w:val="20"/>
              </w:rPr>
            </w:pPr>
            <w:r>
              <w:rPr>
                <w:rFonts w:ascii="Times New Roman;Times;serif" w:hAnsi="Times New Roman;Times;serif"/>
                <w:sz w:val="20"/>
              </w:rPr>
              <w:t>our ability to successfully operate our global operations with a reduced work force;</w:t>
            </w:r>
          </w:p>
        </w:tc>
      </w:tr>
    </w:tbl>
    <w:tbl>
      <w:tblPr>
        <w:tblW w:w="5575" w:type="dxa"/>
        <w:jc w:val="left"/>
        <w:tblInd w:w="0" w:type="dxa"/>
        <w:tblLayout w:type="fixed"/>
        <w:tblCellMar>
          <w:top w:w="0" w:type="dxa"/>
          <w:left w:w="0" w:type="dxa"/>
          <w:bottom w:w="0" w:type="dxa"/>
          <w:right w:w="0" w:type="dxa"/>
        </w:tblCellMar>
      </w:tblPr>
      <w:tblGrid>
        <w:gridCol w:w="125"/>
        <w:gridCol w:w="5450"/>
      </w:tblGrid>
      <w:tr>
        <w:trPr/>
        <w:tc>
          <w:tcPr>
            <w:tcW w:w="125" w:type="dxa"/>
            <w:tcBorders/>
            <w:vAlign w:val="center"/>
          </w:tcPr>
          <w:p>
            <w:pPr>
              <w:pStyle w:val="TableContents"/>
              <w:bidi w:val="0"/>
              <w:spacing w:lineRule="auto" w:line="300" w:before="0" w:after="0"/>
              <w:ind w:left="360" w:right="0" w:hanging="0"/>
              <w:jc w:val="left"/>
              <w:rPr/>
            </w:pPr>
            <w:r>
              <w:rPr/>
              <w:t>•</w:t>
            </w:r>
          </w:p>
        </w:tc>
        <w:tc>
          <w:tcPr>
            <w:tcW w:w="5450" w:type="dxa"/>
            <w:tcBorders/>
            <w:vAlign w:val="center"/>
          </w:tcPr>
          <w:p>
            <w:pPr>
              <w:pStyle w:val="TableContents"/>
              <w:bidi w:val="0"/>
              <w:spacing w:lineRule="auto" w:line="300" w:before="0" w:after="0"/>
              <w:jc w:val="both"/>
              <w:rPr>
                <w:rFonts w:ascii="Times New Roman;Times;serif" w:hAnsi="Times New Roman;Times;serif"/>
                <w:sz w:val="20"/>
              </w:rPr>
            </w:pPr>
            <w:r>
              <w:rPr>
                <w:rFonts w:ascii="Times New Roman;Times;serif" w:hAnsi="Times New Roman;Times;serif"/>
                <w:sz w:val="20"/>
              </w:rPr>
              <w:t>our ability to recognize expected benefits from restructuring plans;</w:t>
            </w:r>
          </w:p>
        </w:tc>
      </w:tr>
    </w:tbl>
    <w:tbl>
      <w:tblPr>
        <w:tblW w:w="10205" w:type="dxa"/>
        <w:jc w:val="left"/>
        <w:tblInd w:w="0" w:type="dxa"/>
        <w:tblLayout w:type="fixed"/>
        <w:tblCellMar>
          <w:top w:w="0" w:type="dxa"/>
          <w:left w:w="0" w:type="dxa"/>
          <w:bottom w:w="0" w:type="dxa"/>
          <w:right w:w="0" w:type="dxa"/>
        </w:tblCellMar>
      </w:tblPr>
      <w:tblGrid>
        <w:gridCol w:w="125"/>
        <w:gridCol w:w="10080"/>
      </w:tblGrid>
      <w:tr>
        <w:trPr/>
        <w:tc>
          <w:tcPr>
            <w:tcW w:w="125" w:type="dxa"/>
            <w:tcBorders/>
            <w:vAlign w:val="center"/>
          </w:tcPr>
          <w:p>
            <w:pPr>
              <w:pStyle w:val="TableContents"/>
              <w:bidi w:val="0"/>
              <w:spacing w:lineRule="auto" w:line="300" w:before="0" w:after="0"/>
              <w:ind w:left="360" w:right="0" w:hanging="0"/>
              <w:jc w:val="left"/>
              <w:rPr/>
            </w:pPr>
            <w:r>
              <w:rPr/>
              <w:t>•</w:t>
            </w:r>
          </w:p>
        </w:tc>
        <w:tc>
          <w:tcPr>
            <w:tcW w:w="10080" w:type="dxa"/>
            <w:tcBorders/>
            <w:vAlign w:val="center"/>
          </w:tcPr>
          <w:p>
            <w:pPr>
              <w:pStyle w:val="TableContents"/>
              <w:bidi w:val="0"/>
              <w:spacing w:lineRule="auto" w:line="300" w:before="0" w:after="0"/>
              <w:jc w:val="both"/>
              <w:rPr>
                <w:rFonts w:ascii="Times New Roman;Times;serif" w:hAnsi="Times New Roman;Times;serif"/>
                <w:sz w:val="20"/>
              </w:rPr>
            </w:pPr>
            <w:r>
              <w:rPr>
                <w:rFonts w:ascii="Times New Roman;Times;serif" w:hAnsi="Times New Roman;Times;serif"/>
                <w:sz w:val="20"/>
              </w:rPr>
              <w:t>any unauthorized access to, disclosure, or theft of personal information or unauthorized access to our network or other similar cyber incidents;</w:t>
            </w:r>
          </w:p>
        </w:tc>
      </w:tr>
    </w:tbl>
    <w:tbl>
      <w:tblPr>
        <w:tblW w:w="10205" w:type="dxa"/>
        <w:jc w:val="left"/>
        <w:tblInd w:w="0" w:type="dxa"/>
        <w:tblLayout w:type="fixed"/>
        <w:tblCellMar>
          <w:top w:w="0" w:type="dxa"/>
          <w:left w:w="0" w:type="dxa"/>
          <w:bottom w:w="0" w:type="dxa"/>
          <w:right w:w="0" w:type="dxa"/>
        </w:tblCellMar>
      </w:tblPr>
      <w:tblGrid>
        <w:gridCol w:w="125"/>
        <w:gridCol w:w="10080"/>
      </w:tblGrid>
      <w:tr>
        <w:trPr/>
        <w:tc>
          <w:tcPr>
            <w:tcW w:w="125" w:type="dxa"/>
            <w:tcBorders/>
            <w:vAlign w:val="center"/>
          </w:tcPr>
          <w:p>
            <w:pPr>
              <w:pStyle w:val="TableContents"/>
              <w:bidi w:val="0"/>
              <w:spacing w:lineRule="auto" w:line="300" w:before="0" w:after="0"/>
              <w:ind w:left="360" w:right="0" w:hanging="0"/>
              <w:jc w:val="left"/>
              <w:rPr/>
            </w:pPr>
            <w:r>
              <w:rPr/>
              <w:t>•</w:t>
            </w:r>
          </w:p>
        </w:tc>
        <w:tc>
          <w:tcPr>
            <w:tcW w:w="10080" w:type="dxa"/>
            <w:tcBorders/>
            <w:vAlign w:val="center"/>
          </w:tcPr>
          <w:p>
            <w:pPr>
              <w:pStyle w:val="TableContents"/>
              <w:bidi w:val="0"/>
              <w:spacing w:lineRule="auto" w:line="300" w:before="0" w:after="0"/>
              <w:jc w:val="both"/>
              <w:rPr>
                <w:rFonts w:ascii="Times New Roman;Times;serif" w:hAnsi="Times New Roman;Times;serif"/>
                <w:sz w:val="20"/>
              </w:rPr>
            </w:pPr>
            <w:r>
              <w:rPr>
                <w:rFonts w:ascii="Times New Roman;Times;serif" w:hAnsi="Times New Roman;Times;serif"/>
                <w:sz w:val="20"/>
              </w:rPr>
              <w:t>attempts by third parties, our employees, or our vendors to gain unauthorized access to our network or seek to compromise our products and services;</w:t>
            </w:r>
          </w:p>
        </w:tc>
      </w:tr>
    </w:tbl>
    <w:tbl>
      <w:tblPr>
        <w:tblW w:w="6355" w:type="dxa"/>
        <w:jc w:val="left"/>
        <w:tblInd w:w="0" w:type="dxa"/>
        <w:tblLayout w:type="fixed"/>
        <w:tblCellMar>
          <w:top w:w="0" w:type="dxa"/>
          <w:left w:w="0" w:type="dxa"/>
          <w:bottom w:w="0" w:type="dxa"/>
          <w:right w:w="0" w:type="dxa"/>
        </w:tblCellMar>
      </w:tblPr>
      <w:tblGrid>
        <w:gridCol w:w="125"/>
        <w:gridCol w:w="6230"/>
      </w:tblGrid>
      <w:tr>
        <w:trPr/>
        <w:tc>
          <w:tcPr>
            <w:tcW w:w="125" w:type="dxa"/>
            <w:tcBorders/>
            <w:vAlign w:val="center"/>
          </w:tcPr>
          <w:p>
            <w:pPr>
              <w:pStyle w:val="TableContents"/>
              <w:bidi w:val="0"/>
              <w:spacing w:lineRule="auto" w:line="300" w:before="0" w:after="0"/>
              <w:ind w:left="360" w:right="0" w:hanging="0"/>
              <w:jc w:val="left"/>
              <w:rPr/>
            </w:pPr>
            <w:r>
              <w:rPr/>
              <w:t>•</w:t>
            </w:r>
          </w:p>
        </w:tc>
        <w:tc>
          <w:tcPr>
            <w:tcW w:w="6230" w:type="dxa"/>
            <w:tcBorders/>
            <w:vAlign w:val="center"/>
          </w:tcPr>
          <w:p>
            <w:pPr>
              <w:pStyle w:val="TableContents"/>
              <w:bidi w:val="0"/>
              <w:spacing w:lineRule="auto" w:line="300" w:before="0" w:after="0"/>
              <w:jc w:val="both"/>
              <w:rPr>
                <w:rFonts w:ascii="Times New Roman;Times;serif" w:hAnsi="Times New Roman;Times;serif"/>
                <w:sz w:val="20"/>
              </w:rPr>
            </w:pPr>
            <w:r>
              <w:rPr>
                <w:rFonts w:ascii="Times New Roman;Times;serif" w:hAnsi="Times New Roman;Times;serif"/>
                <w:sz w:val="20"/>
              </w:rPr>
              <w:t>emerging issues related to the development and use of artificial intelligence;</w:t>
            </w:r>
          </w:p>
        </w:tc>
      </w:tr>
    </w:tbl>
    <w:tbl>
      <w:tblPr>
        <w:tblW w:w="8605" w:type="dxa"/>
        <w:jc w:val="left"/>
        <w:tblInd w:w="0" w:type="dxa"/>
        <w:tblLayout w:type="fixed"/>
        <w:tblCellMar>
          <w:top w:w="0" w:type="dxa"/>
          <w:left w:w="0" w:type="dxa"/>
          <w:bottom w:w="0" w:type="dxa"/>
          <w:right w:w="0" w:type="dxa"/>
        </w:tblCellMar>
      </w:tblPr>
      <w:tblGrid>
        <w:gridCol w:w="125"/>
        <w:gridCol w:w="8480"/>
      </w:tblGrid>
      <w:tr>
        <w:trPr/>
        <w:tc>
          <w:tcPr>
            <w:tcW w:w="125" w:type="dxa"/>
            <w:tcBorders/>
            <w:vAlign w:val="center"/>
          </w:tcPr>
          <w:p>
            <w:pPr>
              <w:pStyle w:val="TableContents"/>
              <w:bidi w:val="0"/>
              <w:spacing w:lineRule="auto" w:line="300" w:before="0" w:after="0"/>
              <w:ind w:left="360" w:right="0" w:hanging="0"/>
              <w:jc w:val="left"/>
              <w:rPr/>
            </w:pPr>
            <w:r>
              <w:rPr/>
              <w:t>•</w:t>
            </w:r>
          </w:p>
        </w:tc>
        <w:tc>
          <w:tcPr>
            <w:tcW w:w="8480" w:type="dxa"/>
            <w:tcBorders/>
            <w:vAlign w:val="center"/>
          </w:tcPr>
          <w:p>
            <w:pPr>
              <w:pStyle w:val="TableContents"/>
              <w:bidi w:val="0"/>
              <w:spacing w:lineRule="auto" w:line="300" w:before="0" w:after="0"/>
              <w:jc w:val="both"/>
              <w:rPr>
                <w:rFonts w:ascii="Times New Roman;Times;serif" w:hAnsi="Times New Roman;Times;serif"/>
                <w:sz w:val="20"/>
              </w:rPr>
            </w:pPr>
            <w:r>
              <w:rPr>
                <w:rFonts w:ascii="Times New Roman;Times;serif" w:hAnsi="Times New Roman;Times;serif"/>
                <w:sz w:val="20"/>
              </w:rPr>
              <w:t>loss of key executives, and our ability to retain key personnel and attract additional qualified personnel;</w:t>
            </w:r>
          </w:p>
        </w:tc>
      </w:tr>
    </w:tbl>
    <w:tbl>
      <w:tblPr>
        <w:tblW w:w="10205" w:type="dxa"/>
        <w:jc w:val="left"/>
        <w:tblInd w:w="0" w:type="dxa"/>
        <w:tblLayout w:type="fixed"/>
        <w:tblCellMar>
          <w:top w:w="0" w:type="dxa"/>
          <w:left w:w="0" w:type="dxa"/>
          <w:bottom w:w="0" w:type="dxa"/>
          <w:right w:w="0" w:type="dxa"/>
        </w:tblCellMar>
      </w:tblPr>
      <w:tblGrid>
        <w:gridCol w:w="125"/>
        <w:gridCol w:w="10080"/>
      </w:tblGrid>
      <w:tr>
        <w:trPr/>
        <w:tc>
          <w:tcPr>
            <w:tcW w:w="125" w:type="dxa"/>
            <w:tcBorders/>
            <w:vAlign w:val="center"/>
          </w:tcPr>
          <w:p>
            <w:pPr>
              <w:pStyle w:val="TableContents"/>
              <w:bidi w:val="0"/>
              <w:spacing w:lineRule="auto" w:line="300" w:before="0" w:after="0"/>
              <w:ind w:left="360" w:right="0" w:hanging="0"/>
              <w:jc w:val="left"/>
              <w:rPr/>
            </w:pPr>
            <w:r>
              <w:rPr/>
              <w:t>•</w:t>
            </w:r>
          </w:p>
        </w:tc>
        <w:tc>
          <w:tcPr>
            <w:tcW w:w="10080" w:type="dxa"/>
            <w:tcBorders/>
            <w:vAlign w:val="center"/>
          </w:tcPr>
          <w:p>
            <w:pPr>
              <w:pStyle w:val="TableContents"/>
              <w:bidi w:val="0"/>
              <w:spacing w:lineRule="auto" w:line="300" w:before="0" w:after="0"/>
              <w:jc w:val="both"/>
              <w:rPr>
                <w:rFonts w:ascii="Times New Roman;Times;serif" w:hAnsi="Times New Roman;Times;serif"/>
                <w:sz w:val="20"/>
              </w:rPr>
            </w:pPr>
            <w:r>
              <w:rPr>
                <w:rFonts w:ascii="Times New Roman;Times;serif" w:hAnsi="Times New Roman;Times;serif"/>
                <w:sz w:val="20"/>
              </w:rPr>
              <w:t>disruption to our business operations due to the evolving conflict in Israel and other conditions in Israel that affect our operations;</w:t>
            </w:r>
          </w:p>
        </w:tc>
      </w:tr>
    </w:tbl>
    <w:tbl>
      <w:tblPr>
        <w:tblW w:w="10205" w:type="dxa"/>
        <w:jc w:val="left"/>
        <w:tblInd w:w="0" w:type="dxa"/>
        <w:tblLayout w:type="fixed"/>
        <w:tblCellMar>
          <w:top w:w="0" w:type="dxa"/>
          <w:left w:w="0" w:type="dxa"/>
          <w:bottom w:w="0" w:type="dxa"/>
          <w:right w:w="0" w:type="dxa"/>
        </w:tblCellMar>
      </w:tblPr>
      <w:tblGrid>
        <w:gridCol w:w="125"/>
        <w:gridCol w:w="10080"/>
      </w:tblGrid>
      <w:tr>
        <w:trPr/>
        <w:tc>
          <w:tcPr>
            <w:tcW w:w="125" w:type="dxa"/>
            <w:tcBorders/>
            <w:vAlign w:val="center"/>
          </w:tcPr>
          <w:p>
            <w:pPr>
              <w:pStyle w:val="TableContents"/>
              <w:bidi w:val="0"/>
              <w:spacing w:lineRule="auto" w:line="300" w:before="0" w:after="0"/>
              <w:ind w:left="360" w:right="0" w:hanging="0"/>
              <w:jc w:val="left"/>
              <w:rPr/>
            </w:pPr>
            <w:r>
              <w:rPr/>
              <w:t>•</w:t>
            </w:r>
          </w:p>
        </w:tc>
        <w:tc>
          <w:tcPr>
            <w:tcW w:w="10080" w:type="dxa"/>
            <w:tcBorders/>
            <w:vAlign w:val="center"/>
          </w:tcPr>
          <w:p>
            <w:pPr>
              <w:pStyle w:val="TableContents"/>
              <w:bidi w:val="0"/>
              <w:spacing w:lineRule="auto" w:line="300" w:before="0" w:after="0"/>
              <w:jc w:val="both"/>
              <w:rPr>
                <w:rFonts w:ascii="Times New Roman;Times;serif" w:hAnsi="Times New Roman;Times;serif"/>
                <w:sz w:val="20"/>
              </w:rPr>
            </w:pPr>
            <w:r>
              <w:rPr>
                <w:rFonts w:ascii="Times New Roman;Times;serif" w:hAnsi="Times New Roman;Times;serif"/>
                <w:sz w:val="20"/>
              </w:rPr>
              <w:t>tax benefits that are available to us under Israeli law require us to meet various conditions and may be terminated or reduced in the future;</w:t>
            </w:r>
          </w:p>
        </w:tc>
      </w:tr>
    </w:tbl>
    <w:tbl>
      <w:tblPr>
        <w:tblW w:w="10205" w:type="dxa"/>
        <w:jc w:val="left"/>
        <w:tblInd w:w="0" w:type="dxa"/>
        <w:tblLayout w:type="fixed"/>
        <w:tblCellMar>
          <w:top w:w="0" w:type="dxa"/>
          <w:left w:w="0" w:type="dxa"/>
          <w:bottom w:w="0" w:type="dxa"/>
          <w:right w:w="0" w:type="dxa"/>
        </w:tblCellMar>
      </w:tblPr>
      <w:tblGrid>
        <w:gridCol w:w="125"/>
        <w:gridCol w:w="10080"/>
      </w:tblGrid>
      <w:tr>
        <w:trPr/>
        <w:tc>
          <w:tcPr>
            <w:tcW w:w="125" w:type="dxa"/>
            <w:tcBorders/>
            <w:vAlign w:val="center"/>
          </w:tcPr>
          <w:p>
            <w:pPr>
              <w:pStyle w:val="TableContents"/>
              <w:bidi w:val="0"/>
              <w:spacing w:lineRule="auto" w:line="300" w:before="0" w:after="0"/>
              <w:ind w:left="360" w:right="0" w:hanging="0"/>
              <w:jc w:val="left"/>
              <w:rPr/>
            </w:pPr>
            <w:r>
              <w:rPr/>
              <w:t>•</w:t>
            </w:r>
          </w:p>
        </w:tc>
        <w:tc>
          <w:tcPr>
            <w:tcW w:w="10080" w:type="dxa"/>
            <w:tcBorders/>
            <w:vAlign w:val="center"/>
          </w:tcPr>
          <w:p>
            <w:pPr>
              <w:pStyle w:val="TableContents"/>
              <w:bidi w:val="0"/>
              <w:spacing w:lineRule="auto" w:line="300" w:before="0" w:after="0"/>
              <w:jc w:val="both"/>
              <w:rPr>
                <w:rFonts w:ascii="Times New Roman;Times;serif" w:hAnsi="Times New Roman;Times;serif"/>
                <w:sz w:val="20"/>
              </w:rPr>
            </w:pPr>
            <w:r>
              <w:rPr>
                <w:rFonts w:ascii="Times New Roman;Times;serif" w:hAnsi="Times New Roman;Times;serif"/>
                <w:sz w:val="20"/>
              </w:rPr>
              <w:t>difficulty to enforce a judgment of a U.S. court against our officers and directors, to assert U.S. securities laws claims in Israel;</w:t>
            </w:r>
          </w:p>
        </w:tc>
      </w:tr>
    </w:tbl>
    <w:tbl>
      <w:tblPr>
        <w:tblW w:w="8065" w:type="dxa"/>
        <w:jc w:val="left"/>
        <w:tblInd w:w="0" w:type="dxa"/>
        <w:tblLayout w:type="fixed"/>
        <w:tblCellMar>
          <w:top w:w="0" w:type="dxa"/>
          <w:left w:w="0" w:type="dxa"/>
          <w:bottom w:w="0" w:type="dxa"/>
          <w:right w:w="0" w:type="dxa"/>
        </w:tblCellMar>
      </w:tblPr>
      <w:tblGrid>
        <w:gridCol w:w="125"/>
        <w:gridCol w:w="7940"/>
      </w:tblGrid>
      <w:tr>
        <w:trPr/>
        <w:tc>
          <w:tcPr>
            <w:tcW w:w="125" w:type="dxa"/>
            <w:tcBorders/>
            <w:vAlign w:val="center"/>
          </w:tcPr>
          <w:p>
            <w:pPr>
              <w:pStyle w:val="TableContents"/>
              <w:bidi w:val="0"/>
              <w:spacing w:lineRule="auto" w:line="300" w:before="0" w:after="0"/>
              <w:ind w:left="360" w:right="0" w:hanging="0"/>
              <w:jc w:val="left"/>
              <w:rPr/>
            </w:pPr>
            <w:r>
              <w:rPr/>
              <w:t>•</w:t>
            </w:r>
          </w:p>
        </w:tc>
        <w:tc>
          <w:tcPr>
            <w:tcW w:w="7940" w:type="dxa"/>
            <w:tcBorders/>
            <w:vAlign w:val="center"/>
          </w:tcPr>
          <w:p>
            <w:pPr>
              <w:pStyle w:val="TableContents"/>
              <w:bidi w:val="0"/>
              <w:spacing w:lineRule="auto" w:line="300" w:before="0" w:after="0"/>
              <w:jc w:val="both"/>
              <w:rPr>
                <w:rFonts w:ascii="Times New Roman;Times;serif" w:hAnsi="Times New Roman;Times;serif"/>
                <w:sz w:val="20"/>
              </w:rPr>
            </w:pPr>
            <w:r>
              <w:rPr>
                <w:rFonts w:ascii="Times New Roman;Times;serif" w:hAnsi="Times New Roman;Times;serif"/>
                <w:sz w:val="20"/>
              </w:rPr>
              <w:t>our dependence on ocean transportation to timely deliver our products in a cost-effective manner;</w:t>
            </w:r>
          </w:p>
        </w:tc>
      </w:tr>
    </w:tbl>
    <w:tbl>
      <w:tblPr>
        <w:tblW w:w="5695" w:type="dxa"/>
        <w:jc w:val="left"/>
        <w:tblInd w:w="0" w:type="dxa"/>
        <w:tblLayout w:type="fixed"/>
        <w:tblCellMar>
          <w:top w:w="0" w:type="dxa"/>
          <w:left w:w="0" w:type="dxa"/>
          <w:bottom w:w="0" w:type="dxa"/>
          <w:right w:w="0" w:type="dxa"/>
        </w:tblCellMar>
      </w:tblPr>
      <w:tblGrid>
        <w:gridCol w:w="125"/>
        <w:gridCol w:w="5570"/>
      </w:tblGrid>
      <w:tr>
        <w:trPr/>
        <w:tc>
          <w:tcPr>
            <w:tcW w:w="125" w:type="dxa"/>
            <w:tcBorders/>
            <w:vAlign w:val="center"/>
          </w:tcPr>
          <w:p>
            <w:pPr>
              <w:pStyle w:val="TableContents"/>
              <w:bidi w:val="0"/>
              <w:spacing w:lineRule="auto" w:line="300" w:before="0" w:after="0"/>
              <w:ind w:left="360" w:right="0" w:hanging="0"/>
              <w:jc w:val="left"/>
              <w:rPr/>
            </w:pPr>
            <w:r>
              <w:rPr/>
              <w:t>•</w:t>
            </w:r>
          </w:p>
        </w:tc>
        <w:tc>
          <w:tcPr>
            <w:tcW w:w="5570" w:type="dxa"/>
            <w:tcBorders/>
            <w:vAlign w:val="center"/>
          </w:tcPr>
          <w:p>
            <w:pPr>
              <w:pStyle w:val="TableContents"/>
              <w:bidi w:val="0"/>
              <w:spacing w:lineRule="auto" w:line="300" w:before="0" w:after="0"/>
              <w:jc w:val="both"/>
              <w:rPr>
                <w:rFonts w:ascii="Times New Roman;Times;serif" w:hAnsi="Times New Roman;Times;serif"/>
                <w:sz w:val="20"/>
              </w:rPr>
            </w:pPr>
            <w:r>
              <w:rPr>
                <w:rFonts w:ascii="Times New Roman;Times;serif" w:hAnsi="Times New Roman;Times;serif"/>
                <w:sz w:val="20"/>
              </w:rPr>
              <w:t>entry into business engagements with South Korean military bodies;</w:t>
            </w:r>
          </w:p>
        </w:tc>
      </w:tr>
    </w:tbl>
    <w:tbl>
      <w:tblPr>
        <w:tblW w:w="3970" w:type="dxa"/>
        <w:jc w:val="left"/>
        <w:tblInd w:w="0" w:type="dxa"/>
        <w:tblLayout w:type="fixed"/>
        <w:tblCellMar>
          <w:top w:w="0" w:type="dxa"/>
          <w:left w:w="0" w:type="dxa"/>
          <w:bottom w:w="0" w:type="dxa"/>
          <w:right w:w="0" w:type="dxa"/>
        </w:tblCellMar>
      </w:tblPr>
      <w:tblGrid>
        <w:gridCol w:w="125"/>
        <w:gridCol w:w="3845"/>
      </w:tblGrid>
      <w:tr>
        <w:trPr/>
        <w:tc>
          <w:tcPr>
            <w:tcW w:w="125" w:type="dxa"/>
            <w:tcBorders/>
            <w:vAlign w:val="center"/>
          </w:tcPr>
          <w:p>
            <w:pPr>
              <w:pStyle w:val="TableContents"/>
              <w:bidi w:val="0"/>
              <w:spacing w:lineRule="auto" w:line="300" w:before="0" w:after="0"/>
              <w:ind w:left="360" w:right="0" w:hanging="0"/>
              <w:jc w:val="left"/>
              <w:rPr/>
            </w:pPr>
            <w:r>
              <w:rPr/>
              <w:t>•</w:t>
            </w:r>
          </w:p>
        </w:tc>
        <w:tc>
          <w:tcPr>
            <w:tcW w:w="3845" w:type="dxa"/>
            <w:tcBorders/>
            <w:vAlign w:val="center"/>
          </w:tcPr>
          <w:p>
            <w:pPr>
              <w:pStyle w:val="TableContents"/>
              <w:bidi w:val="0"/>
              <w:spacing w:lineRule="auto" w:line="300" w:before="0" w:after="0"/>
              <w:jc w:val="both"/>
              <w:rPr>
                <w:rFonts w:ascii="Times New Roman;Times;serif" w:hAnsi="Times New Roman;Times;serif"/>
                <w:sz w:val="20"/>
              </w:rPr>
            </w:pPr>
            <w:r>
              <w:rPr>
                <w:rFonts w:ascii="Times New Roman;Times;serif" w:hAnsi="Times New Roman;Times;serif"/>
                <w:sz w:val="20"/>
              </w:rPr>
              <w:t>fluctuations in global currency exchange rates;</w:t>
            </w:r>
          </w:p>
        </w:tc>
      </w:tr>
    </w:tbl>
    <w:tbl>
      <w:tblPr>
        <w:tblW w:w="10090" w:type="dxa"/>
        <w:jc w:val="left"/>
        <w:tblInd w:w="0" w:type="dxa"/>
        <w:tblLayout w:type="fixed"/>
        <w:tblCellMar>
          <w:top w:w="0" w:type="dxa"/>
          <w:left w:w="0" w:type="dxa"/>
          <w:bottom w:w="0" w:type="dxa"/>
          <w:right w:w="0" w:type="dxa"/>
        </w:tblCellMar>
      </w:tblPr>
      <w:tblGrid>
        <w:gridCol w:w="125"/>
        <w:gridCol w:w="9965"/>
      </w:tblGrid>
      <w:tr>
        <w:trPr/>
        <w:tc>
          <w:tcPr>
            <w:tcW w:w="125" w:type="dxa"/>
            <w:tcBorders/>
            <w:vAlign w:val="center"/>
          </w:tcPr>
          <w:p>
            <w:pPr>
              <w:pStyle w:val="TableContents"/>
              <w:bidi w:val="0"/>
              <w:spacing w:lineRule="auto" w:line="300" w:before="0" w:after="0"/>
              <w:ind w:left="360" w:right="0" w:hanging="0"/>
              <w:jc w:val="left"/>
              <w:rPr/>
            </w:pPr>
            <w:r>
              <w:rPr/>
              <w:t>•</w:t>
            </w:r>
          </w:p>
        </w:tc>
        <w:tc>
          <w:tcPr>
            <w:tcW w:w="9965" w:type="dxa"/>
            <w:tcBorders/>
            <w:vAlign w:val="center"/>
          </w:tcPr>
          <w:p>
            <w:pPr>
              <w:pStyle w:val="TableContents"/>
              <w:bidi w:val="0"/>
              <w:spacing w:lineRule="auto" w:line="300" w:before="0" w:after="0"/>
              <w:jc w:val="both"/>
              <w:rPr>
                <w:rFonts w:ascii="Times New Roman;Times;serif" w:hAnsi="Times New Roman;Times;serif"/>
                <w:sz w:val="20"/>
              </w:rPr>
            </w:pPr>
            <w:r>
              <w:rPr>
                <w:rFonts w:ascii="Times New Roman;Times;serif" w:hAnsi="Times New Roman;Times;serif"/>
                <w:sz w:val="20"/>
              </w:rPr>
              <w:t>the impact of evolving legal and regulatory requirements including emerging corporate social responsibility requirements;</w:t>
            </w:r>
          </w:p>
        </w:tc>
      </w:tr>
    </w:tbl>
    <w:tbl>
      <w:tblPr>
        <w:tblW w:w="7465" w:type="dxa"/>
        <w:jc w:val="left"/>
        <w:tblInd w:w="0" w:type="dxa"/>
        <w:tblLayout w:type="fixed"/>
        <w:tblCellMar>
          <w:top w:w="0" w:type="dxa"/>
          <w:left w:w="0" w:type="dxa"/>
          <w:bottom w:w="0" w:type="dxa"/>
          <w:right w:w="0" w:type="dxa"/>
        </w:tblCellMar>
      </w:tblPr>
      <w:tblGrid>
        <w:gridCol w:w="125"/>
        <w:gridCol w:w="7340"/>
      </w:tblGrid>
      <w:tr>
        <w:trPr/>
        <w:tc>
          <w:tcPr>
            <w:tcW w:w="125" w:type="dxa"/>
            <w:tcBorders/>
            <w:vAlign w:val="center"/>
          </w:tcPr>
          <w:p>
            <w:pPr>
              <w:pStyle w:val="TableContents"/>
              <w:bidi w:val="0"/>
              <w:spacing w:lineRule="auto" w:line="300" w:before="0" w:after="0"/>
              <w:ind w:left="360" w:right="0" w:hanging="0"/>
              <w:jc w:val="left"/>
              <w:rPr/>
            </w:pPr>
            <w:r>
              <w:rPr/>
              <w:t>•</w:t>
            </w:r>
          </w:p>
        </w:tc>
        <w:tc>
          <w:tcPr>
            <w:tcW w:w="7340" w:type="dxa"/>
            <w:tcBorders/>
            <w:vAlign w:val="center"/>
          </w:tcPr>
          <w:p>
            <w:pPr>
              <w:pStyle w:val="TableContents"/>
              <w:bidi w:val="0"/>
              <w:spacing w:lineRule="auto" w:line="300" w:before="0" w:after="0"/>
              <w:jc w:val="both"/>
              <w:rPr>
                <w:rFonts w:ascii="Times New Roman;Times;serif" w:hAnsi="Times New Roman;Times;serif"/>
                <w:sz w:val="20"/>
              </w:rPr>
            </w:pPr>
            <w:r>
              <w:rPr>
                <w:rFonts w:ascii="Times New Roman;Times;serif" w:hAnsi="Times New Roman;Times;serif"/>
                <w:sz w:val="20"/>
              </w:rPr>
              <w:t>existing and future responses to and effects of pandemics, epidemics or other health crises;</w:t>
            </w:r>
          </w:p>
        </w:tc>
      </w:tr>
    </w:tbl>
    <w:tbl>
      <w:tblPr>
        <w:tblW w:w="10205" w:type="dxa"/>
        <w:jc w:val="left"/>
        <w:tblInd w:w="0" w:type="dxa"/>
        <w:tblLayout w:type="fixed"/>
        <w:tblCellMar>
          <w:top w:w="0" w:type="dxa"/>
          <w:left w:w="0" w:type="dxa"/>
          <w:bottom w:w="0" w:type="dxa"/>
          <w:right w:w="0" w:type="dxa"/>
        </w:tblCellMar>
      </w:tblPr>
      <w:tblGrid>
        <w:gridCol w:w="125"/>
        <w:gridCol w:w="10080"/>
      </w:tblGrid>
      <w:tr>
        <w:trPr/>
        <w:tc>
          <w:tcPr>
            <w:tcW w:w="125" w:type="dxa"/>
            <w:tcBorders/>
            <w:vAlign w:val="center"/>
          </w:tcPr>
          <w:p>
            <w:pPr>
              <w:pStyle w:val="TableContents"/>
              <w:bidi w:val="0"/>
              <w:spacing w:lineRule="auto" w:line="300" w:before="0" w:after="0"/>
              <w:ind w:left="360" w:right="0" w:hanging="0"/>
              <w:jc w:val="left"/>
              <w:rPr/>
            </w:pPr>
            <w:r>
              <w:rPr/>
              <w:t>•</w:t>
            </w:r>
          </w:p>
        </w:tc>
        <w:tc>
          <w:tcPr>
            <w:tcW w:w="10080" w:type="dxa"/>
            <w:tcBorders/>
            <w:vAlign w:val="center"/>
          </w:tcPr>
          <w:p>
            <w:pPr>
              <w:pStyle w:val="TableContents"/>
              <w:bidi w:val="0"/>
              <w:spacing w:lineRule="auto" w:line="300" w:before="0" w:after="0"/>
              <w:jc w:val="both"/>
              <w:rPr>
                <w:rFonts w:ascii="Times New Roman;Times;serif" w:hAnsi="Times New Roman;Times;serif"/>
                <w:sz w:val="20"/>
              </w:rPr>
            </w:pPr>
            <w:r>
              <w:rPr>
                <w:rFonts w:ascii="Times New Roman;Times;serif" w:hAnsi="Times New Roman;Times;serif"/>
                <w:sz w:val="20"/>
              </w:rPr>
              <w:t>reduction, elimination or expiration of government subsidies and economic incentives for on-grid solar electricity applications;</w:t>
            </w:r>
          </w:p>
        </w:tc>
      </w:tr>
    </w:tbl>
    <w:tbl>
      <w:tblPr>
        <w:tblW w:w="7030" w:type="dxa"/>
        <w:jc w:val="left"/>
        <w:tblInd w:w="0" w:type="dxa"/>
        <w:tblLayout w:type="fixed"/>
        <w:tblCellMar>
          <w:top w:w="0" w:type="dxa"/>
          <w:left w:w="0" w:type="dxa"/>
          <w:bottom w:w="0" w:type="dxa"/>
          <w:right w:w="0" w:type="dxa"/>
        </w:tblCellMar>
      </w:tblPr>
      <w:tblGrid>
        <w:gridCol w:w="125"/>
        <w:gridCol w:w="6905"/>
      </w:tblGrid>
      <w:tr>
        <w:trPr/>
        <w:tc>
          <w:tcPr>
            <w:tcW w:w="125" w:type="dxa"/>
            <w:tcBorders/>
            <w:vAlign w:val="center"/>
          </w:tcPr>
          <w:p>
            <w:pPr>
              <w:pStyle w:val="TableContents"/>
              <w:bidi w:val="0"/>
              <w:spacing w:lineRule="auto" w:line="300" w:before="0" w:after="0"/>
              <w:ind w:left="360" w:right="0" w:hanging="0"/>
              <w:jc w:val="left"/>
              <w:rPr/>
            </w:pPr>
            <w:r>
              <w:rPr/>
              <w:t>•</w:t>
            </w:r>
          </w:p>
        </w:tc>
        <w:tc>
          <w:tcPr>
            <w:tcW w:w="6905" w:type="dxa"/>
            <w:tcBorders/>
            <w:vAlign w:val="center"/>
          </w:tcPr>
          <w:p>
            <w:pPr>
              <w:pStyle w:val="TableContents"/>
              <w:bidi w:val="0"/>
              <w:spacing w:lineRule="auto" w:line="300" w:before="0" w:after="0"/>
              <w:jc w:val="both"/>
              <w:rPr>
                <w:rFonts w:ascii="Times New Roman;Times;serif" w:hAnsi="Times New Roman;Times;serif"/>
                <w:sz w:val="20"/>
              </w:rPr>
            </w:pPr>
            <w:r>
              <w:rPr>
                <w:rFonts w:ascii="Times New Roman;Times;serif" w:hAnsi="Times New Roman;Times;serif"/>
                <w:sz w:val="20"/>
              </w:rPr>
              <w:t>changes to net metering policies may reduce demand for electricity from PV systems;</w:t>
            </w:r>
          </w:p>
        </w:tc>
      </w:tr>
    </w:tbl>
    <w:tbl>
      <w:tblPr>
        <w:tblW w:w="7855" w:type="dxa"/>
        <w:jc w:val="left"/>
        <w:tblInd w:w="0" w:type="dxa"/>
        <w:tblLayout w:type="fixed"/>
        <w:tblCellMar>
          <w:top w:w="0" w:type="dxa"/>
          <w:left w:w="0" w:type="dxa"/>
          <w:bottom w:w="0" w:type="dxa"/>
          <w:right w:w="0" w:type="dxa"/>
        </w:tblCellMar>
      </w:tblPr>
      <w:tblGrid>
        <w:gridCol w:w="125"/>
        <w:gridCol w:w="7730"/>
      </w:tblGrid>
      <w:tr>
        <w:trPr/>
        <w:tc>
          <w:tcPr>
            <w:tcW w:w="125" w:type="dxa"/>
            <w:tcBorders/>
            <w:vAlign w:val="center"/>
          </w:tcPr>
          <w:p>
            <w:pPr>
              <w:pStyle w:val="TableContents"/>
              <w:bidi w:val="0"/>
              <w:spacing w:lineRule="auto" w:line="300" w:before="0" w:after="0"/>
              <w:ind w:left="360" w:right="0" w:hanging="0"/>
              <w:jc w:val="left"/>
              <w:rPr/>
            </w:pPr>
            <w:r>
              <w:rPr/>
              <w:t>•</w:t>
            </w:r>
          </w:p>
        </w:tc>
        <w:tc>
          <w:tcPr>
            <w:tcW w:w="7730" w:type="dxa"/>
            <w:tcBorders/>
            <w:vAlign w:val="center"/>
          </w:tcPr>
          <w:p>
            <w:pPr>
              <w:pStyle w:val="TableContents"/>
              <w:bidi w:val="0"/>
              <w:spacing w:lineRule="auto" w:line="300" w:before="0" w:after="0"/>
              <w:jc w:val="both"/>
              <w:rPr>
                <w:rFonts w:ascii="Times New Roman;Times;serif" w:hAnsi="Times New Roman;Times;serif"/>
                <w:sz w:val="20"/>
              </w:rPr>
            </w:pPr>
            <w:r>
              <w:rPr>
                <w:rFonts w:ascii="Times New Roman;Times;serif" w:hAnsi="Times New Roman;Times;serif"/>
                <w:sz w:val="20"/>
              </w:rPr>
              <w:t>stringent and changing data privacy and security laws, rules, regulations and other obligations;</w:t>
            </w:r>
          </w:p>
        </w:tc>
      </w:tr>
    </w:tbl>
    <w:tbl>
      <w:tblPr>
        <w:tblW w:w="10205" w:type="dxa"/>
        <w:jc w:val="left"/>
        <w:tblInd w:w="0" w:type="dxa"/>
        <w:tblLayout w:type="fixed"/>
        <w:tblCellMar>
          <w:top w:w="0" w:type="dxa"/>
          <w:left w:w="0" w:type="dxa"/>
          <w:bottom w:w="0" w:type="dxa"/>
          <w:right w:w="0" w:type="dxa"/>
        </w:tblCellMar>
      </w:tblPr>
      <w:tblGrid>
        <w:gridCol w:w="125"/>
        <w:gridCol w:w="10080"/>
      </w:tblGrid>
      <w:tr>
        <w:trPr/>
        <w:tc>
          <w:tcPr>
            <w:tcW w:w="125" w:type="dxa"/>
            <w:tcBorders/>
            <w:vAlign w:val="center"/>
          </w:tcPr>
          <w:p>
            <w:pPr>
              <w:pStyle w:val="TableContents"/>
              <w:bidi w:val="0"/>
              <w:spacing w:lineRule="auto" w:line="300" w:before="0" w:after="0"/>
              <w:ind w:left="360" w:right="0" w:hanging="0"/>
              <w:jc w:val="left"/>
              <w:rPr/>
            </w:pPr>
            <w:r>
              <w:rPr/>
              <w:t>•</w:t>
            </w:r>
          </w:p>
        </w:tc>
        <w:tc>
          <w:tcPr>
            <w:tcW w:w="10080" w:type="dxa"/>
            <w:tcBorders/>
            <w:vAlign w:val="center"/>
          </w:tcPr>
          <w:p>
            <w:pPr>
              <w:pStyle w:val="TableContents"/>
              <w:bidi w:val="0"/>
              <w:spacing w:lineRule="auto" w:line="300" w:before="0" w:after="0"/>
              <w:jc w:val="both"/>
              <w:rPr>
                <w:rFonts w:ascii="Times New Roman;Times;serif" w:hAnsi="Times New Roman;Times;serif"/>
                <w:sz w:val="20"/>
              </w:rPr>
            </w:pPr>
            <w:r>
              <w:rPr>
                <w:rFonts w:ascii="Times New Roman;Times;serif" w:hAnsi="Times New Roman;Times;serif"/>
                <w:sz w:val="20"/>
              </w:rPr>
              <w:t>existing electric utility industry regulations and changes to regulations may present technical, regulatory, and economic barriers to the purchase and use of PV systems;</w:t>
            </w:r>
          </w:p>
        </w:tc>
      </w:tr>
    </w:tbl>
    <w:tbl>
      <w:tblPr>
        <w:tblW w:w="6235" w:type="dxa"/>
        <w:jc w:val="left"/>
        <w:tblInd w:w="0" w:type="dxa"/>
        <w:tblLayout w:type="fixed"/>
        <w:tblCellMar>
          <w:top w:w="0" w:type="dxa"/>
          <w:left w:w="0" w:type="dxa"/>
          <w:bottom w:w="0" w:type="dxa"/>
          <w:right w:w="0" w:type="dxa"/>
        </w:tblCellMar>
      </w:tblPr>
      <w:tblGrid>
        <w:gridCol w:w="125"/>
        <w:gridCol w:w="6110"/>
      </w:tblGrid>
      <w:tr>
        <w:trPr/>
        <w:tc>
          <w:tcPr>
            <w:tcW w:w="125" w:type="dxa"/>
            <w:tcBorders/>
            <w:vAlign w:val="center"/>
          </w:tcPr>
          <w:p>
            <w:pPr>
              <w:pStyle w:val="TableContents"/>
              <w:bidi w:val="0"/>
              <w:spacing w:lineRule="auto" w:line="300" w:before="0" w:after="0"/>
              <w:ind w:left="360" w:right="0" w:hanging="0"/>
              <w:jc w:val="left"/>
              <w:rPr/>
            </w:pPr>
            <w:r>
              <w:rPr/>
              <w:t>•</w:t>
            </w:r>
          </w:p>
        </w:tc>
        <w:tc>
          <w:tcPr>
            <w:tcW w:w="6110" w:type="dxa"/>
            <w:tcBorders/>
            <w:vAlign w:val="center"/>
          </w:tcPr>
          <w:p>
            <w:pPr>
              <w:pStyle w:val="TableContents"/>
              <w:bidi w:val="0"/>
              <w:spacing w:lineRule="auto" w:line="300" w:before="0" w:after="0"/>
              <w:jc w:val="both"/>
              <w:rPr>
                <w:rFonts w:ascii="Times New Roman;Times;serif" w:hAnsi="Times New Roman;Times;serif"/>
                <w:sz w:val="20"/>
              </w:rPr>
            </w:pPr>
            <w:r>
              <w:rPr>
                <w:rFonts w:ascii="Times New Roman;Times;serif" w:hAnsi="Times New Roman;Times;serif"/>
                <w:sz w:val="20"/>
              </w:rPr>
              <w:t>business practices and regulatory compliance of our raw material suppliers;</w:t>
            </w:r>
          </w:p>
        </w:tc>
      </w:tr>
    </w:tbl>
    <w:tbl>
      <w:tblPr>
        <w:tblW w:w="7015" w:type="dxa"/>
        <w:jc w:val="left"/>
        <w:tblInd w:w="0" w:type="dxa"/>
        <w:tblLayout w:type="fixed"/>
        <w:tblCellMar>
          <w:top w:w="0" w:type="dxa"/>
          <w:left w:w="0" w:type="dxa"/>
          <w:bottom w:w="0" w:type="dxa"/>
          <w:right w:w="0" w:type="dxa"/>
        </w:tblCellMar>
      </w:tblPr>
      <w:tblGrid>
        <w:gridCol w:w="125"/>
        <w:gridCol w:w="6890"/>
      </w:tblGrid>
      <w:tr>
        <w:trPr/>
        <w:tc>
          <w:tcPr>
            <w:tcW w:w="125" w:type="dxa"/>
            <w:tcBorders/>
            <w:vAlign w:val="center"/>
          </w:tcPr>
          <w:p>
            <w:pPr>
              <w:pStyle w:val="TableContents"/>
              <w:bidi w:val="0"/>
              <w:spacing w:lineRule="auto" w:line="300" w:before="0" w:after="0"/>
              <w:ind w:left="360" w:right="0" w:hanging="0"/>
              <w:jc w:val="left"/>
              <w:rPr/>
            </w:pPr>
            <w:r>
              <w:rPr/>
              <w:t>•</w:t>
            </w:r>
          </w:p>
        </w:tc>
        <w:tc>
          <w:tcPr>
            <w:tcW w:w="6890" w:type="dxa"/>
            <w:tcBorders/>
            <w:vAlign w:val="center"/>
          </w:tcPr>
          <w:p>
            <w:pPr>
              <w:pStyle w:val="TableContents"/>
              <w:bidi w:val="0"/>
              <w:spacing w:lineRule="auto" w:line="300" w:before="0" w:after="0"/>
              <w:jc w:val="both"/>
              <w:rPr>
                <w:rFonts w:ascii="Times New Roman;Times;serif" w:hAnsi="Times New Roman;Times;serif"/>
                <w:sz w:val="20"/>
              </w:rPr>
            </w:pPr>
            <w:r>
              <w:rPr>
                <w:rFonts w:ascii="Times New Roman;Times;serif" w:hAnsi="Times New Roman;Times;serif"/>
                <w:sz w:val="20"/>
              </w:rPr>
              <w:t>our ability to maintain our brand and to protect and defend our intellectual property;</w:t>
            </w:r>
          </w:p>
        </w:tc>
      </w:tr>
    </w:tbl>
    <w:tbl>
      <w:tblPr>
        <w:tblW w:w="7570" w:type="dxa"/>
        <w:jc w:val="left"/>
        <w:tblInd w:w="0" w:type="dxa"/>
        <w:tblLayout w:type="fixed"/>
        <w:tblCellMar>
          <w:top w:w="0" w:type="dxa"/>
          <w:left w:w="0" w:type="dxa"/>
          <w:bottom w:w="0" w:type="dxa"/>
          <w:right w:w="0" w:type="dxa"/>
        </w:tblCellMar>
      </w:tblPr>
      <w:tblGrid>
        <w:gridCol w:w="125"/>
        <w:gridCol w:w="7445"/>
      </w:tblGrid>
      <w:tr>
        <w:trPr/>
        <w:tc>
          <w:tcPr>
            <w:tcW w:w="125" w:type="dxa"/>
            <w:tcBorders/>
            <w:vAlign w:val="center"/>
          </w:tcPr>
          <w:p>
            <w:pPr>
              <w:pStyle w:val="TableContents"/>
              <w:bidi w:val="0"/>
              <w:spacing w:lineRule="auto" w:line="300" w:before="0" w:after="0"/>
              <w:ind w:left="360" w:right="0" w:hanging="0"/>
              <w:jc w:val="left"/>
              <w:rPr/>
            </w:pPr>
            <w:r>
              <w:rPr/>
              <w:t>•</w:t>
            </w:r>
          </w:p>
        </w:tc>
        <w:tc>
          <w:tcPr>
            <w:tcW w:w="7445" w:type="dxa"/>
            <w:tcBorders/>
            <w:vAlign w:val="center"/>
          </w:tcPr>
          <w:p>
            <w:pPr>
              <w:pStyle w:val="TableContents"/>
              <w:bidi w:val="0"/>
              <w:spacing w:lineRule="auto" w:line="300" w:before="0" w:after="0"/>
              <w:jc w:val="both"/>
              <w:rPr>
                <w:rFonts w:ascii="Times New Roman;Times;serif" w:hAnsi="Times New Roman;Times;serif"/>
                <w:sz w:val="20"/>
              </w:rPr>
            </w:pPr>
            <w:r>
              <w:rPr>
                <w:rFonts w:ascii="Times New Roman;Times;serif" w:hAnsi="Times New Roman;Times;serif"/>
                <w:sz w:val="20"/>
              </w:rPr>
              <w:t>claims for remuneration or royalties for assigned service invention rights by our employees;</w:t>
            </w:r>
          </w:p>
        </w:tc>
      </w:tr>
    </w:tbl>
    <w:tbl>
      <w:tblPr>
        <w:tblW w:w="5770" w:type="dxa"/>
        <w:jc w:val="left"/>
        <w:tblInd w:w="0" w:type="dxa"/>
        <w:tblLayout w:type="fixed"/>
        <w:tblCellMar>
          <w:top w:w="0" w:type="dxa"/>
          <w:left w:w="0" w:type="dxa"/>
          <w:bottom w:w="0" w:type="dxa"/>
          <w:right w:w="0" w:type="dxa"/>
        </w:tblCellMar>
      </w:tblPr>
      <w:tblGrid>
        <w:gridCol w:w="125"/>
        <w:gridCol w:w="5645"/>
      </w:tblGrid>
      <w:tr>
        <w:trPr/>
        <w:tc>
          <w:tcPr>
            <w:tcW w:w="125" w:type="dxa"/>
            <w:tcBorders/>
            <w:vAlign w:val="center"/>
          </w:tcPr>
          <w:p>
            <w:pPr>
              <w:pStyle w:val="TableContents"/>
              <w:bidi w:val="0"/>
              <w:spacing w:lineRule="auto" w:line="300" w:before="0" w:after="0"/>
              <w:ind w:left="360" w:right="0" w:hanging="0"/>
              <w:jc w:val="left"/>
              <w:rPr/>
            </w:pPr>
            <w:r>
              <w:rPr/>
              <w:t>•</w:t>
            </w:r>
          </w:p>
        </w:tc>
        <w:tc>
          <w:tcPr>
            <w:tcW w:w="5645" w:type="dxa"/>
            <w:tcBorders/>
            <w:vAlign w:val="center"/>
          </w:tcPr>
          <w:p>
            <w:pPr>
              <w:pStyle w:val="TableContents"/>
              <w:bidi w:val="0"/>
              <w:spacing w:lineRule="auto" w:line="300" w:before="0" w:after="0"/>
              <w:jc w:val="both"/>
              <w:rPr>
                <w:rFonts w:ascii="Times New Roman;Times;serif" w:hAnsi="Times New Roman;Times;serif"/>
                <w:sz w:val="20"/>
              </w:rPr>
            </w:pPr>
            <w:r>
              <w:rPr>
                <w:rFonts w:ascii="Times New Roman;Times;serif" w:hAnsi="Times New Roman;Times;serif"/>
                <w:sz w:val="20"/>
              </w:rPr>
              <w:t>impairment of our goodwill or other long-lived and intangible assets;</w:t>
            </w:r>
          </w:p>
        </w:tc>
      </w:tr>
    </w:tbl>
    <w:tbl>
      <w:tblPr>
        <w:tblW w:w="2440" w:type="dxa"/>
        <w:jc w:val="left"/>
        <w:tblInd w:w="0" w:type="dxa"/>
        <w:tblLayout w:type="fixed"/>
        <w:tblCellMar>
          <w:top w:w="0" w:type="dxa"/>
          <w:left w:w="0" w:type="dxa"/>
          <w:bottom w:w="0" w:type="dxa"/>
          <w:right w:w="0" w:type="dxa"/>
        </w:tblCellMar>
      </w:tblPr>
      <w:tblGrid>
        <w:gridCol w:w="125"/>
        <w:gridCol w:w="2315"/>
      </w:tblGrid>
      <w:tr>
        <w:trPr/>
        <w:tc>
          <w:tcPr>
            <w:tcW w:w="125" w:type="dxa"/>
            <w:tcBorders/>
            <w:vAlign w:val="center"/>
          </w:tcPr>
          <w:p>
            <w:pPr>
              <w:pStyle w:val="TableContents"/>
              <w:bidi w:val="0"/>
              <w:spacing w:lineRule="auto" w:line="300" w:before="0" w:after="0"/>
              <w:ind w:left="360" w:right="0" w:hanging="0"/>
              <w:jc w:val="left"/>
              <w:rPr/>
            </w:pPr>
            <w:r>
              <w:rPr/>
              <w:t>•</w:t>
            </w:r>
          </w:p>
        </w:tc>
        <w:tc>
          <w:tcPr>
            <w:tcW w:w="2315" w:type="dxa"/>
            <w:tcBorders/>
            <w:vAlign w:val="center"/>
          </w:tcPr>
          <w:p>
            <w:pPr>
              <w:pStyle w:val="TableContents"/>
              <w:bidi w:val="0"/>
              <w:spacing w:lineRule="auto" w:line="300" w:before="0" w:after="0"/>
              <w:jc w:val="both"/>
              <w:rPr>
                <w:rFonts w:ascii="Times New Roman;Times;serif" w:hAnsi="Times New Roman;Times;serif"/>
                <w:sz w:val="20"/>
              </w:rPr>
            </w:pPr>
            <w:r>
              <w:rPr>
                <w:rFonts w:ascii="Times New Roman;Times;serif" w:hAnsi="Times New Roman;Times;serif"/>
                <w:sz w:val="20"/>
              </w:rPr>
              <w:t>volatility of our stock price;</w:t>
            </w:r>
          </w:p>
        </w:tc>
      </w:tr>
    </w:tbl>
    <w:tbl>
      <w:tblPr>
        <w:tblW w:w="10205" w:type="dxa"/>
        <w:jc w:val="left"/>
        <w:tblInd w:w="0" w:type="dxa"/>
        <w:tblLayout w:type="fixed"/>
        <w:tblCellMar>
          <w:top w:w="0" w:type="dxa"/>
          <w:left w:w="0" w:type="dxa"/>
          <w:bottom w:w="0" w:type="dxa"/>
          <w:right w:w="0" w:type="dxa"/>
        </w:tblCellMar>
      </w:tblPr>
      <w:tblGrid>
        <w:gridCol w:w="125"/>
        <w:gridCol w:w="10080"/>
      </w:tblGrid>
      <w:tr>
        <w:trPr/>
        <w:tc>
          <w:tcPr>
            <w:tcW w:w="125" w:type="dxa"/>
            <w:tcBorders/>
            <w:vAlign w:val="center"/>
          </w:tcPr>
          <w:p>
            <w:pPr>
              <w:pStyle w:val="TableContents"/>
              <w:bidi w:val="0"/>
              <w:spacing w:lineRule="auto" w:line="300" w:before="0" w:after="0"/>
              <w:ind w:left="360" w:right="0" w:hanging="0"/>
              <w:jc w:val="left"/>
              <w:rPr/>
            </w:pPr>
            <w:r>
              <w:rPr/>
              <w:t>•</w:t>
            </w:r>
          </w:p>
        </w:tc>
        <w:tc>
          <w:tcPr>
            <w:tcW w:w="10080" w:type="dxa"/>
            <w:tcBorders/>
            <w:vAlign w:val="center"/>
          </w:tcPr>
          <w:p>
            <w:pPr>
              <w:pStyle w:val="TableContents"/>
              <w:bidi w:val="0"/>
              <w:spacing w:lineRule="auto" w:line="300" w:before="0" w:after="0"/>
              <w:jc w:val="both"/>
              <w:rPr>
                <w:rFonts w:ascii="Times New Roman;Times;serif" w:hAnsi="Times New Roman;Times;serif"/>
                <w:sz w:val="20"/>
              </w:rPr>
            </w:pPr>
            <w:r>
              <w:rPr>
                <w:rFonts w:ascii="Times New Roman;Times;serif" w:hAnsi="Times New Roman;Times;serif"/>
                <w:sz w:val="20"/>
              </w:rPr>
              <w:t>provisions in our certificate of incorporation and by-laws may have the effect of delaying or preventing a change of control or changes in our management;</w:t>
            </w:r>
          </w:p>
        </w:tc>
      </w:tr>
    </w:tbl>
    <w:tbl>
      <w:tblPr>
        <w:tblW w:w="10205" w:type="dxa"/>
        <w:jc w:val="left"/>
        <w:tblInd w:w="0" w:type="dxa"/>
        <w:tblLayout w:type="fixed"/>
        <w:tblCellMar>
          <w:top w:w="0" w:type="dxa"/>
          <w:left w:w="0" w:type="dxa"/>
          <w:bottom w:w="0" w:type="dxa"/>
          <w:right w:w="0" w:type="dxa"/>
        </w:tblCellMar>
      </w:tblPr>
      <w:tblGrid>
        <w:gridCol w:w="125"/>
        <w:gridCol w:w="10080"/>
      </w:tblGrid>
      <w:tr>
        <w:trPr/>
        <w:tc>
          <w:tcPr>
            <w:tcW w:w="125" w:type="dxa"/>
            <w:tcBorders/>
            <w:vAlign w:val="center"/>
          </w:tcPr>
          <w:p>
            <w:pPr>
              <w:pStyle w:val="TableContents"/>
              <w:bidi w:val="0"/>
              <w:spacing w:lineRule="auto" w:line="300" w:before="0" w:after="0"/>
              <w:ind w:left="360" w:right="0" w:hanging="0"/>
              <w:jc w:val="left"/>
              <w:rPr/>
            </w:pPr>
            <w:r>
              <w:rPr/>
              <w:t>•</w:t>
            </w:r>
          </w:p>
        </w:tc>
        <w:tc>
          <w:tcPr>
            <w:tcW w:w="10080" w:type="dxa"/>
            <w:tcBorders/>
            <w:vAlign w:val="center"/>
          </w:tcPr>
          <w:p>
            <w:pPr>
              <w:pStyle w:val="TableContents"/>
              <w:bidi w:val="0"/>
              <w:spacing w:lineRule="auto" w:line="300" w:before="0" w:after="0"/>
              <w:jc w:val="both"/>
              <w:rPr>
                <w:rFonts w:ascii="Times New Roman;Times;serif" w:hAnsi="Times New Roman;Times;serif"/>
                <w:sz w:val="20"/>
              </w:rPr>
            </w:pPr>
            <w:r>
              <w:rPr>
                <w:rFonts w:ascii="Times New Roman;Times;serif" w:hAnsi="Times New Roman;Times;serif"/>
                <w:sz w:val="20"/>
              </w:rPr>
              <w:t>our certificate of incorporation includes a forum selection clause, which could limit our stockholders’ ability to obtain a favorable judicial forum;</w:t>
            </w:r>
          </w:p>
        </w:tc>
      </w:tr>
    </w:tbl>
    <w:tbl>
      <w:tblPr>
        <w:tblW w:w="6265" w:type="dxa"/>
        <w:jc w:val="left"/>
        <w:tblInd w:w="0" w:type="dxa"/>
        <w:tblLayout w:type="fixed"/>
        <w:tblCellMar>
          <w:top w:w="0" w:type="dxa"/>
          <w:left w:w="0" w:type="dxa"/>
          <w:bottom w:w="0" w:type="dxa"/>
          <w:right w:w="0" w:type="dxa"/>
        </w:tblCellMar>
      </w:tblPr>
      <w:tblGrid>
        <w:gridCol w:w="125"/>
        <w:gridCol w:w="6140"/>
      </w:tblGrid>
      <w:tr>
        <w:trPr/>
        <w:tc>
          <w:tcPr>
            <w:tcW w:w="125" w:type="dxa"/>
            <w:tcBorders/>
            <w:vAlign w:val="center"/>
          </w:tcPr>
          <w:p>
            <w:pPr>
              <w:pStyle w:val="TableContents"/>
              <w:bidi w:val="0"/>
              <w:spacing w:lineRule="auto" w:line="300" w:before="0" w:after="0"/>
              <w:ind w:left="360" w:right="0" w:hanging="0"/>
              <w:jc w:val="left"/>
              <w:rPr/>
            </w:pPr>
            <w:r>
              <w:rPr/>
              <w:t>•</w:t>
            </w:r>
          </w:p>
        </w:tc>
        <w:tc>
          <w:tcPr>
            <w:tcW w:w="6140" w:type="dxa"/>
            <w:tcBorders/>
            <w:vAlign w:val="center"/>
          </w:tcPr>
          <w:p>
            <w:pPr>
              <w:pStyle w:val="TableContents"/>
              <w:bidi w:val="0"/>
              <w:spacing w:lineRule="auto" w:line="300" w:before="0" w:after="0"/>
              <w:jc w:val="both"/>
              <w:rPr>
                <w:rFonts w:ascii="Times New Roman;Times;serif" w:hAnsi="Times New Roman;Times;serif"/>
                <w:sz w:val="20"/>
              </w:rPr>
            </w:pPr>
            <w:r>
              <w:rPr>
                <w:rFonts w:ascii="Times New Roman;Times;serif" w:hAnsi="Times New Roman;Times;serif"/>
                <w:sz w:val="20"/>
              </w:rPr>
              <w:t>our customers’ financial stability, creditworthiness, and debt leverage ratio;</w:t>
            </w:r>
          </w:p>
        </w:tc>
      </w:tr>
    </w:tbl>
    <w:tbl>
      <w:tblPr>
        <w:tblW w:w="4075" w:type="dxa"/>
        <w:jc w:val="left"/>
        <w:tblInd w:w="0" w:type="dxa"/>
        <w:tblLayout w:type="fixed"/>
        <w:tblCellMar>
          <w:top w:w="0" w:type="dxa"/>
          <w:left w:w="0" w:type="dxa"/>
          <w:bottom w:w="0" w:type="dxa"/>
          <w:right w:w="0" w:type="dxa"/>
        </w:tblCellMar>
      </w:tblPr>
      <w:tblGrid>
        <w:gridCol w:w="125"/>
        <w:gridCol w:w="3950"/>
      </w:tblGrid>
      <w:tr>
        <w:trPr/>
        <w:tc>
          <w:tcPr>
            <w:tcW w:w="125" w:type="dxa"/>
            <w:tcBorders/>
            <w:vAlign w:val="center"/>
          </w:tcPr>
          <w:p>
            <w:pPr>
              <w:pStyle w:val="TableContents"/>
              <w:bidi w:val="0"/>
              <w:spacing w:lineRule="auto" w:line="300" w:before="0" w:after="0"/>
              <w:ind w:left="360" w:right="0" w:hanging="0"/>
              <w:jc w:val="left"/>
              <w:rPr/>
            </w:pPr>
            <w:r>
              <w:rPr/>
              <w:t>•</w:t>
            </w:r>
          </w:p>
        </w:tc>
        <w:tc>
          <w:tcPr>
            <w:tcW w:w="3950" w:type="dxa"/>
            <w:tcBorders/>
            <w:vAlign w:val="center"/>
          </w:tcPr>
          <w:p>
            <w:pPr>
              <w:pStyle w:val="TableContents"/>
              <w:bidi w:val="0"/>
              <w:spacing w:lineRule="auto" w:line="300" w:before="0" w:after="0"/>
              <w:jc w:val="both"/>
              <w:rPr>
                <w:rFonts w:ascii="Times New Roman;Times;serif" w:hAnsi="Times New Roman;Times;serif"/>
                <w:sz w:val="20"/>
              </w:rPr>
            </w:pPr>
            <w:r>
              <w:rPr>
                <w:rFonts w:ascii="Times New Roman;Times;serif" w:hAnsi="Times New Roman;Times;serif"/>
                <w:sz w:val="20"/>
              </w:rPr>
              <w:t>our liquidity and ability to service our debt; and</w:t>
            </w:r>
          </w:p>
        </w:tc>
      </w:tr>
    </w:tbl>
    <w:p>
      <w:pPr>
        <w:pStyle w:val="TextBody"/>
        <w:bidi w:val="0"/>
        <w:spacing w:lineRule="auto" w:line="300" w:before="0" w:after="0"/>
        <w:jc w:val="left"/>
        <w:rPr/>
      </w:pPr>
      <w:r>
        <w:rPr/>
        <w:t> </w:t>
      </w:r>
    </w:p>
    <w:p>
      <w:pPr>
        <w:pStyle w:val="TextBody"/>
        <w:bidi w:val="0"/>
        <w:spacing w:lineRule="auto" w:line="300" w:before="0" w:after="0"/>
        <w:ind w:left="0" w:right="0" w:firstLine="720"/>
        <w:jc w:val="both"/>
        <w:rPr>
          <w:rFonts w:ascii="Times New Roman;Times;serif" w:hAnsi="Times New Roman;Times;serif"/>
          <w:sz w:val="20"/>
        </w:rPr>
      </w:pPr>
      <w:r>
        <w:rPr>
          <w:rFonts w:ascii="Times New Roman;Times;serif" w:hAnsi="Times New Roman;Times;serif"/>
          <w:sz w:val="20"/>
        </w:rPr>
        <w:t>the other factors set forth below in Part II, Item 1A under “Risk Factors” and in Part I, Item 1A under ”Risk Factors” in our Annual Report on Form 10-K/A for the year ended December 31, 2025 and in other documents we file from time to time with the SEC that disclose risks and uncertainties that may affect our business.</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rFonts w:ascii="Times New Roman;Times;serif" w:hAnsi="Times New Roman;Times;serif"/>
          <w:sz w:val="20"/>
        </w:rPr>
      </w:pPr>
      <w:r>
        <w:rPr>
          <w:rFonts w:ascii="Times New Roman;Times;serif" w:hAnsi="Times New Roman;Times;serif"/>
          <w:sz w:val="20"/>
        </w:rPr>
        <w:t>The preceding list is not intended to be an exhaustive list of all of our forward-looking statements. You should not rely upon forward-looking statements as predictions of future events. Although we believe that the expectations reflected in the forward-looking statements are reasonable, we cannot guarantee that future results, levels of activity, performance and events and circumstances reflected in the forward-looking statements will be achieved or will occur. Except as required by law, we assume no obligation to update these forward-looking statements, or to update the reasons actual results could differ materially from those anticipated in these forward-looking statements, even if new information becomes available in the future.</w:t>
      </w:r>
    </w:p>
    <w:p>
      <w:pPr>
        <w:pStyle w:val="TextBody"/>
        <w:bidi w:val="0"/>
        <w:spacing w:lineRule="auto" w:line="300"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SOLAREDGE TECHNOLOGIES INC. | 2026 Form 10-Q | 4</w:t>
      </w:r>
    </w:p>
    <w:p>
      <w:pPr>
        <w:pStyle w:val="HorizontalLine"/>
        <w:bidi w:val="0"/>
        <w:spacing w:lineRule="auto" w:line="300" w:before="200" w:after="200"/>
        <w:jc w:val="left"/>
        <w:rPr/>
      </w:pPr>
      <w:r>
        <w:rPr/>
      </w:r>
    </w:p>
    <w:p>
      <w:pPr>
        <w:pStyle w:val="TextBody"/>
        <w:bidi w:val="0"/>
        <w:spacing w:lineRule="auto" w:line="300" w:before="0" w:after="0"/>
        <w:ind w:left="0" w:right="0" w:firstLine="360"/>
        <w:jc w:val="left"/>
        <w:rPr>
          <w:rFonts w:ascii="Times New Roman;Times;serif" w:hAnsi="Times New Roman;Times;serif"/>
          <w:b/>
          <w:sz w:val="20"/>
        </w:rPr>
      </w:pPr>
      <w:r>
        <w:rPr>
          <w:rFonts w:ascii="Times New Roman;Times;serif" w:hAnsi="Times New Roman;Times;serif"/>
          <w:b/>
          <w:sz w:val="20"/>
        </w:rPr>
        <w:t>Overview</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rFonts w:ascii="Times New Roman;Times;serif" w:hAnsi="Times New Roman;Times;serif"/>
          <w:sz w:val="20"/>
        </w:rPr>
      </w:pPr>
      <w:r>
        <w:rPr>
          <w:rFonts w:ascii="Times New Roman;Times;serif" w:hAnsi="Times New Roman;Times;serif"/>
          <w:sz w:val="20"/>
        </w:rPr>
        <w:t>We are a global smart energy technology company. We develop, manufacture and sell products that address a broad range of energy market segments through our diversified product offering, including residential, commercial and large scale PV, energy storage and backup solutions, EV charging capabilities, home energy management, grid services and virtual power plants. By leveraging engineering capabilities and focusing on innovation, safety and reliability, we create smart energy solutions that power our lives and drive future progress. We launched or ramped up sales of several new products in the second quarter of 2026. Most notably, after we successfully launched SolarEdge Nexis, our next-generation residential product portfolio, we continued the rollout of the platform in key markets. We also expanded our commercial energy storage business with the CSS-OD 107, a 107 kWh battery, featuring a 29.9 kW or 49.9 kW battery inverter output, scalable up to 2.1MW hour size sites and the CSS-OD 197, a 197 kWh battery, featuring a 50 kW or 100 kW battery inverter output, scalable up to 4MW hour size sites. Both solutions are suitable for outdoor or indoor installations.</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rFonts w:ascii="Times New Roman;Times;serif" w:hAnsi="Times New Roman;Times;serif"/>
          <w:sz w:val="20"/>
        </w:rPr>
      </w:pPr>
      <w:r>
        <w:rPr>
          <w:rFonts w:ascii="Times New Roman;Times;serif" w:hAnsi="Times New Roman;Times;serif"/>
          <w:sz w:val="20"/>
        </w:rPr>
        <w:t>In Q2 2026, we continued the transition of our inverter products to a Single SKU concept. This is a software-defined platform that significantly reduces the complexity of our business for residential and commercial applications globally. It allows us to manufacture and ship one SKU of an inverter to the residential market, and minimal SKUs for the commercial market, which can then be programmed to the desired kilowatt rating in the field. This framework simplifies forecasting, manufacturing, inventory management, logistics, service and support, for both us and our customers. It also adds flexibility for home and business owners who can boost the inverter rating if a larger system is needed in the future.</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rFonts w:ascii="Times New Roman;Times;serif" w:hAnsi="Times New Roman;Times;serif"/>
          <w:sz w:val="20"/>
        </w:rPr>
      </w:pPr>
      <w:r>
        <w:rPr>
          <w:rFonts w:ascii="Times New Roman;Times;serif" w:hAnsi="Times New Roman;Times;serif"/>
          <w:sz w:val="20"/>
        </w:rPr>
        <w:t>In light of the Inflation Reduction Act (the “IRA”) in the United States, which incentivizes the local manufacturing of renewable energy products by providing benefits to installers for the purchase and installation of products with domestic content, as well as by incentivizing local manufacturing of our products, we manufacture the vast majority of our products in the United States. This includes inverters in Texas, power optimizers and inverters in Florida, and batteries in Utah. As part of our effort to streamline and centralize, we have discontinued manufacturing in China, Mexico, and Hungary. We continue to manufacture a minor portion of our products in Israel at our Sella 1 facility. We also continue to maintain manufacturing capabilities in Vietnam.</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rFonts w:ascii="Times New Roman;Times;serif" w:hAnsi="Times New Roman;Times;serif"/>
          <w:sz w:val="20"/>
        </w:rPr>
      </w:pPr>
      <w:r>
        <w:rPr>
          <w:rFonts w:ascii="Times New Roman;Times;serif" w:hAnsi="Times New Roman;Times;serif"/>
          <w:sz w:val="20"/>
        </w:rPr>
        <w:t>In the second quarter of 2026, we continued to strategically focus on our core markets and product lines to better align resources with markets and product lines that exhibit the strongest potential. As part of this strategic portfolio rationalization, we are concentrating our operations in key jurisdictions while discontinuing local activities in certain countries. Accordingly, we operate as one operating segment that constitutes consolidated results.</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rFonts w:ascii="Times New Roman;Times;serif" w:hAnsi="Times New Roman;Times;serif"/>
          <w:sz w:val="20"/>
        </w:rPr>
      </w:pPr>
      <w:r>
        <w:rPr>
          <w:rFonts w:ascii="Times New Roman;Times;serif" w:hAnsi="Times New Roman;Times;serif"/>
          <w:sz w:val="20"/>
        </w:rPr>
        <w:t>Our revenues for the three months ended June 30, 2026 and 2025 were $346.2 million and $289.4 million, respectively. Gross profit as a percentage of revenue for the three months ended June 30, 2026, and 2025 was 27.5% and 11.1%, respectively. Net loss for the three months ended June 30, 2026, and 2025 was $30.8 million and $124.7 million, respectively.</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rFonts w:ascii="Times New Roman;Times;serif" w:hAnsi="Times New Roman;Times;serif"/>
          <w:sz w:val="20"/>
        </w:rPr>
      </w:pPr>
      <w:r>
        <w:rPr>
          <w:rFonts w:ascii="Times New Roman;Times;serif" w:hAnsi="Times New Roman;Times;serif"/>
          <w:sz w:val="20"/>
        </w:rPr>
        <w:t>Our revenues for the six months ended June 30, 2026 and 2025 were $656.7 million and $508.9 million, respectively. Gross profit as a percentage of revenue for the six months ended June 30, 2026, and 2025 was 24.9% and 9.8%, respectively. Net loss for the six months ended June 30, 2026, and 2025 was $88.1 million and $223.3 million, respectively.</w:t>
      </w:r>
    </w:p>
    <w:p>
      <w:pPr>
        <w:pStyle w:val="TextBody"/>
        <w:bidi w:val="0"/>
        <w:spacing w:lineRule="auto" w:line="300" w:before="0" w:after="0"/>
        <w:jc w:val="left"/>
        <w:rPr/>
      </w:pPr>
      <w:r>
        <w:rPr/>
        <w:t> </w:t>
      </w:r>
    </w:p>
    <w:p>
      <w:pPr>
        <w:pStyle w:val="TextBody"/>
        <w:bidi w:val="0"/>
        <w:spacing w:lineRule="auto" w:line="300" w:before="0" w:after="0"/>
        <w:jc w:val="left"/>
        <w:rPr>
          <w:rFonts w:ascii="Times New Roman;Times;serif" w:hAnsi="Times New Roman;Times;serif"/>
          <w:b/>
          <w:sz w:val="20"/>
        </w:rPr>
      </w:pPr>
      <w:r>
        <w:rPr>
          <w:rFonts w:ascii="Times New Roman;Times;serif" w:hAnsi="Times New Roman;Times;serif"/>
          <w:b/>
          <w:sz w:val="20"/>
        </w:rPr>
        <w:t>Global Circumstances Influencing our Business and Operations</w:t>
      </w:r>
    </w:p>
    <w:p>
      <w:pPr>
        <w:pStyle w:val="TextBody"/>
        <w:bidi w:val="0"/>
        <w:spacing w:lineRule="auto" w:line="300" w:before="0" w:after="0"/>
        <w:jc w:val="left"/>
        <w:rPr/>
      </w:pPr>
      <w:r>
        <w:rPr/>
        <w:t> </w:t>
      </w:r>
    </w:p>
    <w:p>
      <w:pPr>
        <w:pStyle w:val="TextBody"/>
        <w:bidi w:val="0"/>
        <w:spacing w:lineRule="auto" w:line="300" w:before="0" w:after="0"/>
        <w:jc w:val="left"/>
        <w:rPr>
          <w:rFonts w:ascii="Times New Roman;Times;serif" w:hAnsi="Times New Roman;Times;serif"/>
          <w:b/>
          <w:sz w:val="20"/>
        </w:rPr>
      </w:pPr>
      <w:r>
        <w:rPr>
          <w:rFonts w:ascii="Times New Roman;Times;serif" w:hAnsi="Times New Roman;Times;serif"/>
          <w:b/>
          <w:sz w:val="20"/>
        </w:rPr>
        <w:t>Demand for Products</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rFonts w:ascii="Times New Roman;Times;serif" w:hAnsi="Times New Roman;Times;serif"/>
          <w:sz w:val="20"/>
        </w:rPr>
      </w:pPr>
      <w:r>
        <w:rPr>
          <w:rFonts w:ascii="Times New Roman;Times;serif" w:hAnsi="Times New Roman;Times;serif"/>
          <w:sz w:val="20"/>
        </w:rPr>
        <w:t>A prolonged softness in demand in the global market for PV products has continued to adversely impact the solar industry. Additionally, uncertainty related to changes in tariffs, trade restrictions and policies, legislation, and guidance including from H.R.1, may contribute to growing market volatility and adversely impact customer demand for our products, pricing and our financial performance. Despite a prolonged softness in demand, in the first half of 2026, we have seen an increase in sales, mainly of our C&amp;I products. Additionally, in the second quarter of 2026, we have seen an increase in demand for our batteries. We expect the softness in demand for PV products to continue in the third quarter and there can be no assurance that our sales will continue to increase or will not decrease.</w:t>
      </w:r>
    </w:p>
    <w:p>
      <w:pPr>
        <w:pStyle w:val="TextBody"/>
        <w:bidi w:val="0"/>
        <w:spacing w:lineRule="auto" w:line="300" w:before="0" w:after="0"/>
        <w:jc w:val="left"/>
        <w:rPr/>
      </w:pPr>
      <w:r>
        <w:rPr/>
        <w:t> </w:t>
      </w:r>
    </w:p>
    <w:p>
      <w:pPr>
        <w:pStyle w:val="TextBody"/>
        <w:bidi w:val="0"/>
        <w:spacing w:lineRule="auto" w:line="300" w:before="0" w:after="0"/>
        <w:jc w:val="left"/>
        <w:rPr>
          <w:rFonts w:ascii="Times New Roman;Times;serif" w:hAnsi="Times New Roman;Times;serif"/>
          <w:b/>
          <w:sz w:val="20"/>
        </w:rPr>
      </w:pPr>
      <w:r>
        <w:rPr>
          <w:rFonts w:ascii="Times New Roman;Times;serif" w:hAnsi="Times New Roman;Times;serif"/>
          <w:b/>
          <w:sz w:val="20"/>
        </w:rPr>
        <w:t>Impact of the H.R.1 on U.S. Tax Incentives</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rFonts w:ascii="Times New Roman;Times;serif" w:hAnsi="Times New Roman;Times;serif"/>
          <w:sz w:val="20"/>
        </w:rPr>
      </w:pPr>
      <w:r>
        <w:rPr>
          <w:rFonts w:ascii="Times New Roman;Times;serif" w:hAnsi="Times New Roman;Times;serif"/>
          <w:sz w:val="20"/>
        </w:rPr>
        <w:t>In August 2022, the U.S. government enacted the IRA, which contains several provisions intended to accelerate U.S. manufacturing and adoption of clean energy such as solar, wind, hydrogen and electric vehicles and therefore had positive impacts on our business and operations along with the overall U.S. solar market. Some of the applicable provisions in the IRA that positively impact the market for renewable energy include Section 48E, the tech-neutral investment tax credit ("ITC"), and 45Y, the production tax credit ("PTC"). The IRA includes incentives for residential and commercial solar customers and developers through the inclusion of ITCs for qualifying energy projects of up to 30% with a potential to gain further bonus credits such as through the utilization of Domestic Content. Section 45X of the IRA offers advanced manufacturing production credits (“AMPTCs”) that incentivize the production of eligible components within the United States. In light of such incentives, we established manufacturing capabilities in the United States starting in 2023 and further expanded such capabilities in 2024, 2025 and 2026. On October 24, 2024, the U.S. Internal Revenue Service (the “IRS”) and the U.S. Department of the Treasury (the “Treasury”) issued a Notice of Proposed Rule followed by a Final Rule that became effective on December 27, 2024, concerning the application of Section 45X which contain details concerning eligibility, qualifying and accounting for AMPTCs for components produced and sold after December 31, 2022. Of particular relevance to the Company are the tax credits that we generate as a result of rules concerning the qualification and measurement of AMPTCs to Residential Inverters, Commercial Inverters and DC-Optimized Inverter Systems that we manufacture in the United States. In 2024 and 2025, and continuing into 2026, we sold a significant part of the AMPTCs that we generated from our U.S. production of eligible components.</w:t>
      </w:r>
    </w:p>
    <w:p>
      <w:pPr>
        <w:pStyle w:val="TextBody"/>
        <w:bidi w:val="0"/>
        <w:spacing w:lineRule="auto" w:line="300"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SOLAREDGE TECHNOLOGIES INC. | 2026 Form 10-Q | 5</w:t>
      </w:r>
    </w:p>
    <w:p>
      <w:pPr>
        <w:pStyle w:val="HorizontalLine"/>
        <w:bidi w:val="0"/>
        <w:spacing w:lineRule="auto" w:line="300" w:before="200" w:after="200"/>
        <w:jc w:val="left"/>
        <w:rPr/>
      </w:pPr>
      <w:r>
        <w:rPr/>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rFonts w:ascii="Times New Roman;Times;serif" w:hAnsi="Times New Roman;Times;serif"/>
          <w:sz w:val="20"/>
        </w:rPr>
      </w:pPr>
      <w:r>
        <w:rPr>
          <w:rFonts w:ascii="Times New Roman;Times;serif" w:hAnsi="Times New Roman;Times;serif"/>
          <w:sz w:val="20"/>
        </w:rPr>
        <w:t>On July 4, 2025, H.R.1 was enacted into law introducing amendments to the clean energy tax credits contained in the IRA. The IRA provides energy tax credits that are significant to us and our U.S. based customers, and material changes thereto could adversely affect our revenue, our eligibility for certain tax credits, tax credits available to our customers, competitiveness and demand for our products and our financial condition.</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rFonts w:ascii="Times New Roman;Times;serif" w:hAnsi="Times New Roman;Times;serif"/>
          <w:sz w:val="20"/>
        </w:rPr>
      </w:pPr>
      <w:r>
        <w:rPr>
          <w:rFonts w:ascii="Times New Roman;Times;serif" w:hAnsi="Times New Roman;Times;serif"/>
          <w:sz w:val="20"/>
        </w:rPr>
        <w:t>H.R.1 accelerates the phase-out timeline for certain credits, eliminates the 25D individual homeowner credit, and imposes new eligibility criteria. Among other changes, H.R.1 shortens the term of the ITC and PTC under Sections 48E and 45Y of the Code, used by customers of SolarEdge who are engaged in third-party ownership (“TPO”) models, such as residential solar leases and power purchase agreements, and commercial solar customers and developers, shortening the end date from 2034 to 2027. H.R.1 also included a 12-month period in which such customers who began construction were given four years to complete their projects through the end of 2030. Projects begun after twelve months from enactment (July 4, 2026) of H.R.1 must be placed in service by December 31, 2027, to receive the credit. H.R.1 eliminated the individual residential tax credit under Section 25D of the Code at the end of 2025. These changes may negatively impact the eligibility of our customers and individuals to obtain tax credits, which may negatively affect the overall demand for our products.</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rFonts w:ascii="Times New Roman;Times;serif" w:hAnsi="Times New Roman;Times;serif"/>
          <w:sz w:val="20"/>
        </w:rPr>
      </w:pPr>
      <w:r>
        <w:rPr>
          <w:rFonts w:ascii="Times New Roman;Times;serif" w:hAnsi="Times New Roman;Times;serif"/>
          <w:sz w:val="20"/>
        </w:rPr>
        <w:t>H.R.1 also amends the domestic content bonus credit rules for Section 48E projects. Projects commencing construction after June 16, 2025, must meet a 45% domestic content threshold, up from 40%. Since January 1, 2026, such threshold was increased to 50% and shall thereafter be further increased by 5% on an annual basis, until 2029. In addition, H.R.1 introduced new Prohibited Foreign Entities ("PFE") requirements for Sections 45X, 45Y, and 48E of the Code. Since January 1, 2026, these restrictions require threshold percentages of non-PFE components that increase over time. Currently, we manufacture components aimed at helping our customers meet their non-PFE percentage requirements. However, if the Treasury were to release new rules or guidance that impact our ability to provide components with non-PFE percentages towards their total requirement, our customers’ eligibility to qualify for certain tax credits could be impaired, which may adversely affect our revenue, gross margins, business operations and competitive position. In addition, as of January 1, 2026, in order to receive the 45X credit, manufacturers must also reach a required percentage of non-PFE content in their manufactured components. Today, we meet the required threshold. However, if the Treasury guidance relating to the calculation of non-PFE content should change in a way that would impact our ability to reach that required percentage, it could have adverse impacts on our manufacturing costs, results of operations, cash flows, gross margin, and profits.</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rFonts w:ascii="Times New Roman;Times;serif" w:hAnsi="Times New Roman;Times;serif"/>
          <w:sz w:val="20"/>
        </w:rPr>
      </w:pPr>
      <w:r>
        <w:rPr>
          <w:rFonts w:ascii="Times New Roman;Times;serif" w:hAnsi="Times New Roman;Times;serif"/>
          <w:sz w:val="20"/>
        </w:rPr>
        <w:t>On August 15, 2025, the Treasury and the IRS released Notice 2025-42, its first set of guidance for H.R.1 related to the beginning of construction requirements applicable to our customers. While it removed the ability for projects over 1.5 MW to utilize the 5% safe harbor method (still allowing projects equal to or less than 1.5 MW to continue using it), it kept in place the physical work test method for all projects.</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rFonts w:ascii="Times New Roman;Times;serif" w:hAnsi="Times New Roman;Times;serif"/>
          <w:sz w:val="20"/>
        </w:rPr>
      </w:pPr>
      <w:r>
        <w:rPr>
          <w:rFonts w:ascii="Times New Roman;Times;serif" w:hAnsi="Times New Roman;Times;serif"/>
          <w:sz w:val="20"/>
        </w:rPr>
        <w:t>On February 12, 2026, the U.S. Department of Treasury and IRS released IRS Notice 2026-15 providing additional guidance on H.R.1 related to the PFE rules enacted in H.R.1. Specifically, this notice confirms the ability to rely on temporary safe harbor tables and existing safe harbor tables for the determination of material assistance from a PFE. This guidance provides answers to several compliance questions related to the Company’s 45X Credits material assistance calculations and its customers' 48E material assistance calculation among other things. While this removed some uncertainty around the Material Assistance Cost Ratio calculation, impending Notice of Proposed Rule and Final Rule on this same topic expected later this year could create challenges for the Company to meet the PFE requirements or to assist our customers in meeting them. If we are unable to meet the requirements this may adversely affect our revenue, or our customers' eligibility to obtain certain tax credits, the overall demand for our products, our results of operations, cash flows, gross margins and profits.</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rFonts w:ascii="Times New Roman;Times;serif" w:hAnsi="Times New Roman;Times;serif"/>
          <w:sz w:val="20"/>
        </w:rPr>
      </w:pPr>
      <w:r>
        <w:rPr>
          <w:rFonts w:ascii="Times New Roman;Times;serif" w:hAnsi="Times New Roman;Times;serif"/>
          <w:sz w:val="20"/>
        </w:rPr>
        <w:t>To the extent that tax benefits or credits may be impacted through new regulation, issued guidance, interpretation, or by new laws passed by Congress, our business could be disadvantaged or advantaged. Reductions in AMPTCs, without an offsetting reduction in our manufacturing costs, would adversely affect our results of operations and cash flows, and have an adverse impact on our gross margin, which may include transitioning into a gross loss. We continue to monitor the benefits that may be available to us, such as the availability of tax credits for domestic manufacturers.</w:t>
      </w:r>
    </w:p>
    <w:p>
      <w:pPr>
        <w:pStyle w:val="TextBody"/>
        <w:bidi w:val="0"/>
        <w:spacing w:lineRule="auto" w:line="300"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SOLAREDGE TECHNOLOGIES INC. | 2026 Form 10-Q | 6</w:t>
      </w:r>
    </w:p>
    <w:p>
      <w:pPr>
        <w:pStyle w:val="HorizontalLine"/>
        <w:bidi w:val="0"/>
        <w:spacing w:lineRule="auto" w:line="300" w:before="200" w:after="200"/>
        <w:jc w:val="left"/>
        <w:rPr/>
      </w:pPr>
      <w:r>
        <w:rPr/>
      </w:r>
    </w:p>
    <w:p>
      <w:pPr>
        <w:pStyle w:val="TextBody"/>
        <w:bidi w:val="0"/>
        <w:spacing w:lineRule="auto" w:line="300" w:before="0" w:after="0"/>
        <w:jc w:val="left"/>
        <w:rPr/>
      </w:pPr>
      <w:r>
        <w:rPr/>
        <w:t> </w:t>
      </w:r>
    </w:p>
    <w:p>
      <w:pPr>
        <w:pStyle w:val="TextBody"/>
        <w:bidi w:val="0"/>
        <w:spacing w:lineRule="auto" w:line="300" w:before="0" w:after="0"/>
        <w:jc w:val="left"/>
        <w:rPr>
          <w:rFonts w:ascii="Times New Roman;Times;serif" w:hAnsi="Times New Roman;Times;serif"/>
          <w:b/>
          <w:sz w:val="20"/>
        </w:rPr>
      </w:pPr>
      <w:r>
        <w:rPr>
          <w:rFonts w:ascii="Times New Roman;Times;serif" w:hAnsi="Times New Roman;Times;serif"/>
          <w:b/>
          <w:sz w:val="20"/>
        </w:rPr>
        <w:t>Trade and Tariff Uncertainties</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rFonts w:ascii="Times New Roman;Times;serif" w:hAnsi="Times New Roman;Times;serif"/>
          <w:sz w:val="20"/>
        </w:rPr>
      </w:pPr>
      <w:r>
        <w:rPr>
          <w:rFonts w:ascii="Times New Roman;Times;serif" w:hAnsi="Times New Roman;Times;serif"/>
          <w:sz w:val="20"/>
        </w:rPr>
        <w:t>The current trade environment continues to create uncertainty regarding the impact of tariffs, trade restrictions and retaliatory measures on our business, the solar industry, our suppliers, and our customers.</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rFonts w:ascii="Times New Roman;Times;serif" w:hAnsi="Times New Roman;Times;serif"/>
          <w:sz w:val="20"/>
        </w:rPr>
      </w:pPr>
      <w:r>
        <w:rPr>
          <w:rFonts w:ascii="Times New Roman;Times;serif" w:hAnsi="Times New Roman;Times;serif"/>
          <w:sz w:val="20"/>
        </w:rPr>
        <w:t>On February 20, 2026, the Supreme Court of the United States (the “U.S. Supreme Court”) invalidated certain tariffs imposed under the International Emergency Economic Powers Act (“IEEPA”). Following the decision and subsequent actions by the U.S. Customs and Border Protection (“CBP”), we became eligible to claim refunds of previously paid IEEPA-related duties. In the three and six months ended June 30, 2026, the Company received and recognized refunds and associated interest of $13.6 million from CBP related to tariffs paid during fiscal 2025 and the first quarter of fiscal 2026, of which $13.3 million was recognized as a reduction to cost of revenues and $0.3 million was recognized as interest income in the three and six months ended June 30, 2026. Our remaining claims are subject to CBP review and processing, and we cannot provide assurance regarding the amount or timing of any additional refunds.</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rFonts w:ascii="Times New Roman;Times;serif" w:hAnsi="Times New Roman;Times;serif"/>
          <w:sz w:val="20"/>
        </w:rPr>
      </w:pPr>
      <w:r>
        <w:rPr>
          <w:rFonts w:ascii="Times New Roman;Times;serif" w:hAnsi="Times New Roman;Times;serif"/>
          <w:sz w:val="20"/>
        </w:rPr>
        <w:t>In addition, following the U.S. Supreme Court's ruling, the U.S. Administration imposed a temporary import surcharge under Section 122 of the Trade Act of 1974 (“Section 122”). The surcharge was initially set at 10% ad valorem on substantially all imports, with a statutory ceiling of 15%, subject to carve-outs for certain goods (e.g., electronics and critical minerals) and products qualifying under the United States-Mexico-Canada Agreement. The surcharge took effect on February 24, 2026, for a maximum period of 150 days. On May 7, 2026, the U.S. Court of International Trade held that the Section 122 proclamation was invalid. This ruling has been appealed, and the U.S. Court of Appeals for the Federal Circuit issued a temporary stay of the ruling pending resolution of the appeal. The evolving legal status and expiration of the Section 122 tariffs create additional uncertainty regarding our tariff exposure and any potential recovery of Section 122 duties paid. If the Section 122 proclamation is ultimately held invalid and refund mechanisms are established, we may be eligible to recover some or all of the Section 122 duties we paid. However, the outcome of the appeal and the availability, timing and amount of any potential refunds remain uncertain and are subject to further judicial and administrative proceedings.</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rFonts w:ascii="Times New Roman;Times;serif" w:hAnsi="Times New Roman;Times;serif"/>
          <w:sz w:val="20"/>
        </w:rPr>
      </w:pPr>
      <w:r>
        <w:rPr>
          <w:rFonts w:ascii="Times New Roman;Times;serif" w:hAnsi="Times New Roman;Times;serif"/>
          <w:sz w:val="20"/>
        </w:rPr>
        <w:t>Although the IEEPA tariffs were invalidated, our tariff exposure has not been eliminated. During July 2026, the United States imposed additional tariffs under Section 301 of the Trade Act of 1974 (“Section 301”) on imports from numerous trading partners, generally ranging from 10% to 12.5% and subject to specified exceptions and exemptions. These tariffs are in addition to existing tariff measures, including certain Section 301 tariffs applicable to imports from China. Other trade-related duties may also affect the products, components and raw materials used in our business.</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rFonts w:ascii="Times New Roman;Times;serif" w:hAnsi="Times New Roman;Times;serif"/>
          <w:sz w:val="20"/>
        </w:rPr>
      </w:pPr>
      <w:r>
        <w:rPr>
          <w:rFonts w:ascii="Times New Roman;Times;serif" w:hAnsi="Times New Roman;Times;serif"/>
          <w:sz w:val="20"/>
        </w:rPr>
        <w:t>On July 28, 2026, the Federal Communications Commission (the “FCC”) updated its “Covered List,” maintained under the Secure and Trusted Communications Networks Act, to include power inverters produced in foreign countries, effective immediately and prospectively for new product authorizations. Under this action, new inverter models that do not qualify as “domestic end products” (as defined under the Buy American Act, 48 C.F.R. § 25.101(a)) are generally prohibited from receiving the FCC equipment authorizations required to import, market, or sell such products in the United States. The FCC’s order applies to new inverter models and certain equipment modifications requiring FCC equipment authorization in the future and generally does not impact products that were authorized by the FCC prior to this order. We believe that SolarEdge inverter products continue to be eligible for sale and installation under the new order.</w:t>
      </w:r>
    </w:p>
    <w:p>
      <w:pPr>
        <w:pStyle w:val="TextBody"/>
        <w:bidi w:val="0"/>
        <w:spacing w:lineRule="auto" w:line="300"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SOLAREDGE TECHNOLOGIES INC. | 2026 Form 10-Q | 7</w:t>
      </w:r>
    </w:p>
    <w:p>
      <w:pPr>
        <w:pStyle w:val="HorizontalLine"/>
        <w:bidi w:val="0"/>
        <w:spacing w:lineRule="auto" w:line="300" w:before="200" w:after="200"/>
        <w:jc w:val="left"/>
        <w:rPr/>
      </w:pPr>
      <w:r>
        <w:rPr/>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rFonts w:ascii="Times New Roman;Times;serif" w:hAnsi="Times New Roman;Times;serif"/>
          <w:sz w:val="20"/>
        </w:rPr>
      </w:pPr>
      <w:r>
        <w:rPr>
          <w:rFonts w:ascii="Times New Roman;Times;serif" w:hAnsi="Times New Roman;Times;serif"/>
          <w:sz w:val="20"/>
        </w:rPr>
        <w:t>We have relocated our contract manufacturing to the United States, where we now manufacture the substantial majority of our products. We continue to manufacture a minor portion of our products in Israel at our Sella 1 facility. Certain components and subcomponents used in our products continue to be sourced from suppliers outside the United States, including from China. Consequently, our cost structure may be affected by existing or future tariffs and other trade measures, including trade restriction orders. In addition, retaliatory measures imposed by other countries on products exported from the United States could adversely affect our international sales. In response to the evolving trade environment, we continue to evaluate and adjust our supply chain and sourcing strategies, including efforts to diversify suppliers and reduce tariff exposure where economically and operationally feasible. However, there can be no assurance that such efforts will fully mitigate the impact of current or future tariffs, trade restrictions or other trade-related measures, and any resulting increases in costs, supply chain disruptions or reductions in demand could adversely affect our business, financial condition and results of operations.</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rFonts w:ascii="Times New Roman;Times;serif" w:hAnsi="Times New Roman;Times;serif"/>
          <w:sz w:val="20"/>
        </w:rPr>
      </w:pPr>
      <w:r>
        <w:rPr>
          <w:rFonts w:ascii="Times New Roman;Times;serif" w:hAnsi="Times New Roman;Times;serif"/>
          <w:sz w:val="20"/>
        </w:rPr>
        <w:t>If the price of solar power systems increases, as well as the cost of manufacturing our products in the United States, the use of solar power systems could become less economically feasible and could further reduce our gross margins or reduce the demand of solar power systems manufactured and sold, which in turn may decrease demand for our products. Additionally, existing or future tariffs may negatively affect key partners, suppliers and manufacturers. Such outcomes could adversely affect the amount or timing of our revenue, results of operations or cash flows, and continuing uncertainty could cause sales volatility, price fluctuations or supply shortages or cause our customers to advance or delay their purchase of our products. Any such developments could materially and adversely affect our business operations, results of operations and cash flows.</w:t>
      </w:r>
    </w:p>
    <w:p>
      <w:pPr>
        <w:pStyle w:val="TextBody"/>
        <w:bidi w:val="0"/>
        <w:spacing w:lineRule="auto" w:line="300" w:before="0" w:after="0"/>
        <w:jc w:val="left"/>
        <w:rPr/>
      </w:pPr>
      <w:r>
        <w:rPr/>
        <w:t> </w:t>
      </w:r>
    </w:p>
    <w:p>
      <w:pPr>
        <w:pStyle w:val="TextBody"/>
        <w:bidi w:val="0"/>
        <w:spacing w:lineRule="auto" w:line="300" w:before="0" w:after="0"/>
        <w:jc w:val="left"/>
        <w:rPr>
          <w:rFonts w:ascii="Times New Roman;Times;serif" w:hAnsi="Times New Roman;Times;serif"/>
          <w:b/>
          <w:sz w:val="20"/>
        </w:rPr>
      </w:pPr>
      <w:r>
        <w:rPr>
          <w:rFonts w:ascii="Times New Roman;Times;serif" w:hAnsi="Times New Roman;Times;serif"/>
          <w:b/>
          <w:sz w:val="20"/>
        </w:rPr>
        <w:t>Disruptions Due to the War in Israel</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pPr>
      <w:r>
        <w:rPr/>
        <w:t> </w:t>
      </w:r>
      <w:r>
        <w:rPr>
          <w:rFonts w:ascii="Times New Roman;Times;serif" w:hAnsi="Times New Roman;Times;serif"/>
          <w:sz w:val="20"/>
        </w:rPr>
        <w:t>Due to the war in Gaza that began on October 7, 2023, followed by additional military conflicts with Iran and Hezbollah in Lebanon during 2024, 2025 and the first half of 2026, some of our employees in Israel were called to active reserve duty and additional employees may be called in the future, if needed. In the three months ended June 30, 2026, approximately 7% of our employees in Israel were called to active reserve duty for varying periods. Despite the ceasefire framework agreed between Israel, Hamas, the United States and other countries in the region and the moderation of the hostilities involving Israel, Iran, Yemen and Lebanon, it is unknown whether any ceasefires or periods of relative calm will endure, or if other conflicts will reemerge or escalate in the future.</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rFonts w:ascii="Times New Roman;Times;serif" w:hAnsi="Times New Roman;Times;serif"/>
          <w:sz w:val="20"/>
        </w:rPr>
      </w:pPr>
      <w:r>
        <w:rPr>
          <w:rFonts w:ascii="Times New Roman;Times;serif" w:hAnsi="Times New Roman;Times;serif"/>
          <w:sz w:val="20"/>
        </w:rPr>
        <w:t>While our offices and facilities are open worldwide, including in Israel, and, to date, we have not had material disruptions to our ability to manufacture and deliver products and services to customers. A reemergence of conflicts in Israel could materially adversely affect our business, financial condition, and results of operations. Due to the ongoing and evolving nature of the conflict in Israel, and the extent of these events, the adverse effect on our business operations is still unknown.</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rFonts w:ascii="Times New Roman;Times;serif" w:hAnsi="Times New Roman;Times;serif"/>
          <w:sz w:val="20"/>
        </w:rPr>
      </w:pPr>
      <w:r>
        <w:rPr>
          <w:rFonts w:ascii="Times New Roman;Times;serif" w:hAnsi="Times New Roman;Times;serif"/>
          <w:sz w:val="20"/>
        </w:rPr>
        <w:t>The majority of our key employees and officers are residents of Israel. If any of our facilities in Israel were to be damaged, destroyed or otherwise rendered unable to operate, whether due to war, acts of hostility, earthquakes, fire, floods, storms, other natural disasters, employee malfeasance, terrorist acts, power outages or otherwise, or if performance of our research and development is disrupted for any other reason, such an event could delay commercialization of our products, and if we choose to manufacture all or any part of them internally, jeopardize our ability to manufacture our products as promptly as our prospective customers will likely expect, or possibly at all. If we experience delays in achieving our development objectives within a timeframe that meets our prospective customers’ expectations, our business, prospects, financial results and reputation could be harmed.</w:t>
      </w:r>
    </w:p>
    <w:p>
      <w:pPr>
        <w:pStyle w:val="TextBody"/>
        <w:bidi w:val="0"/>
        <w:spacing w:lineRule="auto" w:line="300"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SOLAREDGE TECHNOLOGIES INC. | 2026 Form 10-Q | 8</w:t>
      </w:r>
    </w:p>
    <w:p>
      <w:pPr>
        <w:pStyle w:val="HorizontalLine"/>
        <w:bidi w:val="0"/>
        <w:spacing w:lineRule="auto" w:line="300" w:before="200" w:after="200"/>
        <w:jc w:val="left"/>
        <w:rPr/>
      </w:pPr>
      <w:r>
        <w:rPr/>
      </w:r>
    </w:p>
    <w:p>
      <w:pPr>
        <w:pStyle w:val="TextBody"/>
        <w:bidi w:val="0"/>
        <w:spacing w:lineRule="auto" w:line="300" w:before="0" w:after="0"/>
        <w:jc w:val="left"/>
        <w:rPr/>
      </w:pPr>
      <w:r>
        <w:rPr/>
        <w:t> </w:t>
      </w:r>
    </w:p>
    <w:p>
      <w:pPr>
        <w:pStyle w:val="TextBody"/>
        <w:bidi w:val="0"/>
        <w:spacing w:lineRule="auto" w:line="300" w:before="0" w:after="0"/>
        <w:jc w:val="left"/>
        <w:rPr>
          <w:rFonts w:ascii="Times New Roman;Times;serif" w:hAnsi="Times New Roman;Times;serif"/>
          <w:b/>
          <w:sz w:val="20"/>
        </w:rPr>
      </w:pPr>
      <w:r>
        <w:rPr>
          <w:rFonts w:ascii="Times New Roman;Times;serif" w:hAnsi="Times New Roman;Times;serif"/>
          <w:b/>
          <w:sz w:val="20"/>
        </w:rPr>
        <w:t>Performance Measures</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rFonts w:ascii="Times New Roman;Times;serif" w:hAnsi="Times New Roman;Times;serif"/>
          <w:sz w:val="20"/>
        </w:rPr>
      </w:pPr>
      <w:r>
        <w:rPr>
          <w:rFonts w:ascii="Times New Roman;Times;serif" w:hAnsi="Times New Roman;Times;serif"/>
          <w:sz w:val="20"/>
        </w:rPr>
        <w:t>In managing our business and assessing financial performance, we supplement the information provided by our financial statements with other operating metrics. These operating metrics are utilized by our management to evaluate our business, measure our performance, identify trends affecting our business and formulate projections. We provide the following metrics: (i) inverters recognized as revenue; (ii) power optimizers recognized as revenue; and (iii) Megawatt hours (MWh) of batteries recognized as revenue.</w:t>
      </w:r>
    </w:p>
    <w:p>
      <w:pPr>
        <w:pStyle w:val="TextBody"/>
        <w:bidi w:val="0"/>
        <w:spacing w:lineRule="auto" w:line="300" w:before="0" w:after="0"/>
        <w:jc w:val="left"/>
        <w:rPr/>
      </w:pPr>
      <w:r>
        <w:rPr/>
        <w:t> </w:t>
      </w:r>
    </w:p>
    <w:tbl>
      <w:tblPr>
        <w:tblW w:w="9776" w:type="dxa"/>
        <w:jc w:val="left"/>
        <w:tblInd w:w="0" w:type="dxa"/>
        <w:tblLayout w:type="fixed"/>
        <w:tblCellMar>
          <w:top w:w="0" w:type="dxa"/>
          <w:left w:w="0" w:type="dxa"/>
          <w:bottom w:w="0" w:type="dxa"/>
          <w:right w:w="0" w:type="dxa"/>
        </w:tblCellMar>
      </w:tblPr>
      <w:tblGrid>
        <w:gridCol w:w="4475"/>
        <w:gridCol w:w="60"/>
        <w:gridCol w:w="105"/>
        <w:gridCol w:w="1112"/>
        <w:gridCol w:w="105"/>
        <w:gridCol w:w="105"/>
        <w:gridCol w:w="105"/>
        <w:gridCol w:w="1112"/>
        <w:gridCol w:w="60"/>
        <w:gridCol w:w="60"/>
        <w:gridCol w:w="95"/>
        <w:gridCol w:w="1011"/>
        <w:gridCol w:w="95"/>
        <w:gridCol w:w="95"/>
        <w:gridCol w:w="95"/>
        <w:gridCol w:w="1011"/>
        <w:gridCol w:w="75"/>
      </w:tblGrid>
      <w:tr>
        <w:trPr/>
        <w:tc>
          <w:tcPr>
            <w:tcW w:w="44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44" w:type="dxa"/>
            <w:gridSpan w:val="6"/>
            <w:tcBorders>
              <w:bottom w:val="single" w:sz="12" w:space="0" w:color="000000"/>
            </w:tcBorders>
            <w:tcMar>
              <w:bottom w:w="28" w:type="dxa"/>
            </w:tcMar>
            <w:vAlign w:val="center"/>
          </w:tcPr>
          <w:p>
            <w:pPr>
              <w:pStyle w:val="TableContents"/>
              <w:bidi w:val="0"/>
              <w:spacing w:lineRule="auto" w:line="240" w:before="0" w:after="0"/>
              <w:jc w:val="center"/>
              <w:rPr>
                <w:rFonts w:ascii="Times New Roman;Times;serif" w:hAnsi="Times New Roman;Times;serif"/>
                <w:b/>
                <w:sz w:val="20"/>
              </w:rPr>
            </w:pPr>
            <w:r>
              <w:rPr>
                <w:rFonts w:ascii="Times New Roman;Times;serif" w:hAnsi="Times New Roman;Times;serif"/>
                <w:b/>
                <w:sz w:val="20"/>
              </w:rPr>
              <w:t>Three Months Ended June 30,1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02" w:type="dxa"/>
            <w:gridSpan w:val="6"/>
            <w:tcBorders>
              <w:bottom w:val="single" w:sz="12" w:space="0" w:color="000000"/>
            </w:tcBorders>
            <w:tcMar>
              <w:bottom w:w="28" w:type="dxa"/>
            </w:tcMar>
            <w:vAlign w:val="center"/>
          </w:tcPr>
          <w:p>
            <w:pPr>
              <w:pStyle w:val="TableContents"/>
              <w:bidi w:val="0"/>
              <w:spacing w:lineRule="auto" w:line="240" w:before="0" w:after="0"/>
              <w:jc w:val="center"/>
              <w:rPr>
                <w:rFonts w:ascii="Times New Roman;Times;serif" w:hAnsi="Times New Roman;Times;serif"/>
                <w:b/>
                <w:sz w:val="20"/>
              </w:rPr>
            </w:pPr>
            <w:r>
              <w:rPr>
                <w:rFonts w:ascii="Times New Roman;Times;serif" w:hAnsi="Times New Roman;Times;serif"/>
                <w:b/>
                <w:sz w:val="20"/>
              </w:rPr>
              <w:t>Six Months Ended June 30,1</w:t>
            </w:r>
          </w:p>
        </w:tc>
        <w:tc>
          <w:tcPr>
            <w:tcW w:w="75" w:type="dxa"/>
            <w:tcBorders/>
            <w:vAlign w:val="center"/>
          </w:tcPr>
          <w:p>
            <w:pPr>
              <w:pStyle w:val="TableContents"/>
              <w:bidi w:val="0"/>
              <w:spacing w:before="0" w:after="283"/>
              <w:jc w:val="left"/>
              <w:rPr/>
            </w:pPr>
            <w:r>
              <w:rPr/>
              <w:t> </w:t>
            </w:r>
          </w:p>
        </w:tc>
      </w:tr>
      <w:tr>
        <w:trPr/>
        <w:tc>
          <w:tcPr>
            <w:tcW w:w="44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17"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2026</w:t>
            </w:r>
          </w:p>
        </w:tc>
        <w:tc>
          <w:tcPr>
            <w:tcW w:w="105" w:type="dxa"/>
            <w:tcBorders/>
            <w:vAlign w:val="center"/>
          </w:tcPr>
          <w:p>
            <w:pPr>
              <w:pStyle w:val="TableContents"/>
              <w:bidi w:val="0"/>
              <w:spacing w:before="0" w:after="283"/>
              <w:jc w:val="left"/>
              <w:rPr/>
            </w:pPr>
            <w:r>
              <w:rPr/>
              <w:t> </w:t>
            </w:r>
          </w:p>
        </w:tc>
        <w:tc>
          <w:tcPr>
            <w:tcW w:w="105" w:type="dxa"/>
            <w:tcBorders/>
            <w:vAlign w:val="center"/>
          </w:tcPr>
          <w:p>
            <w:pPr>
              <w:pStyle w:val="TableContents"/>
              <w:bidi w:val="0"/>
              <w:spacing w:before="0" w:after="283"/>
              <w:jc w:val="left"/>
              <w:rPr/>
            </w:pPr>
            <w:r>
              <w:rPr/>
              <w:t> </w:t>
            </w:r>
          </w:p>
        </w:tc>
        <w:tc>
          <w:tcPr>
            <w:tcW w:w="1217"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6"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2026</w:t>
            </w:r>
          </w:p>
        </w:tc>
        <w:tc>
          <w:tcPr>
            <w:tcW w:w="9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1106"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2025</w:t>
            </w:r>
          </w:p>
        </w:tc>
        <w:tc>
          <w:tcPr>
            <w:tcW w:w="75" w:type="dxa"/>
            <w:tcBorders/>
            <w:vAlign w:val="center"/>
          </w:tcPr>
          <w:p>
            <w:pPr>
              <w:pStyle w:val="TableContents"/>
              <w:bidi w:val="0"/>
              <w:spacing w:before="0" w:after="283"/>
              <w:jc w:val="left"/>
              <w:rPr/>
            </w:pPr>
            <w:r>
              <w:rPr/>
              <w:t> </w:t>
            </w:r>
          </w:p>
        </w:tc>
      </w:tr>
      <w:tr>
        <w:trPr/>
        <w:tc>
          <w:tcPr>
            <w:tcW w:w="4475"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Inverters recognized as revenue (in thousands)</w:t>
            </w:r>
          </w:p>
        </w:tc>
        <w:tc>
          <w:tcPr>
            <w:tcW w:w="60"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1112"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62.6</w:t>
            </w:r>
          </w:p>
        </w:tc>
        <w:tc>
          <w:tcPr>
            <w:tcW w:w="105"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1112"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86.2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1011"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113.1</w:t>
            </w:r>
          </w:p>
        </w:tc>
        <w:tc>
          <w:tcPr>
            <w:tcW w:w="95"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1011"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158.1</w:t>
            </w:r>
          </w:p>
        </w:tc>
        <w:tc>
          <w:tcPr>
            <w:tcW w:w="75" w:type="dxa"/>
            <w:tcBorders/>
            <w:shd w:fill="CCEEFF" w:val="clear"/>
            <w:vAlign w:val="center"/>
          </w:tcPr>
          <w:p>
            <w:pPr>
              <w:pStyle w:val="TableContents"/>
              <w:bidi w:val="0"/>
              <w:spacing w:before="0" w:after="283"/>
              <w:jc w:val="left"/>
              <w:rPr/>
            </w:pPr>
            <w:r>
              <w:rPr/>
              <w:t> </w:t>
            </w:r>
          </w:p>
        </w:tc>
      </w:tr>
      <w:tr>
        <w:trPr/>
        <w:tc>
          <w:tcPr>
            <w:tcW w:w="4475"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Power optimizers recognized as revenue (in thousands)</w:t>
            </w:r>
          </w:p>
        </w:tc>
        <w:tc>
          <w:tcPr>
            <w:tcW w:w="60" w:type="dxa"/>
            <w:tcBorders/>
            <w:vAlign w:val="center"/>
          </w:tcPr>
          <w:p>
            <w:pPr>
              <w:pStyle w:val="TableContents"/>
              <w:bidi w:val="0"/>
              <w:spacing w:before="0" w:after="283"/>
              <w:jc w:val="left"/>
              <w:rPr/>
            </w:pPr>
            <w:r>
              <w:rPr/>
              <w:t> </w:t>
            </w:r>
          </w:p>
        </w:tc>
        <w:tc>
          <w:tcPr>
            <w:tcW w:w="105" w:type="dxa"/>
            <w:tcBorders/>
            <w:vAlign w:val="center"/>
          </w:tcPr>
          <w:p>
            <w:pPr>
              <w:pStyle w:val="TableContents"/>
              <w:bidi w:val="0"/>
              <w:spacing w:before="0" w:after="283"/>
              <w:jc w:val="left"/>
              <w:rPr/>
            </w:pPr>
            <w:r>
              <w:rPr/>
              <w:t> </w:t>
            </w:r>
          </w:p>
        </w:tc>
        <w:tc>
          <w:tcPr>
            <w:tcW w:w="1112"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2,485.6</w:t>
            </w:r>
          </w:p>
        </w:tc>
        <w:tc>
          <w:tcPr>
            <w:tcW w:w="105" w:type="dxa"/>
            <w:tcBorders/>
            <w:vAlign w:val="center"/>
          </w:tcPr>
          <w:p>
            <w:pPr>
              <w:pStyle w:val="TableContents"/>
              <w:bidi w:val="0"/>
              <w:spacing w:before="0" w:after="283"/>
              <w:jc w:val="left"/>
              <w:rPr/>
            </w:pPr>
            <w:r>
              <w:rPr/>
              <w:t> </w:t>
            </w:r>
          </w:p>
        </w:tc>
        <w:tc>
          <w:tcPr>
            <w:tcW w:w="105" w:type="dxa"/>
            <w:tcBorders/>
            <w:vAlign w:val="center"/>
          </w:tcPr>
          <w:p>
            <w:pPr>
              <w:pStyle w:val="TableContents"/>
              <w:bidi w:val="0"/>
              <w:spacing w:before="0" w:after="283"/>
              <w:jc w:val="left"/>
              <w:rPr/>
            </w:pPr>
            <w:r>
              <w:rPr/>
              <w:t> </w:t>
            </w:r>
          </w:p>
        </w:tc>
        <w:tc>
          <w:tcPr>
            <w:tcW w:w="105" w:type="dxa"/>
            <w:tcBorders/>
            <w:vAlign w:val="center"/>
          </w:tcPr>
          <w:p>
            <w:pPr>
              <w:pStyle w:val="TableContents"/>
              <w:bidi w:val="0"/>
              <w:spacing w:before="0" w:after="283"/>
              <w:jc w:val="left"/>
              <w:rPr/>
            </w:pPr>
            <w:r>
              <w:rPr/>
              <w:t> </w:t>
            </w:r>
          </w:p>
        </w:tc>
        <w:tc>
          <w:tcPr>
            <w:tcW w:w="1112"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2,640.6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1011"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4,924.0</w:t>
            </w:r>
          </w:p>
        </w:tc>
        <w:tc>
          <w:tcPr>
            <w:tcW w:w="9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1011"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4,753.8</w:t>
            </w:r>
          </w:p>
        </w:tc>
        <w:tc>
          <w:tcPr>
            <w:tcW w:w="75" w:type="dxa"/>
            <w:tcBorders/>
            <w:vAlign w:val="center"/>
          </w:tcPr>
          <w:p>
            <w:pPr>
              <w:pStyle w:val="TableContents"/>
              <w:bidi w:val="0"/>
              <w:spacing w:before="0" w:after="283"/>
              <w:jc w:val="left"/>
              <w:rPr/>
            </w:pPr>
            <w:r>
              <w:rPr/>
              <w:t> </w:t>
            </w:r>
          </w:p>
        </w:tc>
      </w:tr>
      <w:tr>
        <w:trPr/>
        <w:tc>
          <w:tcPr>
            <w:tcW w:w="4475"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Megawatt hours recognized as revenue - batteries</w:t>
            </w:r>
          </w:p>
        </w:tc>
        <w:tc>
          <w:tcPr>
            <w:tcW w:w="60"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1112"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426.0</w:t>
            </w:r>
          </w:p>
        </w:tc>
        <w:tc>
          <w:tcPr>
            <w:tcW w:w="105"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1112"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209.0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1011"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757.0</w:t>
            </w:r>
          </w:p>
        </w:tc>
        <w:tc>
          <w:tcPr>
            <w:tcW w:w="95"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1011"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386.0</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lineRule="auto" w:line="300" w:before="0" w:after="0"/>
        <w:jc w:val="left"/>
        <w:rPr/>
      </w:pPr>
      <w:r>
        <w:rPr/>
        <w:t> </w:t>
      </w:r>
    </w:p>
    <w:p>
      <w:pPr>
        <w:pStyle w:val="TextBody"/>
        <w:bidi w:val="0"/>
        <w:spacing w:lineRule="auto" w:line="240" w:before="0" w:after="0"/>
        <w:jc w:val="left"/>
        <w:rPr>
          <w:rFonts w:ascii="Times New Roman;Times;serif" w:hAnsi="Times New Roman;Times;serif"/>
          <w:sz w:val="20"/>
        </w:rPr>
      </w:pPr>
      <w:r>
        <w:rPr>
          <w:rFonts w:ascii="Times New Roman;Times;serif" w:hAnsi="Times New Roman;Times;serif"/>
          <w:sz w:val="20"/>
        </w:rPr>
        <w:t>1 Metrics may not match those disclosed in the 10-Q for June 30, 2025 due to change in performance measures since that time.</w:t>
      </w:r>
    </w:p>
    <w:p>
      <w:pPr>
        <w:pStyle w:val="TextBody"/>
        <w:bidi w:val="0"/>
        <w:spacing w:lineRule="auto" w:line="300"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SOLAREDGE TECHNOLOGIES INC. | 2026 Form 10-Q | 9</w:t>
      </w:r>
    </w:p>
    <w:p>
      <w:pPr>
        <w:pStyle w:val="HorizontalLine"/>
        <w:bidi w:val="0"/>
        <w:spacing w:lineRule="auto" w:line="300" w:before="200" w:after="200"/>
        <w:jc w:val="left"/>
        <w:rPr/>
      </w:pPr>
      <w:r>
        <w:rPr/>
      </w:r>
    </w:p>
    <w:p>
      <w:pPr>
        <w:pStyle w:val="TextBody"/>
        <w:bidi w:val="0"/>
        <w:spacing w:lineRule="auto" w:line="300" w:before="0" w:after="0"/>
        <w:ind w:left="0" w:right="0" w:firstLine="360"/>
        <w:jc w:val="both"/>
        <w:rPr>
          <w:rFonts w:ascii="Times New Roman;Times;serif" w:hAnsi="Times New Roman;Times;serif"/>
          <w:b/>
          <w:sz w:val="20"/>
        </w:rPr>
      </w:pPr>
      <w:r>
        <w:rPr>
          <w:rFonts w:ascii="Times New Roman;Times;serif" w:hAnsi="Times New Roman;Times;serif"/>
          <w:b/>
          <w:sz w:val="20"/>
        </w:rPr>
        <w:t>Results of Operations</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rFonts w:ascii="Times New Roman;Times;serif" w:hAnsi="Times New Roman;Times;serif"/>
          <w:sz w:val="20"/>
        </w:rPr>
      </w:pPr>
      <w:r>
        <w:rPr>
          <w:rFonts w:ascii="Times New Roman;Times;serif" w:hAnsi="Times New Roman;Times;serif"/>
          <w:sz w:val="20"/>
        </w:rPr>
        <w:t>The results of operations presented below should be reviewed in conjunction with the condensed consolidated financial statements and related notes included elsewhere in this report.</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rFonts w:ascii="Times New Roman;Times;serif" w:hAnsi="Times New Roman;Times;serif"/>
          <w:sz w:val="20"/>
        </w:rPr>
      </w:pPr>
      <w:r>
        <w:rPr>
          <w:rFonts w:ascii="Times New Roman;Times;serif" w:hAnsi="Times New Roman;Times;serif"/>
          <w:sz w:val="20"/>
        </w:rPr>
        <w:t>The following table sets forth selected consolidated statements of loss data for each of the periods indicated.</w:t>
      </w:r>
    </w:p>
    <w:p>
      <w:pPr>
        <w:pStyle w:val="TextBody"/>
        <w:bidi w:val="0"/>
        <w:spacing w:lineRule="auto" w:line="300" w:before="0" w:after="0"/>
        <w:ind w:left="0" w:right="0" w:firstLine="720"/>
        <w:jc w:val="both"/>
        <w:rPr/>
      </w:pPr>
      <w:r>
        <w:rPr/>
        <w:t> </w:t>
      </w:r>
    </w:p>
    <w:tbl>
      <w:tblPr>
        <w:tblW w:w="7325" w:type="dxa"/>
        <w:jc w:val="left"/>
        <w:tblInd w:w="0" w:type="dxa"/>
        <w:tblLayout w:type="fixed"/>
        <w:tblCellMar>
          <w:top w:w="0" w:type="dxa"/>
          <w:left w:w="0" w:type="dxa"/>
          <w:bottom w:w="0" w:type="dxa"/>
          <w:right w:w="0" w:type="dxa"/>
        </w:tblCellMar>
      </w:tblPr>
      <w:tblGrid>
        <w:gridCol w:w="3350"/>
        <w:gridCol w:w="60"/>
        <w:gridCol w:w="125"/>
        <w:gridCol w:w="695"/>
        <w:gridCol w:w="80"/>
        <w:gridCol w:w="60"/>
        <w:gridCol w:w="125"/>
        <w:gridCol w:w="755"/>
        <w:gridCol w:w="80"/>
        <w:gridCol w:w="60"/>
        <w:gridCol w:w="125"/>
        <w:gridCol w:w="695"/>
        <w:gridCol w:w="80"/>
        <w:gridCol w:w="60"/>
        <w:gridCol w:w="125"/>
        <w:gridCol w:w="755"/>
        <w:gridCol w:w="95"/>
      </w:tblGrid>
      <w:tr>
        <w:trPr/>
        <w:tc>
          <w:tcPr>
            <w:tcW w:w="33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40" w:type="dxa"/>
            <w:gridSpan w:val="6"/>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Three Months Ended</w:t>
              <w:br/>
              <w:t>June 30,</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40" w:type="dxa"/>
            <w:gridSpan w:val="6"/>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Six Months Ended</w:t>
              <w:br/>
              <w:t>June 30,</w:t>
            </w:r>
          </w:p>
        </w:tc>
        <w:tc>
          <w:tcPr>
            <w:tcW w:w="95" w:type="dxa"/>
            <w:tcBorders/>
            <w:vAlign w:val="center"/>
          </w:tcPr>
          <w:p>
            <w:pPr>
              <w:pStyle w:val="TableContents"/>
              <w:bidi w:val="0"/>
              <w:spacing w:before="0" w:after="283"/>
              <w:jc w:val="left"/>
              <w:rPr/>
            </w:pPr>
            <w:r>
              <w:rPr/>
              <w:t> </w:t>
            </w:r>
          </w:p>
        </w:tc>
      </w:tr>
      <w:tr>
        <w:trPr/>
        <w:tc>
          <w:tcPr>
            <w:tcW w:w="33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0"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2026</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80"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2025</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0"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2026</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80"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2025</w:t>
            </w:r>
          </w:p>
        </w:tc>
        <w:tc>
          <w:tcPr>
            <w:tcW w:w="95" w:type="dxa"/>
            <w:tcBorders/>
            <w:vAlign w:val="center"/>
          </w:tcPr>
          <w:p>
            <w:pPr>
              <w:pStyle w:val="TableContents"/>
              <w:bidi w:val="0"/>
              <w:spacing w:before="0" w:after="283"/>
              <w:jc w:val="left"/>
              <w:rPr/>
            </w:pPr>
            <w:r>
              <w:rPr/>
              <w:t> </w:t>
            </w:r>
          </w:p>
        </w:tc>
      </w:tr>
      <w:tr>
        <w:trPr/>
        <w:tc>
          <w:tcPr>
            <w:tcW w:w="33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20" w:type="dxa"/>
            <w:gridSpan w:val="14"/>
            <w:tcBorders/>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(In thousands)</w:t>
            </w:r>
          </w:p>
        </w:tc>
        <w:tc>
          <w:tcPr>
            <w:tcW w:w="95" w:type="dxa"/>
            <w:tcBorders/>
            <w:vAlign w:val="center"/>
          </w:tcPr>
          <w:p>
            <w:pPr>
              <w:pStyle w:val="TableContents"/>
              <w:bidi w:val="0"/>
              <w:spacing w:before="0" w:after="283"/>
              <w:jc w:val="left"/>
              <w:rPr/>
            </w:pPr>
            <w:r>
              <w:rPr/>
              <w:t> </w:t>
            </w:r>
          </w:p>
        </w:tc>
      </w:tr>
      <w:tr>
        <w:trPr/>
        <w:tc>
          <w:tcPr>
            <w:tcW w:w="3350"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Revenues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346,245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755"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289,429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656,746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755"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508,909</w:t>
            </w:r>
          </w:p>
        </w:tc>
        <w:tc>
          <w:tcPr>
            <w:tcW w:w="95" w:type="dxa"/>
            <w:tcBorders/>
            <w:shd w:fill="CCEEFF" w:val="clear"/>
            <w:vAlign w:val="center"/>
          </w:tcPr>
          <w:p>
            <w:pPr>
              <w:pStyle w:val="TableContents"/>
              <w:bidi w:val="0"/>
              <w:spacing w:before="0" w:after="283"/>
              <w:jc w:val="left"/>
              <w:rPr/>
            </w:pPr>
            <w:r>
              <w:rPr/>
              <w:t> </w:t>
            </w:r>
          </w:p>
        </w:tc>
      </w:tr>
      <w:tr>
        <w:trPr/>
        <w:tc>
          <w:tcPr>
            <w:tcW w:w="3350"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Cost of revenues</w:t>
            </w:r>
          </w:p>
        </w:tc>
        <w:tc>
          <w:tcPr>
            <w:tcW w:w="60" w:type="dxa"/>
            <w:tcBorders/>
            <w:vAlign w:val="center"/>
          </w:tcPr>
          <w:p>
            <w:pPr>
              <w:pStyle w:val="TableContents"/>
              <w:bidi w:val="0"/>
              <w:spacing w:before="0" w:after="283"/>
              <w:jc w:val="left"/>
              <w:rPr/>
            </w:pPr>
            <w:r>
              <w:rPr/>
              <w:t> </w:t>
            </w:r>
          </w:p>
        </w:tc>
        <w:tc>
          <w:tcPr>
            <w:tcW w:w="125" w:type="dxa"/>
            <w:tcBorders>
              <w:bottom w:val="single" w:sz="12" w:space="0" w:color="000000"/>
            </w:tcBorders>
            <w:tcMar>
              <w:bottom w:w="28" w:type="dxa"/>
            </w:tcMar>
            <w:vAlign w:val="center"/>
          </w:tcPr>
          <w:p>
            <w:pPr>
              <w:pStyle w:val="TableContents"/>
              <w:bidi w:val="0"/>
              <w:spacing w:before="0" w:after="283"/>
              <w:jc w:val="left"/>
              <w:rPr/>
            </w:pPr>
            <w:r>
              <w:rPr/>
              <w:t> </w:t>
            </w:r>
          </w:p>
        </w:tc>
        <w:tc>
          <w:tcPr>
            <w:tcW w:w="695" w:type="dxa"/>
            <w:tcBorders>
              <w:bottom w:val="single" w:sz="12" w:space="0" w:color="000000"/>
            </w:tcBorders>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251,093</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bottom w:val="single" w:sz="12" w:space="0" w:color="000000"/>
            </w:tcBorders>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257,298</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bottom w:val="single" w:sz="12" w:space="0" w:color="000000"/>
            </w:tcBorders>
            <w:tcMar>
              <w:bottom w:w="28" w:type="dxa"/>
            </w:tcMar>
            <w:vAlign w:val="center"/>
          </w:tcPr>
          <w:p>
            <w:pPr>
              <w:pStyle w:val="TableContents"/>
              <w:bidi w:val="0"/>
              <w:spacing w:before="0" w:after="283"/>
              <w:jc w:val="left"/>
              <w:rPr/>
            </w:pPr>
            <w:r>
              <w:rPr/>
              <w:t> </w:t>
            </w:r>
          </w:p>
        </w:tc>
        <w:tc>
          <w:tcPr>
            <w:tcW w:w="695" w:type="dxa"/>
            <w:tcBorders>
              <w:bottom w:val="single" w:sz="12" w:space="0" w:color="000000"/>
            </w:tcBorders>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493,313</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bottom w:val="single" w:sz="12" w:space="0" w:color="000000"/>
            </w:tcBorders>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459,242</w:t>
            </w:r>
          </w:p>
        </w:tc>
        <w:tc>
          <w:tcPr>
            <w:tcW w:w="95" w:type="dxa"/>
            <w:tcBorders/>
            <w:vAlign w:val="center"/>
          </w:tcPr>
          <w:p>
            <w:pPr>
              <w:pStyle w:val="TableContents"/>
              <w:bidi w:val="0"/>
              <w:spacing w:before="0" w:after="283"/>
              <w:jc w:val="left"/>
              <w:rPr/>
            </w:pPr>
            <w:r>
              <w:rPr/>
              <w:t> </w:t>
            </w:r>
          </w:p>
        </w:tc>
      </w:tr>
      <w:tr>
        <w:trPr/>
        <w:tc>
          <w:tcPr>
            <w:tcW w:w="3350"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Gross profit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95" w:type="dxa"/>
            <w:tcBorders>
              <w:bottom w:val="single" w:sz="12" w:space="0" w:color="000000"/>
            </w:tcBorders>
            <w:shd w:fill="CCEEFF" w:val="clear"/>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95,152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CCEEFF" w:val="clear"/>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32,131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95" w:type="dxa"/>
            <w:tcBorders>
              <w:bottom w:val="single" w:sz="12" w:space="0" w:color="000000"/>
            </w:tcBorders>
            <w:shd w:fill="CCEEFF" w:val="clear"/>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163,433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CCEEFF" w:val="clear"/>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49,667</w:t>
            </w:r>
          </w:p>
        </w:tc>
        <w:tc>
          <w:tcPr>
            <w:tcW w:w="95" w:type="dxa"/>
            <w:tcBorders/>
            <w:shd w:fill="CCEEFF" w:val="clear"/>
            <w:vAlign w:val="center"/>
          </w:tcPr>
          <w:p>
            <w:pPr>
              <w:pStyle w:val="TableContents"/>
              <w:bidi w:val="0"/>
              <w:spacing w:before="0" w:after="283"/>
              <w:jc w:val="left"/>
              <w:rPr/>
            </w:pPr>
            <w:r>
              <w:rPr/>
              <w:t> </w:t>
            </w:r>
          </w:p>
        </w:tc>
      </w:tr>
      <w:tr>
        <w:trPr/>
        <w:tc>
          <w:tcPr>
            <w:tcW w:w="3350"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Operating expenses:</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before="0" w:after="283"/>
              <w:jc w:val="righ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before="0" w:after="283"/>
              <w:jc w:val="righ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r>
      <w:tr>
        <w:trPr/>
        <w:tc>
          <w:tcPr>
            <w:tcW w:w="3350" w:type="dxa"/>
            <w:tcBorders/>
            <w:shd w:fill="CCEEFF" w:val="clear"/>
            <w:vAlign w:val="center"/>
          </w:tcPr>
          <w:p>
            <w:pPr>
              <w:pStyle w:val="TableContents"/>
              <w:bidi w:val="0"/>
              <w:spacing w:lineRule="auto" w:line="300" w:before="0" w:after="0"/>
              <w:ind w:left="270" w:right="0" w:hanging="0"/>
              <w:jc w:val="left"/>
              <w:rPr>
                <w:rFonts w:ascii="Times New Roman;Times;serif" w:hAnsi="Times New Roman;Times;serif"/>
                <w:sz w:val="20"/>
              </w:rPr>
            </w:pPr>
            <w:r>
              <w:rPr>
                <w:rFonts w:ascii="Times New Roman;Times;serif" w:hAnsi="Times New Roman;Times;serif"/>
                <w:sz w:val="20"/>
              </w:rPr>
              <w:t>Research and development, net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52,751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53,386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102,906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115,383</w:t>
            </w:r>
          </w:p>
        </w:tc>
        <w:tc>
          <w:tcPr>
            <w:tcW w:w="95" w:type="dxa"/>
            <w:tcBorders/>
            <w:shd w:fill="CCEEFF" w:val="clear"/>
            <w:vAlign w:val="center"/>
          </w:tcPr>
          <w:p>
            <w:pPr>
              <w:pStyle w:val="TableContents"/>
              <w:bidi w:val="0"/>
              <w:spacing w:before="0" w:after="283"/>
              <w:jc w:val="left"/>
              <w:rPr/>
            </w:pPr>
            <w:r>
              <w:rPr/>
              <w:t> </w:t>
            </w:r>
          </w:p>
        </w:tc>
      </w:tr>
      <w:tr>
        <w:trPr/>
        <w:tc>
          <w:tcPr>
            <w:tcW w:w="3350" w:type="dxa"/>
            <w:tcBorders/>
            <w:vAlign w:val="center"/>
          </w:tcPr>
          <w:p>
            <w:pPr>
              <w:pStyle w:val="TableContents"/>
              <w:bidi w:val="0"/>
              <w:spacing w:lineRule="auto" w:line="300" w:before="0" w:after="0"/>
              <w:ind w:left="270" w:right="0" w:hanging="0"/>
              <w:jc w:val="left"/>
              <w:rPr>
                <w:rFonts w:ascii="Times New Roman;Times;serif" w:hAnsi="Times New Roman;Times;serif"/>
                <w:sz w:val="20"/>
              </w:rPr>
            </w:pPr>
            <w:r>
              <w:rPr>
                <w:rFonts w:ascii="Times New Roman;Times;serif" w:hAnsi="Times New Roman;Times;serif"/>
                <w:sz w:val="20"/>
              </w:rPr>
              <w:t>Sales and marketing</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27,265</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28,725</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54,714</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60,382</w:t>
            </w:r>
          </w:p>
        </w:tc>
        <w:tc>
          <w:tcPr>
            <w:tcW w:w="95" w:type="dxa"/>
            <w:tcBorders/>
            <w:vAlign w:val="center"/>
          </w:tcPr>
          <w:p>
            <w:pPr>
              <w:pStyle w:val="TableContents"/>
              <w:bidi w:val="0"/>
              <w:spacing w:before="0" w:after="283"/>
              <w:jc w:val="left"/>
              <w:rPr/>
            </w:pPr>
            <w:r>
              <w:rPr/>
              <w:t> </w:t>
            </w:r>
          </w:p>
        </w:tc>
      </w:tr>
      <w:tr>
        <w:trPr/>
        <w:tc>
          <w:tcPr>
            <w:tcW w:w="3350" w:type="dxa"/>
            <w:tcBorders/>
            <w:shd w:fill="CCEEFF" w:val="clear"/>
            <w:vAlign w:val="center"/>
          </w:tcPr>
          <w:p>
            <w:pPr>
              <w:pStyle w:val="TableContents"/>
              <w:bidi w:val="0"/>
              <w:spacing w:lineRule="auto" w:line="300" w:before="0" w:after="0"/>
              <w:ind w:left="270" w:right="0" w:hanging="0"/>
              <w:jc w:val="left"/>
              <w:rPr>
                <w:rFonts w:ascii="Times New Roman;Times;serif" w:hAnsi="Times New Roman;Times;serif"/>
                <w:sz w:val="20"/>
              </w:rPr>
            </w:pPr>
            <w:r>
              <w:rPr>
                <w:rFonts w:ascii="Times New Roman;Times;serif" w:hAnsi="Times New Roman;Times;serif"/>
                <w:sz w:val="20"/>
              </w:rPr>
              <w:t>General and administrative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24,539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19,789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60,961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49,972</w:t>
            </w:r>
          </w:p>
        </w:tc>
        <w:tc>
          <w:tcPr>
            <w:tcW w:w="95" w:type="dxa"/>
            <w:tcBorders/>
            <w:shd w:fill="CCEEFF" w:val="clear"/>
            <w:vAlign w:val="center"/>
          </w:tcPr>
          <w:p>
            <w:pPr>
              <w:pStyle w:val="TableContents"/>
              <w:bidi w:val="0"/>
              <w:spacing w:before="0" w:after="283"/>
              <w:jc w:val="left"/>
              <w:rPr/>
            </w:pPr>
            <w:r>
              <w:rPr/>
              <w:t> </w:t>
            </w:r>
          </w:p>
        </w:tc>
      </w:tr>
      <w:tr>
        <w:trPr/>
        <w:tc>
          <w:tcPr>
            <w:tcW w:w="3350" w:type="dxa"/>
            <w:tcBorders/>
            <w:vAlign w:val="center"/>
          </w:tcPr>
          <w:p>
            <w:pPr>
              <w:pStyle w:val="TableContents"/>
              <w:bidi w:val="0"/>
              <w:spacing w:lineRule="auto" w:line="300" w:before="0" w:after="0"/>
              <w:ind w:left="270" w:right="0" w:hanging="0"/>
              <w:jc w:val="left"/>
              <w:rPr>
                <w:rFonts w:ascii="Times New Roman;Times;serif" w:hAnsi="Times New Roman;Times;serif"/>
                <w:sz w:val="20"/>
              </w:rPr>
            </w:pPr>
            <w:r>
              <w:rPr>
                <w:rFonts w:ascii="Times New Roman;Times;serif" w:hAnsi="Times New Roman;Times;serif"/>
                <w:sz w:val="20"/>
              </w:rPr>
              <w:t>Other operating expense, net</w:t>
            </w:r>
          </w:p>
        </w:tc>
        <w:tc>
          <w:tcPr>
            <w:tcW w:w="60" w:type="dxa"/>
            <w:tcBorders/>
            <w:vAlign w:val="center"/>
          </w:tcPr>
          <w:p>
            <w:pPr>
              <w:pStyle w:val="TableContents"/>
              <w:bidi w:val="0"/>
              <w:spacing w:before="0" w:after="283"/>
              <w:jc w:val="left"/>
              <w:rPr/>
            </w:pPr>
            <w:r>
              <w:rPr/>
              <w:t> </w:t>
            </w:r>
          </w:p>
        </w:tc>
        <w:tc>
          <w:tcPr>
            <w:tcW w:w="125" w:type="dxa"/>
            <w:tcBorders>
              <w:bottom w:val="single" w:sz="12" w:space="0" w:color="000000"/>
            </w:tcBorders>
            <w:tcMar>
              <w:bottom w:w="28" w:type="dxa"/>
            </w:tcMar>
            <w:vAlign w:val="center"/>
          </w:tcPr>
          <w:p>
            <w:pPr>
              <w:pStyle w:val="TableContents"/>
              <w:bidi w:val="0"/>
              <w:spacing w:before="0" w:after="283"/>
              <w:jc w:val="left"/>
              <w:rPr/>
            </w:pPr>
            <w:r>
              <w:rPr/>
              <w:t> </w:t>
            </w:r>
          </w:p>
        </w:tc>
        <w:tc>
          <w:tcPr>
            <w:tcW w:w="695" w:type="dxa"/>
            <w:tcBorders>
              <w:bottom w:val="single" w:sz="12" w:space="0" w:color="000000"/>
            </w:tcBorders>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6,643</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bottom w:val="single" w:sz="12" w:space="0" w:color="000000"/>
            </w:tcBorders>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45,724</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bottom w:val="single" w:sz="12" w:space="0" w:color="000000"/>
            </w:tcBorders>
            <w:tcMar>
              <w:bottom w:w="28" w:type="dxa"/>
            </w:tcMar>
            <w:vAlign w:val="center"/>
          </w:tcPr>
          <w:p>
            <w:pPr>
              <w:pStyle w:val="TableContents"/>
              <w:bidi w:val="0"/>
              <w:spacing w:before="0" w:after="283"/>
              <w:jc w:val="left"/>
              <w:rPr/>
            </w:pPr>
            <w:r>
              <w:rPr/>
              <w:t> </w:t>
            </w:r>
          </w:p>
        </w:tc>
        <w:tc>
          <w:tcPr>
            <w:tcW w:w="695" w:type="dxa"/>
            <w:tcBorders>
              <w:bottom w:val="single" w:sz="12" w:space="0" w:color="000000"/>
            </w:tcBorders>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15,941</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bottom w:val="single" w:sz="12" w:space="0" w:color="000000"/>
            </w:tcBorders>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42,149</w:t>
            </w:r>
          </w:p>
        </w:tc>
        <w:tc>
          <w:tcPr>
            <w:tcW w:w="95" w:type="dxa"/>
            <w:tcBorders/>
            <w:vAlign w:val="center"/>
          </w:tcPr>
          <w:p>
            <w:pPr>
              <w:pStyle w:val="TableContents"/>
              <w:bidi w:val="0"/>
              <w:spacing w:before="0" w:after="283"/>
              <w:jc w:val="left"/>
              <w:rPr/>
            </w:pPr>
            <w:r>
              <w:rPr/>
              <w:t> </w:t>
            </w:r>
          </w:p>
        </w:tc>
      </w:tr>
      <w:tr>
        <w:trPr/>
        <w:tc>
          <w:tcPr>
            <w:tcW w:w="3350"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u w:val="single"/>
              </w:rPr>
              <w:t>Total</w:t>
            </w:r>
            <w:r>
              <w:rPr>
                <w:rFonts w:ascii="Times New Roman;Times;serif" w:hAnsi="Times New Roman;Times;serif"/>
                <w:sz w:val="20"/>
              </w:rPr>
              <w:t xml:space="preserve"> operating expenses</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95" w:type="dxa"/>
            <w:tcBorders>
              <w:bottom w:val="single" w:sz="12" w:space="0" w:color="000000"/>
            </w:tcBorders>
            <w:shd w:fill="CCEEFF" w:val="clear"/>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111,198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CCEEFF" w:val="clear"/>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147,624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95" w:type="dxa"/>
            <w:tcBorders>
              <w:bottom w:val="single" w:sz="12" w:space="0" w:color="000000"/>
            </w:tcBorders>
            <w:shd w:fill="CCEEFF" w:val="clear"/>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234,522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CCEEFF" w:val="clear"/>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267,886</w:t>
            </w:r>
          </w:p>
        </w:tc>
        <w:tc>
          <w:tcPr>
            <w:tcW w:w="95" w:type="dxa"/>
            <w:tcBorders/>
            <w:shd w:fill="CCEEFF" w:val="clear"/>
            <w:vAlign w:val="center"/>
          </w:tcPr>
          <w:p>
            <w:pPr>
              <w:pStyle w:val="TableContents"/>
              <w:bidi w:val="0"/>
              <w:spacing w:before="0" w:after="283"/>
              <w:jc w:val="left"/>
              <w:rPr/>
            </w:pPr>
            <w:r>
              <w:rPr/>
              <w:t> </w:t>
            </w:r>
          </w:p>
        </w:tc>
      </w:tr>
      <w:tr>
        <w:trPr/>
        <w:tc>
          <w:tcPr>
            <w:tcW w:w="3350"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Operating loss</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(16,046</w:t>
            </w:r>
          </w:p>
        </w:tc>
        <w:tc>
          <w:tcPr>
            <w:tcW w:w="80"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(115,493</w:t>
            </w:r>
          </w:p>
        </w:tc>
        <w:tc>
          <w:tcPr>
            <w:tcW w:w="80"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(71,089</w:t>
            </w:r>
          </w:p>
        </w:tc>
        <w:tc>
          <w:tcPr>
            <w:tcW w:w="80"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(218,219</w:t>
            </w:r>
          </w:p>
        </w:tc>
        <w:tc>
          <w:tcPr>
            <w:tcW w:w="95"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r>
      <w:tr>
        <w:trPr/>
        <w:tc>
          <w:tcPr>
            <w:tcW w:w="3350"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Financial income (expense), net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(12,378</w:t>
            </w:r>
          </w:p>
        </w:tc>
        <w:tc>
          <w:tcPr>
            <w:tcW w:w="80"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(7,323</w:t>
            </w:r>
          </w:p>
        </w:tc>
        <w:tc>
          <w:tcPr>
            <w:tcW w:w="80"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(13,415</w:t>
            </w:r>
          </w:p>
        </w:tc>
        <w:tc>
          <w:tcPr>
            <w:tcW w:w="80"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2,745</w:t>
            </w:r>
          </w:p>
        </w:tc>
        <w:tc>
          <w:tcPr>
            <w:tcW w:w="95" w:type="dxa"/>
            <w:tcBorders/>
            <w:shd w:fill="CCEEFF" w:val="clear"/>
            <w:vAlign w:val="center"/>
          </w:tcPr>
          <w:p>
            <w:pPr>
              <w:pStyle w:val="TableContents"/>
              <w:bidi w:val="0"/>
              <w:spacing w:before="0" w:after="283"/>
              <w:jc w:val="left"/>
              <w:rPr/>
            </w:pPr>
            <w:r>
              <w:rPr/>
              <w:t> </w:t>
            </w:r>
          </w:p>
        </w:tc>
      </w:tr>
      <w:tr>
        <w:trPr/>
        <w:tc>
          <w:tcPr>
            <w:tcW w:w="3350"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Other income, net</w:t>
            </w:r>
          </w:p>
        </w:tc>
        <w:tc>
          <w:tcPr>
            <w:tcW w:w="60" w:type="dxa"/>
            <w:tcBorders/>
            <w:vAlign w:val="center"/>
          </w:tcPr>
          <w:p>
            <w:pPr>
              <w:pStyle w:val="TableContents"/>
              <w:bidi w:val="0"/>
              <w:spacing w:before="0" w:after="283"/>
              <w:jc w:val="left"/>
              <w:rPr/>
            </w:pPr>
            <w:r>
              <w:rPr/>
              <w:t> </w:t>
            </w:r>
          </w:p>
        </w:tc>
        <w:tc>
          <w:tcPr>
            <w:tcW w:w="125" w:type="dxa"/>
            <w:tcBorders>
              <w:bottom w:val="single" w:sz="12" w:space="0" w:color="000000"/>
            </w:tcBorders>
            <w:tcMar>
              <w:bottom w:w="28" w:type="dxa"/>
            </w:tcMar>
            <w:vAlign w:val="center"/>
          </w:tcPr>
          <w:p>
            <w:pPr>
              <w:pStyle w:val="TableContents"/>
              <w:bidi w:val="0"/>
              <w:spacing w:before="0" w:after="283"/>
              <w:jc w:val="left"/>
              <w:rPr/>
            </w:pPr>
            <w:r>
              <w:rPr/>
              <w:t> </w:t>
            </w:r>
          </w:p>
        </w:tc>
        <w:tc>
          <w:tcPr>
            <w:tcW w:w="695" w:type="dxa"/>
            <w:tcBorders>
              <w:bottom w:val="single" w:sz="12" w:space="0" w:color="000000"/>
            </w:tcBorders>
            <w:tcMar>
              <w:bottom w:w="28" w:type="dxa"/>
            </w:tcMar>
            <w:vAlign w:val="center"/>
          </w:tcPr>
          <w:p>
            <w:pPr>
              <w:pStyle w:val="TableContents"/>
              <w:bidi w:val="0"/>
              <w:spacing w:lineRule="auto" w:line="300" w:before="0" w:after="0"/>
              <w:jc w:val="right"/>
              <w:rPr/>
            </w:pPr>
            <w:r>
              <w:rPr/>
              <w:t>—</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bottom w:val="single" w:sz="12" w:space="0" w:color="000000"/>
            </w:tcBorders>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4,017</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bottom w:val="single" w:sz="12" w:space="0" w:color="000000"/>
            </w:tcBorders>
            <w:tcMar>
              <w:bottom w:w="28" w:type="dxa"/>
            </w:tcMar>
            <w:vAlign w:val="center"/>
          </w:tcPr>
          <w:p>
            <w:pPr>
              <w:pStyle w:val="TableContents"/>
              <w:bidi w:val="0"/>
              <w:spacing w:before="0" w:after="283"/>
              <w:jc w:val="left"/>
              <w:rPr/>
            </w:pPr>
            <w:r>
              <w:rPr/>
              <w:t> </w:t>
            </w:r>
          </w:p>
        </w:tc>
        <w:tc>
          <w:tcPr>
            <w:tcW w:w="695" w:type="dxa"/>
            <w:tcBorders>
              <w:bottom w:val="single" w:sz="12" w:space="0" w:color="000000"/>
            </w:tcBorders>
            <w:tcMar>
              <w:bottom w:w="28" w:type="dxa"/>
            </w:tcMar>
            <w:vAlign w:val="center"/>
          </w:tcPr>
          <w:p>
            <w:pPr>
              <w:pStyle w:val="TableContents"/>
              <w:bidi w:val="0"/>
              <w:spacing w:lineRule="auto" w:line="300" w:before="0" w:after="0"/>
              <w:jc w:val="right"/>
              <w:rPr/>
            </w:pPr>
            <w:r>
              <w:rPr/>
              <w:t>—</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bottom w:val="single" w:sz="12" w:space="0" w:color="000000"/>
            </w:tcBorders>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4,165</w:t>
            </w:r>
          </w:p>
        </w:tc>
        <w:tc>
          <w:tcPr>
            <w:tcW w:w="95" w:type="dxa"/>
            <w:tcBorders/>
            <w:vAlign w:val="center"/>
          </w:tcPr>
          <w:p>
            <w:pPr>
              <w:pStyle w:val="TableContents"/>
              <w:bidi w:val="0"/>
              <w:spacing w:before="0" w:after="283"/>
              <w:jc w:val="left"/>
              <w:rPr/>
            </w:pPr>
            <w:r>
              <w:rPr/>
              <w:t> </w:t>
            </w:r>
          </w:p>
        </w:tc>
      </w:tr>
      <w:tr>
        <w:trPr/>
        <w:tc>
          <w:tcPr>
            <w:tcW w:w="3350"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Loss before income taxes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(28,424</w:t>
            </w:r>
          </w:p>
        </w:tc>
        <w:tc>
          <w:tcPr>
            <w:tcW w:w="80"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(118,799</w:t>
            </w:r>
          </w:p>
        </w:tc>
        <w:tc>
          <w:tcPr>
            <w:tcW w:w="80"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(84,504</w:t>
            </w:r>
          </w:p>
        </w:tc>
        <w:tc>
          <w:tcPr>
            <w:tcW w:w="80"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(211,309</w:t>
            </w:r>
          </w:p>
        </w:tc>
        <w:tc>
          <w:tcPr>
            <w:tcW w:w="95"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r>
      <w:tr>
        <w:trPr/>
        <w:tc>
          <w:tcPr>
            <w:tcW w:w="3350"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Income taxes</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(2,329</w:t>
            </w:r>
          </w:p>
        </w:tc>
        <w:tc>
          <w:tcPr>
            <w:tcW w:w="80"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(5,657</w:t>
            </w:r>
          </w:p>
        </w:tc>
        <w:tc>
          <w:tcPr>
            <w:tcW w:w="80"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(3,615</w:t>
            </w:r>
          </w:p>
        </w:tc>
        <w:tc>
          <w:tcPr>
            <w:tcW w:w="80"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(11,383</w:t>
            </w:r>
          </w:p>
        </w:tc>
        <w:tc>
          <w:tcPr>
            <w:tcW w:w="95"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r>
      <w:tr>
        <w:trPr/>
        <w:tc>
          <w:tcPr>
            <w:tcW w:w="3350"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Net loss from equity method investments</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95" w:type="dxa"/>
            <w:tcBorders>
              <w:bottom w:val="single" w:sz="12" w:space="0" w:color="000000"/>
            </w:tcBorders>
            <w:shd w:fill="CCEEFF" w:val="clear"/>
            <w:tcMar>
              <w:bottom w:w="28" w:type="dxa"/>
            </w:tcMar>
            <w:vAlign w:val="center"/>
          </w:tcPr>
          <w:p>
            <w:pPr>
              <w:pStyle w:val="TableContents"/>
              <w:bidi w:val="0"/>
              <w:spacing w:lineRule="auto" w:line="300" w:before="0" w:after="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CCEEFF" w:val="clear"/>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(288</w:t>
            </w:r>
          </w:p>
        </w:tc>
        <w:tc>
          <w:tcPr>
            <w:tcW w:w="80"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95" w:type="dxa"/>
            <w:tcBorders>
              <w:bottom w:val="single" w:sz="12" w:space="0" w:color="000000"/>
            </w:tcBorders>
            <w:shd w:fill="CCEEFF" w:val="clear"/>
            <w:tcMar>
              <w:bottom w:w="28" w:type="dxa"/>
            </w:tcMar>
            <w:vAlign w:val="center"/>
          </w:tcPr>
          <w:p>
            <w:pPr>
              <w:pStyle w:val="TableContents"/>
              <w:bidi w:val="0"/>
              <w:spacing w:lineRule="auto" w:line="300" w:before="0" w:after="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CCEEFF" w:val="clear"/>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(575</w:t>
            </w:r>
          </w:p>
        </w:tc>
        <w:tc>
          <w:tcPr>
            <w:tcW w:w="95"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r>
      <w:tr>
        <w:trPr/>
        <w:tc>
          <w:tcPr>
            <w:tcW w:w="3350"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Net loss</w:t>
            </w:r>
          </w:p>
        </w:tc>
        <w:tc>
          <w:tcPr>
            <w:tcW w:w="60" w:type="dxa"/>
            <w:tcBorders/>
            <w:vAlign w:val="center"/>
          </w:tcPr>
          <w:p>
            <w:pPr>
              <w:pStyle w:val="TableContents"/>
              <w:bidi w:val="0"/>
              <w:spacing w:before="0" w:after="283"/>
              <w:jc w:val="left"/>
              <w:rPr/>
            </w:pPr>
            <w:r>
              <w:rPr/>
              <w:t> </w:t>
            </w:r>
          </w:p>
        </w:tc>
        <w:tc>
          <w:tcPr>
            <w:tcW w:w="125" w:type="dxa"/>
            <w:tcBorders>
              <w:bottom w:val="single" w:sz="12" w:space="0" w:color="000000"/>
            </w:tcBorders>
            <w:tcMar>
              <w:bottom w:w="28" w:type="dxa"/>
            </w:tcM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95" w:type="dxa"/>
            <w:tcBorders>
              <w:bottom w:val="single" w:sz="12" w:space="0" w:color="000000"/>
            </w:tcBorders>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(30,753</w:t>
            </w:r>
          </w:p>
        </w:tc>
        <w:tc>
          <w:tcPr>
            <w:tcW w:w="80"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vAlign w:val="center"/>
          </w:tcPr>
          <w:p>
            <w:pPr>
              <w:pStyle w:val="TableContents"/>
              <w:bidi w:val="0"/>
              <w:spacing w:before="0" w:after="283"/>
              <w:jc w:val="left"/>
              <w:rPr/>
            </w:pPr>
            <w:r>
              <w:rPr/>
              <w:t> </w:t>
            </w:r>
          </w:p>
        </w:tc>
        <w:tc>
          <w:tcPr>
            <w:tcW w:w="125" w:type="dxa"/>
            <w:tcBorders>
              <w:bottom w:val="single" w:sz="12" w:space="0" w:color="000000"/>
            </w:tcBorders>
            <w:tcMar>
              <w:bottom w:w="28" w:type="dxa"/>
            </w:tcM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755" w:type="dxa"/>
            <w:tcBorders>
              <w:bottom w:val="single" w:sz="12" w:space="0" w:color="000000"/>
            </w:tcBorders>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(124,744</w:t>
            </w:r>
          </w:p>
        </w:tc>
        <w:tc>
          <w:tcPr>
            <w:tcW w:w="80"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vAlign w:val="center"/>
          </w:tcPr>
          <w:p>
            <w:pPr>
              <w:pStyle w:val="TableContents"/>
              <w:bidi w:val="0"/>
              <w:spacing w:before="0" w:after="283"/>
              <w:jc w:val="left"/>
              <w:rPr/>
            </w:pPr>
            <w:r>
              <w:rPr/>
              <w:t> </w:t>
            </w:r>
          </w:p>
        </w:tc>
        <w:tc>
          <w:tcPr>
            <w:tcW w:w="125" w:type="dxa"/>
            <w:tcBorders>
              <w:bottom w:val="single" w:sz="12" w:space="0" w:color="000000"/>
            </w:tcBorders>
            <w:tcMar>
              <w:bottom w:w="28" w:type="dxa"/>
            </w:tcM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95" w:type="dxa"/>
            <w:tcBorders>
              <w:bottom w:val="single" w:sz="12" w:space="0" w:color="000000"/>
            </w:tcBorders>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(88,119</w:t>
            </w:r>
          </w:p>
        </w:tc>
        <w:tc>
          <w:tcPr>
            <w:tcW w:w="80"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vAlign w:val="center"/>
          </w:tcPr>
          <w:p>
            <w:pPr>
              <w:pStyle w:val="TableContents"/>
              <w:bidi w:val="0"/>
              <w:spacing w:before="0" w:after="283"/>
              <w:jc w:val="left"/>
              <w:rPr/>
            </w:pPr>
            <w:r>
              <w:rPr/>
              <w:t> </w:t>
            </w:r>
          </w:p>
        </w:tc>
        <w:tc>
          <w:tcPr>
            <w:tcW w:w="125" w:type="dxa"/>
            <w:tcBorders>
              <w:bottom w:val="single" w:sz="12" w:space="0" w:color="000000"/>
            </w:tcBorders>
            <w:tcMar>
              <w:bottom w:w="28" w:type="dxa"/>
            </w:tcM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755" w:type="dxa"/>
            <w:tcBorders>
              <w:bottom w:val="single" w:sz="12" w:space="0" w:color="000000"/>
            </w:tcBorders>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(223,267</w:t>
            </w:r>
          </w:p>
        </w:tc>
        <w:tc>
          <w:tcPr>
            <w:tcW w:w="95"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b/>
          <w:i/>
          <w:sz w:val="20"/>
        </w:rPr>
      </w:pPr>
      <w:r>
        <w:rPr>
          <w:rFonts w:ascii="Times New Roman;Times;serif" w:hAnsi="Times New Roman;Times;serif"/>
          <w:b/>
          <w:i/>
          <w:sz w:val="20"/>
        </w:rPr>
        <w:t>Comparison of three and six months ended June 30, 2026, and the three and six months ended June 30, 2025</w:t>
      </w:r>
    </w:p>
    <w:p>
      <w:pPr>
        <w:pStyle w:val="TextBody"/>
        <w:bidi w:val="0"/>
        <w:spacing w:lineRule="auto" w:line="300"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SOLAREDGE TECHNOLOGIES INC. | 2026 Form 10-Q | 10</w:t>
      </w:r>
    </w:p>
    <w:p>
      <w:pPr>
        <w:pStyle w:val="HorizontalLine"/>
        <w:bidi w:val="0"/>
        <w:spacing w:lineRule="auto" w:line="300" w:before="200" w:after="200"/>
        <w:jc w:val="left"/>
        <w:rPr/>
      </w:pPr>
      <w:r>
        <w:rPr/>
      </w:r>
    </w:p>
    <w:p>
      <w:pPr>
        <w:pStyle w:val="TextBody"/>
        <w:bidi w:val="0"/>
        <w:spacing w:lineRule="auto" w:line="300" w:before="0" w:after="0"/>
        <w:jc w:val="both"/>
        <w:rPr>
          <w:rFonts w:ascii="Times New Roman;Times;serif" w:hAnsi="Times New Roman;Times;serif"/>
          <w:i/>
          <w:sz w:val="20"/>
        </w:rPr>
      </w:pPr>
      <w:r>
        <w:rPr>
          <w:rFonts w:ascii="Times New Roman;Times;serif" w:hAnsi="Times New Roman;Times;serif"/>
          <w:i/>
          <w:sz w:val="20"/>
        </w:rPr>
        <w:t>Revenues</w:t>
      </w:r>
    </w:p>
    <w:p>
      <w:pPr>
        <w:pStyle w:val="TextBody"/>
        <w:bidi w:val="0"/>
        <w:spacing w:lineRule="auto" w:line="300" w:before="0" w:after="0"/>
        <w:jc w:val="left"/>
        <w:rPr/>
      </w:pPr>
      <w:r>
        <w:rPr/>
        <w:t> </w:t>
      </w:r>
    </w:p>
    <w:tbl>
      <w:tblPr>
        <w:tblW w:w="8789" w:type="dxa"/>
        <w:jc w:val="left"/>
        <w:tblInd w:w="0" w:type="dxa"/>
        <w:tblLayout w:type="fixed"/>
        <w:tblCellMar>
          <w:top w:w="0" w:type="dxa"/>
          <w:left w:w="0" w:type="dxa"/>
          <w:bottom w:w="0" w:type="dxa"/>
          <w:right w:w="0" w:type="dxa"/>
        </w:tblCellMar>
      </w:tblPr>
      <w:tblGrid>
        <w:gridCol w:w="1299"/>
        <w:gridCol w:w="60"/>
        <w:gridCol w:w="143"/>
        <w:gridCol w:w="797"/>
        <w:gridCol w:w="68"/>
        <w:gridCol w:w="68"/>
        <w:gridCol w:w="143"/>
        <w:gridCol w:w="797"/>
        <w:gridCol w:w="68"/>
        <w:gridCol w:w="68"/>
        <w:gridCol w:w="143"/>
        <w:gridCol w:w="676"/>
        <w:gridCol w:w="68"/>
        <w:gridCol w:w="68"/>
        <w:gridCol w:w="68"/>
        <w:gridCol w:w="436"/>
        <w:gridCol w:w="185"/>
        <w:gridCol w:w="60"/>
        <w:gridCol w:w="129"/>
        <w:gridCol w:w="720"/>
        <w:gridCol w:w="62"/>
        <w:gridCol w:w="62"/>
        <w:gridCol w:w="129"/>
        <w:gridCol w:w="720"/>
        <w:gridCol w:w="62"/>
        <w:gridCol w:w="62"/>
        <w:gridCol w:w="129"/>
        <w:gridCol w:w="720"/>
        <w:gridCol w:w="62"/>
        <w:gridCol w:w="62"/>
        <w:gridCol w:w="62"/>
        <w:gridCol w:w="393"/>
        <w:gridCol w:w="200"/>
      </w:tblGrid>
      <w:tr>
        <w:trPr/>
        <w:tc>
          <w:tcPr>
            <w:tcW w:w="129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611" w:type="dxa"/>
            <w:gridSpan w:val="14"/>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Three months ended June 30, 2026 to 2025</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374" w:type="dxa"/>
            <w:gridSpan w:val="14"/>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Six months ended June 30, 2026 to 2025</w:t>
            </w:r>
          </w:p>
        </w:tc>
        <w:tc>
          <w:tcPr>
            <w:tcW w:w="200" w:type="dxa"/>
            <w:tcBorders/>
            <w:vAlign w:val="center"/>
          </w:tcPr>
          <w:p>
            <w:pPr>
              <w:pStyle w:val="TableContents"/>
              <w:bidi w:val="0"/>
              <w:spacing w:before="0" w:after="283"/>
              <w:jc w:val="left"/>
              <w:rPr/>
            </w:pPr>
            <w:r>
              <w:rPr/>
              <w:t> </w:t>
            </w:r>
          </w:p>
        </w:tc>
      </w:tr>
      <w:tr>
        <w:trPr/>
        <w:tc>
          <w:tcPr>
            <w:tcW w:w="129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2026</w:t>
            </w:r>
          </w:p>
        </w:tc>
        <w:tc>
          <w:tcPr>
            <w:tcW w:w="68" w:type="dxa"/>
            <w:tcBorders/>
            <w:vAlign w:val="center"/>
          </w:tcPr>
          <w:p>
            <w:pPr>
              <w:pStyle w:val="TableContents"/>
              <w:bidi w:val="0"/>
              <w:spacing w:before="0" w:after="283"/>
              <w:jc w:val="left"/>
              <w:rPr/>
            </w:pPr>
            <w:r>
              <w:rPr/>
              <w:t> </w:t>
            </w:r>
          </w:p>
        </w:tc>
        <w:tc>
          <w:tcPr>
            <w:tcW w:w="68" w:type="dxa"/>
            <w:tcBorders/>
            <w:vAlign w:val="center"/>
          </w:tcPr>
          <w:p>
            <w:pPr>
              <w:pStyle w:val="TableContents"/>
              <w:bidi w:val="0"/>
              <w:spacing w:before="0" w:after="283"/>
              <w:jc w:val="left"/>
              <w:rPr/>
            </w:pPr>
            <w:r>
              <w:rPr/>
              <w:t> </w:t>
            </w:r>
          </w:p>
        </w:tc>
        <w:tc>
          <w:tcPr>
            <w:tcW w:w="940"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2025</w:t>
            </w:r>
          </w:p>
        </w:tc>
        <w:tc>
          <w:tcPr>
            <w:tcW w:w="68" w:type="dxa"/>
            <w:tcBorders/>
            <w:vAlign w:val="center"/>
          </w:tcPr>
          <w:p>
            <w:pPr>
              <w:pStyle w:val="TableContents"/>
              <w:bidi w:val="0"/>
              <w:spacing w:before="0" w:after="283"/>
              <w:jc w:val="left"/>
              <w:rPr/>
            </w:pPr>
            <w:r>
              <w:rPr/>
              <w:t> </w:t>
            </w:r>
          </w:p>
        </w:tc>
        <w:tc>
          <w:tcPr>
            <w:tcW w:w="68" w:type="dxa"/>
            <w:tcBorders/>
            <w:vAlign w:val="center"/>
          </w:tcPr>
          <w:p>
            <w:pPr>
              <w:pStyle w:val="TableContents"/>
              <w:bidi w:val="0"/>
              <w:spacing w:before="0" w:after="283"/>
              <w:jc w:val="left"/>
              <w:rPr/>
            </w:pPr>
            <w:r>
              <w:rPr/>
              <w:t> </w:t>
            </w:r>
          </w:p>
        </w:tc>
        <w:tc>
          <w:tcPr>
            <w:tcW w:w="1459" w:type="dxa"/>
            <w:gridSpan w:val="6"/>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Change</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49"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2026</w:t>
            </w:r>
          </w:p>
        </w:tc>
        <w:tc>
          <w:tcPr>
            <w:tcW w:w="62"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849"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2025</w:t>
            </w:r>
          </w:p>
        </w:tc>
        <w:tc>
          <w:tcPr>
            <w:tcW w:w="62"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1428" w:type="dxa"/>
            <w:gridSpan w:val="6"/>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Change</w:t>
            </w:r>
          </w:p>
        </w:tc>
        <w:tc>
          <w:tcPr>
            <w:tcW w:w="200" w:type="dxa"/>
            <w:tcBorders/>
            <w:vAlign w:val="center"/>
          </w:tcPr>
          <w:p>
            <w:pPr>
              <w:pStyle w:val="TableContents"/>
              <w:bidi w:val="0"/>
              <w:spacing w:before="0" w:after="283"/>
              <w:jc w:val="left"/>
              <w:rPr/>
            </w:pPr>
            <w:r>
              <w:rPr/>
              <w:t> </w:t>
            </w:r>
          </w:p>
        </w:tc>
      </w:tr>
      <w:tr>
        <w:trPr/>
        <w:tc>
          <w:tcPr>
            <w:tcW w:w="129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230" w:type="dxa"/>
            <w:gridSpan w:val="30"/>
            <w:tcBorders/>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(In thousands)</w:t>
            </w:r>
          </w:p>
        </w:tc>
        <w:tc>
          <w:tcPr>
            <w:tcW w:w="200" w:type="dxa"/>
            <w:tcBorders/>
            <w:vAlign w:val="center"/>
          </w:tcPr>
          <w:p>
            <w:pPr>
              <w:pStyle w:val="TableContents"/>
              <w:bidi w:val="0"/>
              <w:spacing w:before="0" w:after="283"/>
              <w:jc w:val="left"/>
              <w:rPr/>
            </w:pPr>
            <w:r>
              <w:rPr/>
              <w:t> </w:t>
            </w:r>
          </w:p>
        </w:tc>
      </w:tr>
      <w:tr>
        <w:trPr/>
        <w:tc>
          <w:tcPr>
            <w:tcW w:w="1299" w:type="dxa"/>
            <w:tcBorders/>
            <w:shd w:fill="CCEEFF" w:val="clear"/>
            <w:vAlign w:val="center"/>
          </w:tcPr>
          <w:p>
            <w:pPr>
              <w:pStyle w:val="TableContents"/>
              <w:bidi w:val="0"/>
              <w:spacing w:lineRule="auto" w:line="300" w:before="0" w:after="0"/>
              <w:ind w:left="219" w:right="19" w:hanging="200"/>
              <w:jc w:val="both"/>
              <w:rPr>
                <w:rFonts w:ascii="Times New Roman;Times;serif" w:hAnsi="Times New Roman;Times;serif"/>
                <w:sz w:val="20"/>
              </w:rPr>
            </w:pPr>
            <w:r>
              <w:rPr>
                <w:rFonts w:ascii="Times New Roman;Times;serif" w:hAnsi="Times New Roman;Times;serif"/>
                <w:sz w:val="20"/>
              </w:rPr>
              <w:t>Revenues          </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797"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346,245</w:t>
            </w:r>
          </w:p>
        </w:tc>
        <w:tc>
          <w:tcPr>
            <w:tcW w:w="68"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797"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289,429</w:t>
            </w:r>
          </w:p>
        </w:tc>
        <w:tc>
          <w:tcPr>
            <w:tcW w:w="68"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56,816</w:t>
            </w:r>
          </w:p>
        </w:tc>
        <w:tc>
          <w:tcPr>
            <w:tcW w:w="68"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436"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19.6</w:t>
            </w:r>
          </w:p>
        </w:tc>
        <w:tc>
          <w:tcPr>
            <w:tcW w:w="185"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9"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720"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656,746</w:t>
            </w:r>
          </w:p>
        </w:tc>
        <w:tc>
          <w:tcPr>
            <w:tcW w:w="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29"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720"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508,909</w:t>
            </w:r>
          </w:p>
        </w:tc>
        <w:tc>
          <w:tcPr>
            <w:tcW w:w="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29"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720"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147,837</w:t>
            </w:r>
          </w:p>
        </w:tc>
        <w:tc>
          <w:tcPr>
            <w:tcW w:w="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393"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29.0</w:t>
            </w:r>
          </w:p>
        </w:tc>
        <w:tc>
          <w:tcPr>
            <w:tcW w:w="200"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lineRule="auto" w:line="300" w:before="0" w:after="0"/>
        <w:jc w:val="left"/>
        <w:rPr/>
      </w:pPr>
      <w:r>
        <w:rPr/>
        <w:t> </w:t>
      </w:r>
    </w:p>
    <w:p>
      <w:pPr>
        <w:pStyle w:val="TextBody"/>
        <w:bidi w:val="0"/>
        <w:spacing w:lineRule="auto" w:line="300" w:before="0" w:after="0"/>
        <w:ind w:left="0" w:right="0" w:firstLine="720"/>
        <w:jc w:val="both"/>
        <w:rPr>
          <w:rFonts w:ascii="Times New Roman;Times;serif" w:hAnsi="Times New Roman;Times;serif"/>
          <w:sz w:val="20"/>
        </w:rPr>
      </w:pPr>
      <w:r>
        <w:rPr>
          <w:rFonts w:ascii="Times New Roman;Times;serif" w:hAnsi="Times New Roman;Times;serif"/>
          <w:sz w:val="20"/>
        </w:rPr>
        <w:t>Revenues increased by $56.8 million, or 19.6%, in the three months ended June 30, 2026, compared to the three months ended June 30, 2025, primarily due to (i) an increase of $63.0 million related to a higher number of batteries and battery accessories sold; and (ii) an increase of $4.9 million in communication products sold; partially offset by (i) a decrease of $13.9 million in the number of inverters and optimizers sold; and (ii) a decrease of $8.1 million due to the discontinuation of our Energy Storage Business.</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rFonts w:ascii="Times New Roman;Times;serif" w:hAnsi="Times New Roman;Times;serif"/>
          <w:sz w:val="20"/>
        </w:rPr>
      </w:pPr>
      <w:r>
        <w:rPr>
          <w:rFonts w:ascii="Times New Roman;Times;serif" w:hAnsi="Times New Roman;Times;serif"/>
          <w:sz w:val="20"/>
        </w:rPr>
        <w:t>Revenues from outside of the U.S. comprised 55.3% of our revenues in the three months ended June 30, 2026 compared to 36.0% in the three months ended June 30, 2025.</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rFonts w:ascii="Times New Roman;Times;serif" w:hAnsi="Times New Roman;Times;serif"/>
          <w:sz w:val="20"/>
        </w:rPr>
      </w:pPr>
      <w:r>
        <w:rPr>
          <w:rFonts w:ascii="Times New Roman;Times;serif" w:hAnsi="Times New Roman;Times;serif"/>
          <w:sz w:val="20"/>
        </w:rPr>
        <w:t>The number of power optimizers recognized as revenues decreased by approximately 0.1 million units, or 5.9%, from approximately 2.6 million units in the three months ended June 30, 2025 to approximately 2.5 million units in the three months ended June 30, 2026. The number of inverters recognized as revenues decreased by approximately 23.6 thousand units, or 27.4%, from approximately 86.2 thousand units in the three months ended June 30, 2025 to approximately 62.6 thousand units in the three months ended June 30, 2026. The megawatt hours of batteries recognized as revenues increased by approximately 217.0 megawatt hours, or 103.8%, from approximately 209.0 in the three months ended June 30, 2025 to approximately 426.0 megawatt hours in the three months ended June 30, 2026.</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rFonts w:ascii="Times New Roman;Times;serif" w:hAnsi="Times New Roman;Times;serif"/>
          <w:sz w:val="20"/>
        </w:rPr>
      </w:pPr>
      <w:r>
        <w:rPr>
          <w:rFonts w:ascii="Times New Roman;Times;serif" w:hAnsi="Times New Roman;Times;serif"/>
          <w:sz w:val="20"/>
        </w:rPr>
        <w:t>Revenues increased by $147.8 million, or 29.0%, in the six months ended June 30, 2026 compared to the six months ended June 30, 2025, primarily due to (i) an increase of $115.0 million related to the higher number of batteries and battery accessories sold; (ii) an increase of $31.1 million related to an increase in the number of optimizers sold; and (iii) an increase of $10.1 million related to an increase in communication products sold ; these were partially offset by (i) a decrease of $17.0 million related to a decrease of inverters sold; and (ii) a decrease of $15.2 million in revenues due to the discontinuation of our Energy Storage Business.</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rFonts w:ascii="Times New Roman;Times;serif" w:hAnsi="Times New Roman;Times;serif"/>
          <w:sz w:val="20"/>
        </w:rPr>
      </w:pPr>
      <w:r>
        <w:rPr>
          <w:rFonts w:ascii="Times New Roman;Times;serif" w:hAnsi="Times New Roman;Times;serif"/>
          <w:sz w:val="20"/>
        </w:rPr>
        <w:t>Revenues from outside of the U.S. comprised 52.3% of our revenues in the six months ended June 30, 2026 compared to 37.7% in the six months ended June 30, 2025.</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rFonts w:ascii="Times New Roman;Times;serif" w:hAnsi="Times New Roman;Times;serif"/>
          <w:sz w:val="20"/>
        </w:rPr>
      </w:pPr>
      <w:r>
        <w:rPr>
          <w:rFonts w:ascii="Times New Roman;Times;serif" w:hAnsi="Times New Roman;Times;serif"/>
          <w:sz w:val="20"/>
        </w:rPr>
        <w:t>The number of power optimizers recognized as revenues increased by approximately 0.1 million units, or 3.6%, from approximately 4.8 million units, in the six months ended June 30, 2025, to approximately 4.9 million units in the six months ended June 30, 2026. The number of inverters recognized as revenues decreased by approximately 45.0 thousand units, or 28.5%, from approximately 158.1 thousand units in the six months ended June 30, 2025 to approximately 113.1 thousand units in the six months ended June 30, 2026. The megawatt hours of batteries recognized as revenues increased by approximately 371.0 megawatt hours, or 96.1%, from approximately 386.0 megawatt hours in the six months ended June 30, 2025 to approximately 757.0 megawatt hours in the six months ended June 30, 2026.</w:t>
      </w:r>
    </w:p>
    <w:p>
      <w:pPr>
        <w:pStyle w:val="TextBody"/>
        <w:bidi w:val="0"/>
        <w:spacing w:lineRule="auto" w:line="300"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SOLAREDGE TECHNOLOGIES INC. | 2026 Form 10-Q | 11</w:t>
      </w:r>
    </w:p>
    <w:p>
      <w:pPr>
        <w:pStyle w:val="HorizontalLine"/>
        <w:bidi w:val="0"/>
        <w:spacing w:lineRule="auto" w:line="300" w:before="200" w:after="200"/>
        <w:jc w:val="left"/>
        <w:rPr/>
      </w:pPr>
      <w:r>
        <w:rPr/>
      </w:r>
    </w:p>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i/>
          <w:sz w:val="20"/>
        </w:rPr>
      </w:pPr>
      <w:r>
        <w:rPr>
          <w:rFonts w:ascii="Times New Roman;Times;serif" w:hAnsi="Times New Roman;Times;serif"/>
          <w:i/>
          <w:sz w:val="20"/>
        </w:rPr>
        <w:t>Cost of Revenues and Gross Profit</w:t>
      </w:r>
    </w:p>
    <w:p>
      <w:pPr>
        <w:pStyle w:val="TextBody"/>
        <w:bidi w:val="0"/>
        <w:spacing w:lineRule="auto" w:line="300" w:before="0" w:after="0"/>
        <w:jc w:val="left"/>
        <w:rPr/>
      </w:pPr>
      <w:r>
        <w:rPr/>
        <w:t> </w:t>
      </w:r>
    </w:p>
    <w:tbl>
      <w:tblPr>
        <w:tblW w:w="8900" w:type="dxa"/>
        <w:jc w:val="left"/>
        <w:tblInd w:w="0" w:type="dxa"/>
        <w:tblLayout w:type="fixed"/>
        <w:tblCellMar>
          <w:top w:w="0" w:type="dxa"/>
          <w:left w:w="0" w:type="dxa"/>
          <w:bottom w:w="0" w:type="dxa"/>
          <w:right w:w="0" w:type="dxa"/>
        </w:tblCellMar>
      </w:tblPr>
      <w:tblGrid>
        <w:gridCol w:w="1404"/>
        <w:gridCol w:w="60"/>
        <w:gridCol w:w="137"/>
        <w:gridCol w:w="767"/>
        <w:gridCol w:w="66"/>
        <w:gridCol w:w="66"/>
        <w:gridCol w:w="137"/>
        <w:gridCol w:w="767"/>
        <w:gridCol w:w="66"/>
        <w:gridCol w:w="66"/>
        <w:gridCol w:w="137"/>
        <w:gridCol w:w="651"/>
        <w:gridCol w:w="88"/>
        <w:gridCol w:w="66"/>
        <w:gridCol w:w="66"/>
        <w:gridCol w:w="535"/>
        <w:gridCol w:w="185"/>
        <w:gridCol w:w="60"/>
        <w:gridCol w:w="125"/>
        <w:gridCol w:w="698"/>
        <w:gridCol w:w="60"/>
        <w:gridCol w:w="60"/>
        <w:gridCol w:w="125"/>
        <w:gridCol w:w="698"/>
        <w:gridCol w:w="60"/>
        <w:gridCol w:w="60"/>
        <w:gridCol w:w="125"/>
        <w:gridCol w:w="698"/>
        <w:gridCol w:w="60"/>
        <w:gridCol w:w="60"/>
        <w:gridCol w:w="60"/>
        <w:gridCol w:w="487"/>
        <w:gridCol w:w="200"/>
      </w:tblGrid>
      <w:tr>
        <w:trPr/>
        <w:tc>
          <w:tcPr>
            <w:tcW w:w="140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615" w:type="dxa"/>
            <w:gridSpan w:val="14"/>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Three months ended June 30, 2026 to 2025</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376" w:type="dxa"/>
            <w:gridSpan w:val="14"/>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Six months ended June 30, 2026 to 2025</w:t>
            </w:r>
          </w:p>
        </w:tc>
        <w:tc>
          <w:tcPr>
            <w:tcW w:w="200" w:type="dxa"/>
            <w:tcBorders/>
            <w:vAlign w:val="center"/>
          </w:tcPr>
          <w:p>
            <w:pPr>
              <w:pStyle w:val="TableContents"/>
              <w:bidi w:val="0"/>
              <w:spacing w:before="0" w:after="283"/>
              <w:jc w:val="left"/>
              <w:rPr/>
            </w:pPr>
            <w:r>
              <w:rPr/>
              <w:t> </w:t>
            </w:r>
          </w:p>
        </w:tc>
      </w:tr>
      <w:tr>
        <w:trPr/>
        <w:tc>
          <w:tcPr>
            <w:tcW w:w="140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04"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2026</w:t>
            </w:r>
          </w:p>
        </w:tc>
        <w:tc>
          <w:tcPr>
            <w:tcW w:w="66" w:type="dxa"/>
            <w:tcBorders/>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283"/>
              <w:jc w:val="left"/>
              <w:rPr/>
            </w:pPr>
            <w:r>
              <w:rPr/>
              <w:t> </w:t>
            </w:r>
          </w:p>
        </w:tc>
        <w:tc>
          <w:tcPr>
            <w:tcW w:w="904"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2025</w:t>
            </w:r>
          </w:p>
        </w:tc>
        <w:tc>
          <w:tcPr>
            <w:tcW w:w="66" w:type="dxa"/>
            <w:tcBorders/>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283"/>
              <w:jc w:val="left"/>
              <w:rPr/>
            </w:pPr>
            <w:r>
              <w:rPr/>
              <w:t> </w:t>
            </w:r>
          </w:p>
        </w:tc>
        <w:tc>
          <w:tcPr>
            <w:tcW w:w="1543" w:type="dxa"/>
            <w:gridSpan w:val="6"/>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Change</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3"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3"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90" w:type="dxa"/>
            <w:gridSpan w:val="6"/>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Change</w:t>
            </w:r>
          </w:p>
        </w:tc>
        <w:tc>
          <w:tcPr>
            <w:tcW w:w="200" w:type="dxa"/>
            <w:tcBorders/>
            <w:vAlign w:val="center"/>
          </w:tcPr>
          <w:p>
            <w:pPr>
              <w:pStyle w:val="TableContents"/>
              <w:bidi w:val="0"/>
              <w:spacing w:before="0" w:after="283"/>
              <w:jc w:val="left"/>
              <w:rPr/>
            </w:pPr>
            <w:r>
              <w:rPr/>
              <w:t> </w:t>
            </w:r>
          </w:p>
        </w:tc>
      </w:tr>
      <w:tr>
        <w:trPr/>
        <w:tc>
          <w:tcPr>
            <w:tcW w:w="140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236" w:type="dxa"/>
            <w:gridSpan w:val="30"/>
            <w:tcBorders/>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(In thousands)</w:t>
            </w:r>
          </w:p>
        </w:tc>
        <w:tc>
          <w:tcPr>
            <w:tcW w:w="200" w:type="dxa"/>
            <w:tcBorders/>
            <w:vAlign w:val="center"/>
          </w:tcPr>
          <w:p>
            <w:pPr>
              <w:pStyle w:val="TableContents"/>
              <w:bidi w:val="0"/>
              <w:spacing w:before="0" w:after="283"/>
              <w:jc w:val="left"/>
              <w:rPr/>
            </w:pPr>
            <w:r>
              <w:rPr/>
              <w:t> </w:t>
            </w:r>
          </w:p>
        </w:tc>
      </w:tr>
      <w:tr>
        <w:trPr/>
        <w:tc>
          <w:tcPr>
            <w:tcW w:w="1404" w:type="dxa"/>
            <w:tcBorders/>
            <w:shd w:fill="CCEEFF" w:val="clear"/>
            <w:vAlign w:val="center"/>
          </w:tcPr>
          <w:p>
            <w:pPr>
              <w:pStyle w:val="TableContents"/>
              <w:bidi w:val="0"/>
              <w:spacing w:lineRule="auto" w:line="300" w:before="0" w:after="0"/>
              <w:ind w:left="0" w:right="19" w:hanging="0"/>
              <w:jc w:val="left"/>
              <w:rPr>
                <w:rFonts w:ascii="Times New Roman;Times;serif" w:hAnsi="Times New Roman;Times;serif"/>
                <w:sz w:val="20"/>
              </w:rPr>
            </w:pPr>
            <w:r>
              <w:rPr>
                <w:rFonts w:ascii="Times New Roman;Times;serif" w:hAnsi="Times New Roman;Times;serif"/>
                <w:sz w:val="20"/>
              </w:rPr>
              <w:t>Cost of revenues</w:t>
            </w:r>
          </w:p>
        </w:tc>
        <w:tc>
          <w:tcPr>
            <w:tcW w:w="6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767"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251,093</w:t>
            </w:r>
          </w:p>
        </w:tc>
        <w:tc>
          <w:tcPr>
            <w:tcW w:w="66"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767"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257,298</w:t>
            </w:r>
          </w:p>
        </w:tc>
        <w:tc>
          <w:tcPr>
            <w:tcW w:w="66"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51"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(6,205</w:t>
            </w:r>
          </w:p>
        </w:tc>
        <w:tc>
          <w:tcPr>
            <w:tcW w:w="88"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6"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535"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(2.4)</w:t>
            </w:r>
          </w:p>
        </w:tc>
        <w:tc>
          <w:tcPr>
            <w:tcW w:w="185"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98"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493,313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98"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459,242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98"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34,071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87"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7.4</w:t>
            </w:r>
          </w:p>
        </w:tc>
        <w:tc>
          <w:tcPr>
            <w:tcW w:w="200"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r>
      <w:tr>
        <w:trPr/>
        <w:tc>
          <w:tcPr>
            <w:tcW w:w="1404"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Gross profit</w:t>
            </w:r>
          </w:p>
        </w:tc>
        <w:tc>
          <w:tcPr>
            <w:tcW w:w="60" w:type="dxa"/>
            <w:tcBorders/>
            <w:vAlign w:val="center"/>
          </w:tcPr>
          <w:p>
            <w:pPr>
              <w:pStyle w:val="TableContents"/>
              <w:bidi w:val="0"/>
              <w:spacing w:before="0" w:after="283"/>
              <w:jc w:val="left"/>
              <w:rPr/>
            </w:pPr>
            <w:r>
              <w:rPr/>
              <w:t> </w:t>
            </w:r>
          </w:p>
        </w:tc>
        <w:tc>
          <w:tcPr>
            <w:tcW w:w="137"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767"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95,152</w:t>
            </w:r>
          </w:p>
        </w:tc>
        <w:tc>
          <w:tcPr>
            <w:tcW w:w="66" w:type="dxa"/>
            <w:tcBorders/>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283"/>
              <w:jc w:val="left"/>
              <w:rPr/>
            </w:pPr>
            <w:r>
              <w:rPr/>
              <w:t> </w:t>
            </w:r>
          </w:p>
        </w:tc>
        <w:tc>
          <w:tcPr>
            <w:tcW w:w="137"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767"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32,131</w:t>
            </w:r>
          </w:p>
        </w:tc>
        <w:tc>
          <w:tcPr>
            <w:tcW w:w="66" w:type="dxa"/>
            <w:tcBorders/>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283"/>
              <w:jc w:val="left"/>
              <w:rPr/>
            </w:pPr>
            <w:r>
              <w:rPr/>
              <w:t> </w:t>
            </w:r>
          </w:p>
        </w:tc>
        <w:tc>
          <w:tcPr>
            <w:tcW w:w="137"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51"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63,021</w:t>
            </w:r>
          </w:p>
        </w:tc>
        <w:tc>
          <w:tcPr>
            <w:tcW w:w="88" w:type="dxa"/>
            <w:tcBorders/>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283"/>
              <w:jc w:val="left"/>
              <w:rPr/>
            </w:pPr>
            <w:r>
              <w:rPr/>
              <w:t> </w:t>
            </w:r>
          </w:p>
        </w:tc>
        <w:tc>
          <w:tcPr>
            <w:tcW w:w="535"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196.1</w:t>
            </w:r>
          </w:p>
        </w:tc>
        <w:tc>
          <w:tcPr>
            <w:tcW w:w="185"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98"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163,433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98"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49,667</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98"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113,766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87"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229.1</w:t>
            </w:r>
          </w:p>
        </w:tc>
        <w:tc>
          <w:tcPr>
            <w:tcW w:w="200"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lineRule="auto" w:line="300" w:before="0" w:after="0"/>
        <w:jc w:val="left"/>
        <w:rPr/>
      </w:pPr>
      <w:r>
        <w:rPr/>
        <w:t> </w:t>
      </w:r>
    </w:p>
    <w:p>
      <w:pPr>
        <w:pStyle w:val="TextBody"/>
        <w:bidi w:val="0"/>
        <w:spacing w:lineRule="auto" w:line="300" w:before="0" w:after="0"/>
        <w:ind w:left="0" w:right="0" w:firstLine="720"/>
        <w:jc w:val="both"/>
        <w:rPr>
          <w:rFonts w:ascii="Times New Roman;Times;serif" w:hAnsi="Times New Roman;Times;serif"/>
          <w:sz w:val="20"/>
        </w:rPr>
      </w:pPr>
      <w:r>
        <w:rPr>
          <w:rFonts w:ascii="Times New Roman;Times;serif" w:hAnsi="Times New Roman;Times;serif"/>
          <w:sz w:val="20"/>
        </w:rPr>
        <w:t>Cost of revenues decreased by $6.2 million, or 2.4%, in the three months ended June 30, 2026, compared to the three months ended June 30, 2025, primarily due to a decrease in the direct cost of revenues sold of $34.2 million associated mainly with an increase in AMPTC and IEEPA refunds recognized; excluding such AMPTC incentives would have caused us to transition into a gross loss, for both periods presented.</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rFonts w:ascii="Times New Roman;Times;serif" w:hAnsi="Times New Roman;Times;serif"/>
          <w:sz w:val="20"/>
        </w:rPr>
      </w:pPr>
      <w:r>
        <w:rPr>
          <w:rFonts w:ascii="Times New Roman;Times;serif" w:hAnsi="Times New Roman;Times;serif"/>
          <w:sz w:val="20"/>
        </w:rPr>
        <w:t>This was partially offset by:</w:t>
      </w:r>
    </w:p>
    <w:p>
      <w:pPr>
        <w:pStyle w:val="TextBody"/>
        <w:bidi w:val="0"/>
        <w:spacing w:lineRule="auto" w:line="300" w:before="0" w:after="0"/>
        <w:jc w:val="left"/>
        <w:rPr/>
      </w:pPr>
      <w:r>
        <w:rPr/>
        <w:t> </w:t>
      </w:r>
    </w:p>
    <w:tbl>
      <w:tblPr>
        <w:tblW w:w="9235" w:type="dxa"/>
        <w:jc w:val="left"/>
        <w:tblInd w:w="0" w:type="dxa"/>
        <w:tblLayout w:type="fixed"/>
        <w:tblCellMar>
          <w:top w:w="0" w:type="dxa"/>
          <w:left w:w="0" w:type="dxa"/>
          <w:bottom w:w="0" w:type="dxa"/>
          <w:right w:w="0" w:type="dxa"/>
        </w:tblCellMar>
      </w:tblPr>
      <w:tblGrid>
        <w:gridCol w:w="75"/>
        <w:gridCol w:w="110"/>
        <w:gridCol w:w="905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905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an increase of $25.2 million in indirect costs of revenue primarily related to inventory write-down accruals; and</w:t>
            </w:r>
          </w:p>
        </w:tc>
      </w:tr>
    </w:tbl>
    <w:p>
      <w:pPr>
        <w:pStyle w:val="TextBody"/>
        <w:bidi w:val="0"/>
        <w:spacing w:lineRule="auto" w:line="300"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1002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an increase in warranty expenses and warranty accruals of $4.7 million associated primarily with an increase in the volume of products sold.</w:t>
            </w:r>
          </w:p>
        </w:tc>
      </w:tr>
    </w:tbl>
    <w:p>
      <w:pPr>
        <w:pStyle w:val="TextBody"/>
        <w:bidi w:val="0"/>
        <w:spacing w:lineRule="auto" w:line="300" w:before="0" w:after="0"/>
        <w:jc w:val="left"/>
        <w:rPr/>
      </w:pPr>
      <w:r>
        <w:rPr/>
        <w:t> </w:t>
      </w:r>
    </w:p>
    <w:p>
      <w:pPr>
        <w:pStyle w:val="TextBody"/>
        <w:bidi w:val="0"/>
        <w:spacing w:lineRule="auto" w:line="300" w:before="0" w:after="0"/>
        <w:ind w:left="0" w:right="0" w:firstLine="720"/>
        <w:jc w:val="both"/>
        <w:rPr>
          <w:rFonts w:ascii="Times New Roman;Times;serif" w:hAnsi="Times New Roman;Times;serif"/>
          <w:sz w:val="20"/>
        </w:rPr>
      </w:pPr>
      <w:r>
        <w:rPr>
          <w:rFonts w:ascii="Times New Roman;Times;serif" w:hAnsi="Times New Roman;Times;serif"/>
          <w:sz w:val="20"/>
        </w:rPr>
        <w:t>Gross profit as a percentage of revenue was 27.5% in the three months ended June 30, 2026, compared to 11.1%, in the three months ended June 30, 2025, primarily due to:</w:t>
      </w:r>
    </w:p>
    <w:p>
      <w:pPr>
        <w:pStyle w:val="TextBody"/>
        <w:bidi w:val="0"/>
        <w:spacing w:lineRule="auto" w:line="300"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1002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lower absolute fixed and other production related costs, which were divided this period by higher revenues, resulting in higher gross margin of approximately 10.5%; and</w:t>
            </w:r>
          </w:p>
        </w:tc>
      </w:tr>
    </w:tbl>
    <w:p>
      <w:pPr>
        <w:pStyle w:val="TextBody"/>
        <w:bidi w:val="0"/>
        <w:spacing w:lineRule="auto" w:line="300"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1002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an improvement in the direct cost of revenue of approximately 15.9% associated primarily to product mix and IEEPA refunds recognized.</w:t>
            </w:r>
          </w:p>
        </w:tc>
      </w:tr>
    </w:tbl>
    <w:p>
      <w:pPr>
        <w:pStyle w:val="TextBody"/>
        <w:bidi w:val="0"/>
        <w:spacing w:lineRule="auto" w:line="300" w:before="0" w:after="0"/>
        <w:jc w:val="left"/>
        <w:rPr/>
      </w:pPr>
      <w:r>
        <w:rPr/>
        <w:t> </w:t>
      </w:r>
    </w:p>
    <w:p>
      <w:pPr>
        <w:pStyle w:val="TextBody"/>
        <w:bidi w:val="0"/>
        <w:spacing w:lineRule="auto" w:line="300" w:before="0" w:after="0"/>
        <w:ind w:left="0" w:right="0" w:firstLine="720"/>
        <w:jc w:val="both"/>
        <w:rPr>
          <w:rFonts w:ascii="Times New Roman;Times;serif" w:hAnsi="Times New Roman;Times;serif"/>
          <w:sz w:val="20"/>
        </w:rPr>
      </w:pPr>
      <w:r>
        <w:rPr>
          <w:rFonts w:ascii="Times New Roman;Times;serif" w:hAnsi="Times New Roman;Times;serif"/>
          <w:sz w:val="20"/>
        </w:rPr>
        <w:t>These were partially offset by  an increase in inventory write-down accruals of approximately 9.3%.</w:t>
      </w:r>
    </w:p>
    <w:p>
      <w:pPr>
        <w:pStyle w:val="TextBody"/>
        <w:bidi w:val="0"/>
        <w:spacing w:lineRule="auto" w:line="300" w:before="0" w:after="0"/>
        <w:ind w:left="0" w:right="0" w:firstLine="720"/>
        <w:jc w:val="both"/>
        <w:rPr/>
      </w:pPr>
      <w:r>
        <w:rPr/>
        <w:t> </w:t>
      </w:r>
    </w:p>
    <w:p>
      <w:pPr>
        <w:pStyle w:val="TextBody"/>
        <w:bidi w:val="0"/>
        <w:spacing w:lineRule="auto" w:line="300" w:before="0" w:after="0"/>
        <w:ind w:left="0" w:right="0" w:firstLine="720"/>
        <w:jc w:val="both"/>
        <w:rPr>
          <w:rFonts w:ascii="Times New Roman;Times;serif" w:hAnsi="Times New Roman;Times;serif"/>
          <w:sz w:val="20"/>
        </w:rPr>
      </w:pPr>
      <w:r>
        <w:rPr>
          <w:rFonts w:ascii="Times New Roman;Times;serif" w:hAnsi="Times New Roman;Times;serif"/>
          <w:sz w:val="20"/>
        </w:rPr>
        <w:t>Excluding the AMPTC incentives would have caused our gross profit as a percentage of revenue to transition from a gross profit to a gross loss.</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rFonts w:ascii="Times New Roman;Times;serif" w:hAnsi="Times New Roman;Times;serif"/>
          <w:sz w:val="20"/>
        </w:rPr>
      </w:pPr>
      <w:r>
        <w:rPr>
          <w:rFonts w:ascii="Times New Roman;Times;serif" w:hAnsi="Times New Roman;Times;serif"/>
          <w:sz w:val="20"/>
        </w:rPr>
        <w:t>Cost of revenues increased by $34.1 million, or 7.4%, in the six months ended June 30, 2026 compared to the six months ended June 30, 2025, primarily due to:</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pPr>
      <w:r>
        <w:rPr/>
        <w:t> </w:t>
      </w:r>
      <w:r>
        <w:rPr>
          <w:rFonts w:ascii="Times New Roman;Times;serif" w:hAnsi="Times New Roman;Times;serif"/>
          <w:sz w:val="20"/>
        </w:rPr>
        <w:t>an increase in direct cost of revenues sold of $26.3 million, associated primarily with an increase in the volume of products sold, which was partially offset by the AMPTC and IEEPA refunds recognized; excluding such AMPTC incentives would have caused us to transition into a gross loss, for both periods presented; and</w:t>
      </w:r>
    </w:p>
    <w:p>
      <w:pPr>
        <w:pStyle w:val="TextBody"/>
        <w:bidi w:val="0"/>
        <w:spacing w:lineRule="auto" w:line="300" w:before="0" w:after="0"/>
        <w:jc w:val="left"/>
        <w:rPr/>
      </w:pPr>
      <w:r>
        <w:rPr/>
        <w:t> </w:t>
      </w:r>
    </w:p>
    <w:tbl>
      <w:tblPr>
        <w:tblW w:w="8950" w:type="dxa"/>
        <w:jc w:val="left"/>
        <w:tblInd w:w="0" w:type="dxa"/>
        <w:tblLayout w:type="fixed"/>
        <w:tblCellMar>
          <w:top w:w="0" w:type="dxa"/>
          <w:left w:w="0" w:type="dxa"/>
          <w:bottom w:w="0" w:type="dxa"/>
          <w:right w:w="0" w:type="dxa"/>
        </w:tblCellMar>
      </w:tblPr>
      <w:tblGrid>
        <w:gridCol w:w="75"/>
        <w:gridCol w:w="110"/>
        <w:gridCol w:w="876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876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an increase of $25.6 million in indirect costs of revenues primarily related to inventory write-down accruals.</w:t>
            </w:r>
          </w:p>
        </w:tc>
      </w:tr>
    </w:tbl>
    <w:p>
      <w:pPr>
        <w:pStyle w:val="TextBody"/>
        <w:bidi w:val="0"/>
        <w:spacing w:lineRule="auto" w:line="300" w:before="0" w:after="0"/>
        <w:jc w:val="left"/>
        <w:rPr/>
      </w:pPr>
      <w:r>
        <w:rPr/>
        <w:t> </w:t>
      </w:r>
    </w:p>
    <w:p>
      <w:pPr>
        <w:pStyle w:val="TextBody"/>
        <w:bidi w:val="0"/>
        <w:spacing w:lineRule="auto" w:line="300" w:before="0" w:after="0"/>
        <w:ind w:left="0" w:right="0" w:firstLine="720"/>
        <w:jc w:val="both"/>
        <w:rPr>
          <w:rFonts w:ascii="Times New Roman;Times;serif" w:hAnsi="Times New Roman;Times;serif"/>
          <w:sz w:val="20"/>
        </w:rPr>
      </w:pPr>
      <w:r>
        <w:rPr>
          <w:rFonts w:ascii="Times New Roman;Times;serif" w:hAnsi="Times New Roman;Times;serif"/>
          <w:sz w:val="20"/>
        </w:rPr>
        <w:t>These were partially offset by:</w:t>
      </w:r>
    </w:p>
    <w:p>
      <w:pPr>
        <w:pStyle w:val="TextBody"/>
        <w:bidi w:val="0"/>
        <w:spacing w:lineRule="auto" w:line="300"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1002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 decrease in support-related costs of $7.2 million resulting primarily from a decrease in consulting and personnel related costs; and</w:t>
            </w:r>
          </w:p>
        </w:tc>
      </w:tr>
    </w:tbl>
    <w:p>
      <w:pPr>
        <w:pStyle w:val="TextBody"/>
        <w:bidi w:val="0"/>
        <w:spacing w:lineRule="auto" w:line="300"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1002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 decrease in warranty expenses and warranty accruals of $5.2 million associated primarily with a lower cost of materials and changes in estimates and policies.</w:t>
            </w:r>
          </w:p>
        </w:tc>
      </w:tr>
    </w:tbl>
    <w:p>
      <w:pPr>
        <w:pStyle w:val="TextBody"/>
        <w:bidi w:val="0"/>
        <w:spacing w:lineRule="auto" w:line="300" w:before="0" w:after="0"/>
        <w:jc w:val="left"/>
        <w:rPr/>
      </w:pPr>
      <w:r>
        <w:rPr/>
        <w:t> </w:t>
      </w:r>
    </w:p>
    <w:p>
      <w:pPr>
        <w:pStyle w:val="TextBody"/>
        <w:bidi w:val="0"/>
        <w:spacing w:lineRule="auto" w:line="300" w:before="0" w:after="0"/>
        <w:ind w:left="0" w:right="0" w:firstLine="720"/>
        <w:jc w:val="both"/>
        <w:rPr>
          <w:rFonts w:ascii="Times New Roman;Times;serif" w:hAnsi="Times New Roman;Times;serif"/>
          <w:sz w:val="20"/>
        </w:rPr>
      </w:pPr>
      <w:r>
        <w:rPr>
          <w:rFonts w:ascii="Times New Roman;Times;serif" w:hAnsi="Times New Roman;Times;serif"/>
          <w:sz w:val="20"/>
        </w:rPr>
        <w:t>Gross profit as a percentage of revenue was 24.9% in the six months ended June 30, 2026 compared to 9.8% in the six months ended June 30, 2025 primarily due to:</w:t>
      </w:r>
    </w:p>
    <w:p>
      <w:pPr>
        <w:pStyle w:val="TextBody"/>
        <w:bidi w:val="0"/>
        <w:spacing w:lineRule="auto" w:line="300"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1002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lower absolute fixed and other production-related costs, which were divided this period by significantly higher revenue, resulting in higher gross margin of approximately 13.1%; and</w:t>
            </w:r>
          </w:p>
        </w:tc>
      </w:tr>
    </w:tbl>
    <w:p>
      <w:pPr>
        <w:pStyle w:val="TextBody"/>
        <w:bidi w:val="0"/>
        <w:spacing w:lineRule="auto" w:line="300"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1002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an improvement in the direct cost of revenue of approximately 7.9% associated primarily with product mix and IEEPA refunds recognized.</w:t>
            </w:r>
          </w:p>
        </w:tc>
      </w:tr>
    </w:tbl>
    <w:p>
      <w:pPr>
        <w:pStyle w:val="TextBody"/>
        <w:bidi w:val="0"/>
        <w:spacing w:lineRule="auto" w:line="300" w:before="0" w:after="0"/>
        <w:jc w:val="left"/>
        <w:rPr/>
      </w:pPr>
      <w:r>
        <w:rPr/>
        <w:t> </w:t>
      </w:r>
    </w:p>
    <w:p>
      <w:pPr>
        <w:pStyle w:val="TextBody"/>
        <w:bidi w:val="0"/>
        <w:spacing w:lineRule="auto" w:line="300" w:before="0" w:after="0"/>
        <w:ind w:left="0" w:right="0" w:firstLine="720"/>
        <w:jc w:val="both"/>
        <w:rPr>
          <w:rFonts w:ascii="Times New Roman;Times;serif" w:hAnsi="Times New Roman;Times;serif"/>
          <w:sz w:val="20"/>
        </w:rPr>
      </w:pPr>
      <w:r>
        <w:rPr>
          <w:rFonts w:ascii="Times New Roman;Times;serif" w:hAnsi="Times New Roman;Times;serif"/>
          <w:sz w:val="20"/>
        </w:rPr>
        <w:t>These were partially offset by an increase in inventory write-down accruals of approximately 5.9%.</w:t>
      </w:r>
    </w:p>
    <w:p>
      <w:pPr>
        <w:pStyle w:val="TextBody"/>
        <w:bidi w:val="0"/>
        <w:spacing w:lineRule="auto" w:line="300" w:before="0" w:after="0"/>
        <w:ind w:left="0" w:right="0" w:firstLine="720"/>
        <w:jc w:val="both"/>
        <w:rPr/>
      </w:pPr>
      <w:r>
        <w:rPr/>
        <w:t> </w:t>
      </w:r>
    </w:p>
    <w:p>
      <w:pPr>
        <w:pStyle w:val="TextBody"/>
        <w:bidi w:val="0"/>
        <w:spacing w:lineRule="auto" w:line="300" w:before="0" w:after="0"/>
        <w:ind w:left="0" w:right="0" w:firstLine="720"/>
        <w:jc w:val="both"/>
        <w:rPr>
          <w:rFonts w:ascii="Times New Roman;Times;serif" w:hAnsi="Times New Roman;Times;serif"/>
          <w:sz w:val="20"/>
        </w:rPr>
      </w:pPr>
      <w:r>
        <w:rPr>
          <w:rFonts w:ascii="Times New Roman;Times;serif" w:hAnsi="Times New Roman;Times;serif"/>
          <w:sz w:val="20"/>
        </w:rPr>
        <w:t>Excluding the AMPTC incentives would have caused our gross profit as a percentage of revenue to transition from a gross profit to a gross loss.</w:t>
      </w:r>
    </w:p>
    <w:p>
      <w:pPr>
        <w:pStyle w:val="TextBody"/>
        <w:bidi w:val="0"/>
        <w:spacing w:lineRule="auto" w:line="300"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SOLAREDGE TECHNOLOGIES INC. | 2026 Form 10-Q | 12</w:t>
      </w:r>
    </w:p>
    <w:p>
      <w:pPr>
        <w:pStyle w:val="HorizontalLine"/>
        <w:bidi w:val="0"/>
        <w:spacing w:lineRule="auto" w:line="300" w:before="200" w:after="200"/>
        <w:jc w:val="left"/>
        <w:rPr/>
      </w:pPr>
      <w:r>
        <w:rPr/>
      </w:r>
    </w:p>
    <w:p>
      <w:pPr>
        <w:pStyle w:val="TextBody"/>
        <w:bidi w:val="0"/>
        <w:spacing w:lineRule="auto" w:line="300" w:before="0" w:after="0"/>
        <w:jc w:val="left"/>
        <w:rPr/>
      </w:pPr>
      <w:r>
        <w:rPr/>
        <w:t> </w:t>
      </w:r>
    </w:p>
    <w:p>
      <w:pPr>
        <w:pStyle w:val="TextBody"/>
        <w:bidi w:val="0"/>
        <w:spacing w:lineRule="auto" w:line="300" w:before="0" w:after="0"/>
        <w:jc w:val="left"/>
        <w:rPr>
          <w:rFonts w:ascii="Times New Roman;Times;serif" w:hAnsi="Times New Roman;Times;serif"/>
          <w:i/>
          <w:sz w:val="20"/>
        </w:rPr>
      </w:pPr>
      <w:r>
        <w:rPr>
          <w:rFonts w:ascii="Times New Roman;Times;serif" w:hAnsi="Times New Roman;Times;serif"/>
          <w:i/>
          <w:sz w:val="20"/>
        </w:rPr>
        <w:t>Operating Expenses:</w:t>
      </w:r>
    </w:p>
    <w:p>
      <w:pPr>
        <w:pStyle w:val="TextBody"/>
        <w:bidi w:val="0"/>
        <w:spacing w:lineRule="auto" w:line="300" w:before="0" w:after="0"/>
        <w:jc w:val="left"/>
        <w:rPr/>
      </w:pPr>
      <w:r>
        <w:rPr/>
        <w:t> </w:t>
      </w:r>
    </w:p>
    <w:p>
      <w:pPr>
        <w:pStyle w:val="TextBody"/>
        <w:bidi w:val="0"/>
        <w:spacing w:lineRule="auto" w:line="300" w:before="0" w:after="0"/>
        <w:jc w:val="left"/>
        <w:rPr>
          <w:rFonts w:ascii="Times New Roman;Times;serif" w:hAnsi="Times New Roman;Times;serif"/>
          <w:b/>
          <w:sz w:val="20"/>
        </w:rPr>
      </w:pPr>
      <w:r>
        <w:rPr>
          <w:rFonts w:ascii="Times New Roman;Times;serif" w:hAnsi="Times New Roman;Times;serif"/>
          <w:b/>
          <w:sz w:val="20"/>
        </w:rPr>
        <w:t>Research and Development, net</w:t>
      </w:r>
    </w:p>
    <w:p>
      <w:pPr>
        <w:pStyle w:val="TextBody"/>
        <w:bidi w:val="0"/>
        <w:spacing w:lineRule="auto" w:line="300" w:before="0" w:after="0"/>
        <w:jc w:val="left"/>
        <w:rPr/>
      </w:pPr>
      <w:r>
        <w:rPr/>
        <w:t> </w:t>
      </w:r>
    </w:p>
    <w:tbl>
      <w:tblPr>
        <w:tblW w:w="10056" w:type="dxa"/>
        <w:jc w:val="left"/>
        <w:tblInd w:w="0" w:type="dxa"/>
        <w:tblLayout w:type="fixed"/>
        <w:tblCellMar>
          <w:top w:w="0" w:type="dxa"/>
          <w:left w:w="0" w:type="dxa"/>
          <w:bottom w:w="0" w:type="dxa"/>
          <w:right w:w="0" w:type="dxa"/>
        </w:tblCellMar>
      </w:tblPr>
      <w:tblGrid>
        <w:gridCol w:w="2570"/>
        <w:gridCol w:w="60"/>
        <w:gridCol w:w="162"/>
        <w:gridCol w:w="766"/>
        <w:gridCol w:w="77"/>
        <w:gridCol w:w="77"/>
        <w:gridCol w:w="162"/>
        <w:gridCol w:w="766"/>
        <w:gridCol w:w="77"/>
        <w:gridCol w:w="77"/>
        <w:gridCol w:w="162"/>
        <w:gridCol w:w="513"/>
        <w:gridCol w:w="103"/>
        <w:gridCol w:w="77"/>
        <w:gridCol w:w="77"/>
        <w:gridCol w:w="513"/>
        <w:gridCol w:w="185"/>
        <w:gridCol w:w="60"/>
        <w:gridCol w:w="125"/>
        <w:gridCol w:w="700"/>
        <w:gridCol w:w="60"/>
        <w:gridCol w:w="60"/>
        <w:gridCol w:w="125"/>
        <w:gridCol w:w="700"/>
        <w:gridCol w:w="60"/>
        <w:gridCol w:w="60"/>
        <w:gridCol w:w="125"/>
        <w:gridCol w:w="654"/>
        <w:gridCol w:w="80"/>
        <w:gridCol w:w="60"/>
        <w:gridCol w:w="60"/>
        <w:gridCol w:w="503"/>
        <w:gridCol w:w="200"/>
      </w:tblGrid>
      <w:tr>
        <w:trPr/>
        <w:tc>
          <w:tcPr>
            <w:tcW w:w="25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609" w:type="dxa"/>
            <w:gridSpan w:val="14"/>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Three months ended June 30, 2026 to 2025</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372" w:type="dxa"/>
            <w:gridSpan w:val="14"/>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Six months ended June 30, 2026 to 2025</w:t>
            </w:r>
          </w:p>
        </w:tc>
        <w:tc>
          <w:tcPr>
            <w:tcW w:w="200" w:type="dxa"/>
            <w:tcBorders/>
            <w:vAlign w:val="center"/>
          </w:tcPr>
          <w:p>
            <w:pPr>
              <w:pStyle w:val="TableContents"/>
              <w:bidi w:val="0"/>
              <w:spacing w:before="0" w:after="283"/>
              <w:jc w:val="left"/>
              <w:rPr/>
            </w:pPr>
            <w:r>
              <w:rPr/>
              <w:t> </w:t>
            </w:r>
          </w:p>
        </w:tc>
      </w:tr>
      <w:tr>
        <w:trPr/>
        <w:tc>
          <w:tcPr>
            <w:tcW w:w="25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28"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2026</w:t>
            </w:r>
          </w:p>
        </w:tc>
        <w:tc>
          <w:tcPr>
            <w:tcW w:w="77"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tc>
        <w:tc>
          <w:tcPr>
            <w:tcW w:w="928"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2025</w:t>
            </w:r>
          </w:p>
        </w:tc>
        <w:tc>
          <w:tcPr>
            <w:tcW w:w="77"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tc>
        <w:tc>
          <w:tcPr>
            <w:tcW w:w="1445" w:type="dxa"/>
            <w:gridSpan w:val="6"/>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Change</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5"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5"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82" w:type="dxa"/>
            <w:gridSpan w:val="6"/>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Change</w:t>
            </w:r>
          </w:p>
        </w:tc>
        <w:tc>
          <w:tcPr>
            <w:tcW w:w="200" w:type="dxa"/>
            <w:tcBorders/>
            <w:vAlign w:val="center"/>
          </w:tcPr>
          <w:p>
            <w:pPr>
              <w:pStyle w:val="TableContents"/>
              <w:bidi w:val="0"/>
              <w:spacing w:before="0" w:after="283"/>
              <w:jc w:val="left"/>
              <w:rPr/>
            </w:pPr>
            <w:r>
              <w:rPr/>
              <w:t> </w:t>
            </w:r>
          </w:p>
        </w:tc>
      </w:tr>
      <w:tr>
        <w:trPr/>
        <w:tc>
          <w:tcPr>
            <w:tcW w:w="25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226" w:type="dxa"/>
            <w:gridSpan w:val="30"/>
            <w:tcBorders/>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(In thousands)</w:t>
            </w:r>
          </w:p>
        </w:tc>
        <w:tc>
          <w:tcPr>
            <w:tcW w:w="200" w:type="dxa"/>
            <w:tcBorders/>
            <w:vAlign w:val="center"/>
          </w:tcPr>
          <w:p>
            <w:pPr>
              <w:pStyle w:val="TableContents"/>
              <w:bidi w:val="0"/>
              <w:spacing w:before="0" w:after="283"/>
              <w:jc w:val="left"/>
              <w:rPr/>
            </w:pPr>
            <w:r>
              <w:rPr/>
              <w:t> </w:t>
            </w:r>
          </w:p>
        </w:tc>
      </w:tr>
      <w:tr>
        <w:trPr/>
        <w:tc>
          <w:tcPr>
            <w:tcW w:w="2570" w:type="dxa"/>
            <w:tcBorders/>
            <w:shd w:fill="CCEEFF" w:val="clear"/>
            <w:vAlign w:val="center"/>
          </w:tcPr>
          <w:p>
            <w:pPr>
              <w:pStyle w:val="TableContents"/>
              <w:bidi w:val="0"/>
              <w:spacing w:lineRule="auto" w:line="300" w:before="0" w:after="0"/>
              <w:ind w:left="219" w:right="0" w:hanging="200"/>
              <w:jc w:val="left"/>
              <w:rPr>
                <w:rFonts w:ascii="Times New Roman;Times;serif" w:hAnsi="Times New Roman;Times;serif"/>
                <w:sz w:val="20"/>
              </w:rPr>
            </w:pPr>
            <w:r>
              <w:rPr>
                <w:rFonts w:ascii="Times New Roman;Times;serif" w:hAnsi="Times New Roman;Times;serif"/>
                <w:sz w:val="20"/>
              </w:rPr>
              <w:t>Research and development, net</w:t>
            </w:r>
          </w:p>
        </w:tc>
        <w:tc>
          <w:tcPr>
            <w:tcW w:w="60"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766"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52,751</w:t>
            </w:r>
          </w:p>
        </w:tc>
        <w:tc>
          <w:tcPr>
            <w:tcW w:w="77"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766"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53,386</w:t>
            </w:r>
          </w:p>
        </w:tc>
        <w:tc>
          <w:tcPr>
            <w:tcW w:w="77"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513"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(635</w:t>
            </w:r>
          </w:p>
        </w:tc>
        <w:tc>
          <w:tcPr>
            <w:tcW w:w="103"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77"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513"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(1.2)</w:t>
            </w:r>
          </w:p>
        </w:tc>
        <w:tc>
          <w:tcPr>
            <w:tcW w:w="185"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700"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102,906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700"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115,383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54"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(12,477</w:t>
            </w:r>
          </w:p>
        </w:tc>
        <w:tc>
          <w:tcPr>
            <w:tcW w:w="80"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03"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(10.8)</w:t>
            </w:r>
          </w:p>
        </w:tc>
        <w:tc>
          <w:tcPr>
            <w:tcW w:w="200"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lineRule="auto" w:line="300" w:before="0" w:after="0"/>
        <w:jc w:val="left"/>
        <w:rPr/>
      </w:pPr>
      <w:r>
        <w:rPr/>
        <w:t> </w:t>
      </w:r>
    </w:p>
    <w:p>
      <w:pPr>
        <w:pStyle w:val="TextBody"/>
        <w:bidi w:val="0"/>
        <w:spacing w:lineRule="auto" w:line="300" w:before="0" w:after="0"/>
        <w:ind w:left="0" w:right="0" w:firstLine="720"/>
        <w:jc w:val="both"/>
        <w:rPr>
          <w:rFonts w:ascii="Times New Roman;Times;serif" w:hAnsi="Times New Roman;Times;serif"/>
          <w:sz w:val="20"/>
        </w:rPr>
      </w:pPr>
      <w:r>
        <w:rPr>
          <w:rFonts w:ascii="Times New Roman;Times;serif" w:hAnsi="Times New Roman;Times;serif"/>
          <w:sz w:val="20"/>
        </w:rPr>
        <w:t>Research and development, net costs decreased by $0.6 million, or 1.2%, in the three months ended June 30, 2026, compared to the three months ended June 30, 2025, primarily due to:</w:t>
      </w:r>
    </w:p>
    <w:p>
      <w:pPr>
        <w:pStyle w:val="TextBody"/>
        <w:bidi w:val="0"/>
        <w:spacing w:lineRule="auto" w:line="300"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1002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 decrease related to $2.4 million of income recognized from a grant for research and development activities in the three months ended June 30, 2026;</w:t>
            </w:r>
          </w:p>
        </w:tc>
      </w:tr>
    </w:tbl>
    <w:p>
      <w:pPr>
        <w:pStyle w:val="TextBody"/>
        <w:bidi w:val="0"/>
        <w:spacing w:lineRule="auto" w:line="300" w:before="0" w:after="0"/>
        <w:jc w:val="left"/>
        <w:rPr/>
      </w:pPr>
      <w:r>
        <w:rPr/>
        <w:t> </w:t>
      </w:r>
    </w:p>
    <w:tbl>
      <w:tblPr>
        <w:tblW w:w="7090" w:type="dxa"/>
        <w:jc w:val="left"/>
        <w:tblInd w:w="0" w:type="dxa"/>
        <w:tblLayout w:type="fixed"/>
        <w:tblCellMar>
          <w:top w:w="0" w:type="dxa"/>
          <w:left w:w="0" w:type="dxa"/>
          <w:bottom w:w="0" w:type="dxa"/>
          <w:right w:w="0" w:type="dxa"/>
        </w:tblCellMar>
      </w:tblPr>
      <w:tblGrid>
        <w:gridCol w:w="75"/>
        <w:gridCol w:w="110"/>
        <w:gridCol w:w="690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90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 decrease in expenses related to consulting and sub-contracting of $1.0 million; and</w:t>
            </w:r>
          </w:p>
        </w:tc>
      </w:tr>
    </w:tbl>
    <w:p>
      <w:pPr>
        <w:pStyle w:val="TextBody"/>
        <w:bidi w:val="0"/>
        <w:spacing w:lineRule="auto" w:line="300" w:before="0" w:after="0"/>
        <w:jc w:val="left"/>
        <w:rPr/>
      </w:pPr>
      <w:r>
        <w:rPr/>
        <w:t> </w:t>
      </w:r>
    </w:p>
    <w:tbl>
      <w:tblPr>
        <w:tblW w:w="5830" w:type="dxa"/>
        <w:jc w:val="left"/>
        <w:tblInd w:w="0" w:type="dxa"/>
        <w:tblLayout w:type="fixed"/>
        <w:tblCellMar>
          <w:top w:w="0" w:type="dxa"/>
          <w:left w:w="0" w:type="dxa"/>
          <w:bottom w:w="0" w:type="dxa"/>
          <w:right w:w="0" w:type="dxa"/>
        </w:tblCellMar>
      </w:tblPr>
      <w:tblGrid>
        <w:gridCol w:w="75"/>
        <w:gridCol w:w="110"/>
        <w:gridCol w:w="564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564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 decrease in depreciation and amortization expenses of $0.8 million.</w:t>
            </w:r>
          </w:p>
        </w:tc>
      </w:tr>
    </w:tbl>
    <w:p>
      <w:pPr>
        <w:pStyle w:val="TextBody"/>
        <w:bidi w:val="0"/>
        <w:spacing w:lineRule="auto" w:line="300" w:before="0" w:after="0"/>
        <w:jc w:val="left"/>
        <w:rPr/>
      </w:pPr>
      <w:r>
        <w:rPr/>
        <w:t> </w:t>
      </w:r>
    </w:p>
    <w:p>
      <w:pPr>
        <w:pStyle w:val="TextBody"/>
        <w:bidi w:val="0"/>
        <w:spacing w:lineRule="auto" w:line="300" w:before="0" w:after="0"/>
        <w:ind w:left="0" w:right="0" w:firstLine="720"/>
        <w:jc w:val="both"/>
        <w:rPr>
          <w:rFonts w:ascii="Times New Roman;Times;serif" w:hAnsi="Times New Roman;Times;serif"/>
          <w:sz w:val="20"/>
        </w:rPr>
      </w:pPr>
      <w:r>
        <w:rPr>
          <w:rFonts w:ascii="Times New Roman;Times;serif" w:hAnsi="Times New Roman;Times;serif"/>
          <w:sz w:val="20"/>
        </w:rPr>
        <w:t>These were partially offset by:</w:t>
      </w:r>
    </w:p>
    <w:p>
      <w:pPr>
        <w:pStyle w:val="TextBody"/>
        <w:bidi w:val="0"/>
        <w:spacing w:lineRule="auto" w:line="300"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1002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an increase in personnel-related costs of $2.2 million, mainly driven by the weakening of the U.S. dollar against the NIS; and</w:t>
            </w:r>
          </w:p>
        </w:tc>
      </w:tr>
    </w:tbl>
    <w:p>
      <w:pPr>
        <w:pStyle w:val="TextBody"/>
        <w:bidi w:val="0"/>
        <w:spacing w:lineRule="auto" w:line="300" w:before="0" w:after="0"/>
        <w:jc w:val="left"/>
        <w:rPr/>
      </w:pPr>
      <w:r>
        <w:rPr/>
        <w:t> </w:t>
      </w:r>
    </w:p>
    <w:tbl>
      <w:tblPr>
        <w:tblW w:w="5620" w:type="dxa"/>
        <w:jc w:val="left"/>
        <w:tblInd w:w="0" w:type="dxa"/>
        <w:tblLayout w:type="fixed"/>
        <w:tblCellMar>
          <w:top w:w="0" w:type="dxa"/>
          <w:left w:w="0" w:type="dxa"/>
          <w:bottom w:w="0" w:type="dxa"/>
          <w:right w:w="0" w:type="dxa"/>
        </w:tblCellMar>
      </w:tblPr>
      <w:tblGrid>
        <w:gridCol w:w="75"/>
        <w:gridCol w:w="110"/>
        <w:gridCol w:w="543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543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an increase of $1.8 million in other directly related overhead costs.</w:t>
            </w:r>
          </w:p>
        </w:tc>
      </w:tr>
    </w:tbl>
    <w:p>
      <w:pPr>
        <w:pStyle w:val="TextBody"/>
        <w:bidi w:val="0"/>
        <w:spacing w:lineRule="auto" w:line="300" w:before="0" w:after="0"/>
        <w:jc w:val="left"/>
        <w:rPr/>
      </w:pPr>
      <w:r>
        <w:rPr/>
        <w:t> </w:t>
      </w:r>
    </w:p>
    <w:p>
      <w:pPr>
        <w:pStyle w:val="TextBody"/>
        <w:bidi w:val="0"/>
        <w:spacing w:lineRule="auto" w:line="300" w:before="0" w:after="0"/>
        <w:ind w:left="0" w:right="0" w:firstLine="720"/>
        <w:jc w:val="both"/>
        <w:rPr>
          <w:rFonts w:ascii="Times New Roman;Times;serif" w:hAnsi="Times New Roman;Times;serif"/>
          <w:sz w:val="20"/>
        </w:rPr>
      </w:pPr>
      <w:r>
        <w:rPr>
          <w:rFonts w:ascii="Times New Roman;Times;serif" w:hAnsi="Times New Roman;Times;serif"/>
          <w:sz w:val="20"/>
        </w:rPr>
        <w:t>Research and development, net costs decreased by $12.5 million or 10.8%, in the six months ended June 30, 2026, compared to the six months ended June 30, 2025, primarily due to:</w:t>
      </w:r>
    </w:p>
    <w:p>
      <w:pPr>
        <w:pStyle w:val="TextBody"/>
        <w:bidi w:val="0"/>
        <w:spacing w:lineRule="auto" w:line="300"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1002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 decrease in personnel-related costs of $10.1 million resulting primarily from a decrease in salary expenses associated with employee stock-based compensation in the six months ended June 30, 2025, which was partially offset by the weakening of the U.S. dollar compared to the NIS;</w:t>
            </w:r>
          </w:p>
        </w:tc>
      </w:tr>
    </w:tbl>
    <w:p>
      <w:pPr>
        <w:pStyle w:val="TextBody"/>
        <w:bidi w:val="0"/>
        <w:spacing w:lineRule="auto" w:line="300"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1002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 decrease related to $2.4 million of income recognized from a grant for research and development activities in the six months ended June 30, 2026; and</w:t>
            </w:r>
          </w:p>
        </w:tc>
      </w:tr>
    </w:tbl>
    <w:p>
      <w:pPr>
        <w:pStyle w:val="TextBody"/>
        <w:bidi w:val="0"/>
        <w:spacing w:lineRule="auto" w:line="300" w:before="0" w:after="0"/>
        <w:jc w:val="left"/>
        <w:rPr/>
      </w:pPr>
      <w:r>
        <w:rPr/>
        <w:t> </w:t>
      </w:r>
    </w:p>
    <w:tbl>
      <w:tblPr>
        <w:tblW w:w="5050" w:type="dxa"/>
        <w:jc w:val="left"/>
        <w:tblInd w:w="0" w:type="dxa"/>
        <w:tblLayout w:type="fixed"/>
        <w:tblCellMar>
          <w:top w:w="0" w:type="dxa"/>
          <w:left w:w="0" w:type="dxa"/>
          <w:bottom w:w="0" w:type="dxa"/>
          <w:right w:w="0" w:type="dxa"/>
        </w:tblCellMar>
      </w:tblPr>
      <w:tblGrid>
        <w:gridCol w:w="75"/>
        <w:gridCol w:w="110"/>
        <w:gridCol w:w="486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486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 decrease in depreciation and amortization of $1.8 million.</w:t>
            </w:r>
          </w:p>
        </w:tc>
      </w:tr>
    </w:tbl>
    <w:p>
      <w:pPr>
        <w:pStyle w:val="TextBody"/>
        <w:bidi w:val="0"/>
        <w:spacing w:lineRule="auto" w:line="300" w:before="0" w:after="0"/>
        <w:jc w:val="left"/>
        <w:rPr/>
      </w:pPr>
      <w:r>
        <w:rPr/>
        <w:t> </w:t>
      </w:r>
    </w:p>
    <w:p>
      <w:pPr>
        <w:pStyle w:val="TextBody"/>
        <w:bidi w:val="0"/>
        <w:spacing w:lineRule="auto" w:line="300" w:before="0" w:after="0"/>
        <w:ind w:left="0" w:right="0" w:firstLine="720"/>
        <w:jc w:val="both"/>
        <w:rPr>
          <w:rFonts w:ascii="Times New Roman;Times;serif" w:hAnsi="Times New Roman;Times;serif"/>
          <w:sz w:val="20"/>
        </w:rPr>
      </w:pPr>
      <w:r>
        <w:rPr>
          <w:rFonts w:ascii="Times New Roman;Times;serif" w:hAnsi="Times New Roman;Times;serif"/>
          <w:sz w:val="20"/>
        </w:rPr>
        <w:t>These were partially offset by an increase in other directly related overhead costs of $3.0 million.</w:t>
      </w:r>
    </w:p>
    <w:p>
      <w:pPr>
        <w:pStyle w:val="TextBody"/>
        <w:bidi w:val="0"/>
        <w:spacing w:lineRule="auto" w:line="300" w:before="0" w:after="0"/>
        <w:jc w:val="left"/>
        <w:rPr/>
      </w:pPr>
      <w:r>
        <w:rPr/>
        <w:t> </w:t>
      </w:r>
    </w:p>
    <w:p>
      <w:pPr>
        <w:pStyle w:val="TextBody"/>
        <w:bidi w:val="0"/>
        <w:spacing w:lineRule="auto" w:line="300" w:before="0" w:after="0"/>
        <w:jc w:val="left"/>
        <w:rPr>
          <w:rFonts w:ascii="Times New Roman;Times;serif" w:hAnsi="Times New Roman;Times;serif"/>
          <w:b/>
          <w:sz w:val="20"/>
        </w:rPr>
      </w:pPr>
      <w:r>
        <w:rPr>
          <w:rFonts w:ascii="Times New Roman;Times;serif" w:hAnsi="Times New Roman;Times;serif"/>
          <w:b/>
          <w:sz w:val="20"/>
        </w:rPr>
        <w:t>Sales and Marketing</w:t>
      </w:r>
    </w:p>
    <w:p>
      <w:pPr>
        <w:pStyle w:val="TextBody"/>
        <w:bidi w:val="0"/>
        <w:spacing w:lineRule="auto" w:line="300" w:before="0" w:after="0"/>
        <w:jc w:val="left"/>
        <w:rPr/>
      </w:pPr>
      <w:r>
        <w:rPr/>
        <w:t> </w:t>
      </w:r>
    </w:p>
    <w:tbl>
      <w:tblPr>
        <w:tblW w:w="9166" w:type="dxa"/>
        <w:jc w:val="left"/>
        <w:tblInd w:w="0" w:type="dxa"/>
        <w:tblLayout w:type="fixed"/>
        <w:tblCellMar>
          <w:top w:w="0" w:type="dxa"/>
          <w:left w:w="0" w:type="dxa"/>
          <w:bottom w:w="0" w:type="dxa"/>
          <w:right w:w="0" w:type="dxa"/>
        </w:tblCellMar>
      </w:tblPr>
      <w:tblGrid>
        <w:gridCol w:w="1670"/>
        <w:gridCol w:w="60"/>
        <w:gridCol w:w="154"/>
        <w:gridCol w:w="727"/>
        <w:gridCol w:w="74"/>
        <w:gridCol w:w="74"/>
        <w:gridCol w:w="154"/>
        <w:gridCol w:w="727"/>
        <w:gridCol w:w="74"/>
        <w:gridCol w:w="74"/>
        <w:gridCol w:w="154"/>
        <w:gridCol w:w="672"/>
        <w:gridCol w:w="98"/>
        <w:gridCol w:w="74"/>
        <w:gridCol w:w="74"/>
        <w:gridCol w:w="487"/>
        <w:gridCol w:w="185"/>
        <w:gridCol w:w="60"/>
        <w:gridCol w:w="143"/>
        <w:gridCol w:w="679"/>
        <w:gridCol w:w="69"/>
        <w:gridCol w:w="69"/>
        <w:gridCol w:w="143"/>
        <w:gridCol w:w="679"/>
        <w:gridCol w:w="69"/>
        <w:gridCol w:w="69"/>
        <w:gridCol w:w="143"/>
        <w:gridCol w:w="627"/>
        <w:gridCol w:w="92"/>
        <w:gridCol w:w="69"/>
        <w:gridCol w:w="69"/>
        <w:gridCol w:w="454"/>
        <w:gridCol w:w="200"/>
      </w:tblGrid>
      <w:tr>
        <w:trPr/>
        <w:tc>
          <w:tcPr>
            <w:tcW w:w="16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617" w:type="dxa"/>
            <w:gridSpan w:val="14"/>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Three months ended June 30, 2026 to 2025</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374" w:type="dxa"/>
            <w:gridSpan w:val="14"/>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Six months ended June 30, 2026 to 2025</w:t>
            </w:r>
          </w:p>
        </w:tc>
        <w:tc>
          <w:tcPr>
            <w:tcW w:w="200" w:type="dxa"/>
            <w:tcBorders/>
            <w:vAlign w:val="center"/>
          </w:tcPr>
          <w:p>
            <w:pPr>
              <w:pStyle w:val="TableContents"/>
              <w:bidi w:val="0"/>
              <w:spacing w:before="0" w:after="283"/>
              <w:jc w:val="left"/>
              <w:rPr/>
            </w:pPr>
            <w:r>
              <w:rPr/>
              <w:t> </w:t>
            </w:r>
          </w:p>
        </w:tc>
      </w:tr>
      <w:tr>
        <w:trPr/>
        <w:tc>
          <w:tcPr>
            <w:tcW w:w="16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81"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2026</w:t>
            </w:r>
          </w:p>
        </w:tc>
        <w:tc>
          <w:tcPr>
            <w:tcW w:w="74" w:type="dxa"/>
            <w:tcBorders/>
            <w:vAlign w:val="center"/>
          </w:tcPr>
          <w:p>
            <w:pPr>
              <w:pStyle w:val="TableContents"/>
              <w:bidi w:val="0"/>
              <w:spacing w:before="0" w:after="283"/>
              <w:jc w:val="left"/>
              <w:rPr/>
            </w:pPr>
            <w:r>
              <w:rPr/>
              <w:t> </w:t>
            </w:r>
          </w:p>
        </w:tc>
        <w:tc>
          <w:tcPr>
            <w:tcW w:w="74" w:type="dxa"/>
            <w:tcBorders/>
            <w:vAlign w:val="center"/>
          </w:tcPr>
          <w:p>
            <w:pPr>
              <w:pStyle w:val="TableContents"/>
              <w:bidi w:val="0"/>
              <w:spacing w:before="0" w:after="283"/>
              <w:jc w:val="left"/>
              <w:rPr/>
            </w:pPr>
            <w:r>
              <w:rPr/>
              <w:t> </w:t>
            </w:r>
          </w:p>
        </w:tc>
        <w:tc>
          <w:tcPr>
            <w:tcW w:w="881"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2025</w:t>
            </w:r>
          </w:p>
        </w:tc>
        <w:tc>
          <w:tcPr>
            <w:tcW w:w="74" w:type="dxa"/>
            <w:tcBorders/>
            <w:vAlign w:val="center"/>
          </w:tcPr>
          <w:p>
            <w:pPr>
              <w:pStyle w:val="TableContents"/>
              <w:bidi w:val="0"/>
              <w:spacing w:before="0" w:after="283"/>
              <w:jc w:val="left"/>
              <w:rPr/>
            </w:pPr>
            <w:r>
              <w:rPr/>
              <w:t> </w:t>
            </w:r>
          </w:p>
        </w:tc>
        <w:tc>
          <w:tcPr>
            <w:tcW w:w="74" w:type="dxa"/>
            <w:tcBorders/>
            <w:vAlign w:val="center"/>
          </w:tcPr>
          <w:p>
            <w:pPr>
              <w:pStyle w:val="TableContents"/>
              <w:bidi w:val="0"/>
              <w:spacing w:before="0" w:after="283"/>
              <w:jc w:val="left"/>
              <w:rPr/>
            </w:pPr>
            <w:r>
              <w:rPr/>
              <w:t> </w:t>
            </w:r>
          </w:p>
        </w:tc>
        <w:tc>
          <w:tcPr>
            <w:tcW w:w="1559" w:type="dxa"/>
            <w:gridSpan w:val="6"/>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Change</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2"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2026</w:t>
            </w:r>
          </w:p>
        </w:tc>
        <w:tc>
          <w:tcPr>
            <w:tcW w:w="69" w:type="dxa"/>
            <w:tcBorders/>
            <w:vAlign w:val="center"/>
          </w:tcPr>
          <w:p>
            <w:pPr>
              <w:pStyle w:val="TableContents"/>
              <w:bidi w:val="0"/>
              <w:spacing w:before="0" w:after="283"/>
              <w:jc w:val="left"/>
              <w:rPr/>
            </w:pPr>
            <w:r>
              <w:rPr/>
              <w:t> </w:t>
            </w:r>
          </w:p>
        </w:tc>
        <w:tc>
          <w:tcPr>
            <w:tcW w:w="69" w:type="dxa"/>
            <w:tcBorders/>
            <w:vAlign w:val="center"/>
          </w:tcPr>
          <w:p>
            <w:pPr>
              <w:pStyle w:val="TableContents"/>
              <w:bidi w:val="0"/>
              <w:spacing w:before="0" w:after="283"/>
              <w:jc w:val="left"/>
              <w:rPr/>
            </w:pPr>
            <w:r>
              <w:rPr/>
              <w:t> </w:t>
            </w:r>
          </w:p>
        </w:tc>
        <w:tc>
          <w:tcPr>
            <w:tcW w:w="822"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2025</w:t>
            </w:r>
          </w:p>
        </w:tc>
        <w:tc>
          <w:tcPr>
            <w:tcW w:w="69" w:type="dxa"/>
            <w:tcBorders/>
            <w:vAlign w:val="center"/>
          </w:tcPr>
          <w:p>
            <w:pPr>
              <w:pStyle w:val="TableContents"/>
              <w:bidi w:val="0"/>
              <w:spacing w:before="0" w:after="283"/>
              <w:jc w:val="left"/>
              <w:rPr/>
            </w:pPr>
            <w:r>
              <w:rPr/>
              <w:t> </w:t>
            </w:r>
          </w:p>
        </w:tc>
        <w:tc>
          <w:tcPr>
            <w:tcW w:w="69" w:type="dxa"/>
            <w:tcBorders/>
            <w:vAlign w:val="center"/>
          </w:tcPr>
          <w:p>
            <w:pPr>
              <w:pStyle w:val="TableContents"/>
              <w:bidi w:val="0"/>
              <w:spacing w:before="0" w:after="283"/>
              <w:jc w:val="left"/>
              <w:rPr/>
            </w:pPr>
            <w:r>
              <w:rPr/>
              <w:t> </w:t>
            </w:r>
          </w:p>
        </w:tc>
        <w:tc>
          <w:tcPr>
            <w:tcW w:w="1454" w:type="dxa"/>
            <w:gridSpan w:val="6"/>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Change</w:t>
            </w:r>
          </w:p>
        </w:tc>
        <w:tc>
          <w:tcPr>
            <w:tcW w:w="200" w:type="dxa"/>
            <w:tcBorders/>
            <w:vAlign w:val="center"/>
          </w:tcPr>
          <w:p>
            <w:pPr>
              <w:pStyle w:val="TableContents"/>
              <w:bidi w:val="0"/>
              <w:spacing w:before="0" w:after="283"/>
              <w:jc w:val="left"/>
              <w:rPr/>
            </w:pPr>
            <w:r>
              <w:rPr/>
              <w:t> </w:t>
            </w:r>
          </w:p>
        </w:tc>
      </w:tr>
      <w:tr>
        <w:trPr/>
        <w:tc>
          <w:tcPr>
            <w:tcW w:w="16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236" w:type="dxa"/>
            <w:gridSpan w:val="30"/>
            <w:tcBorders/>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(In thousands)</w:t>
            </w:r>
          </w:p>
        </w:tc>
        <w:tc>
          <w:tcPr>
            <w:tcW w:w="200" w:type="dxa"/>
            <w:tcBorders/>
            <w:vAlign w:val="center"/>
          </w:tcPr>
          <w:p>
            <w:pPr>
              <w:pStyle w:val="TableContents"/>
              <w:bidi w:val="0"/>
              <w:spacing w:before="0" w:after="283"/>
              <w:jc w:val="left"/>
              <w:rPr/>
            </w:pPr>
            <w:r>
              <w:rPr/>
              <w:t> </w:t>
            </w:r>
          </w:p>
        </w:tc>
      </w:tr>
      <w:tr>
        <w:trPr/>
        <w:tc>
          <w:tcPr>
            <w:tcW w:w="1670" w:type="dxa"/>
            <w:tcBorders/>
            <w:shd w:fill="CCEEFF" w:val="clear"/>
            <w:vAlign w:val="center"/>
          </w:tcPr>
          <w:p>
            <w:pPr>
              <w:pStyle w:val="TableContents"/>
              <w:bidi w:val="0"/>
              <w:spacing w:lineRule="auto" w:line="300" w:before="0" w:after="0"/>
              <w:ind w:left="219" w:right="0" w:hanging="200"/>
              <w:jc w:val="left"/>
              <w:rPr>
                <w:rFonts w:ascii="Times New Roman;Times;serif" w:hAnsi="Times New Roman;Times;serif"/>
                <w:sz w:val="20"/>
              </w:rPr>
            </w:pPr>
            <w:r>
              <w:rPr>
                <w:rFonts w:ascii="Times New Roman;Times;serif" w:hAnsi="Times New Roman;Times;serif"/>
                <w:sz w:val="20"/>
              </w:rPr>
              <w:t>Sales and marketing</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727"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27,265</w:t>
            </w:r>
          </w:p>
        </w:tc>
        <w:tc>
          <w:tcPr>
            <w:tcW w:w="74"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727"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28,725</w:t>
            </w:r>
          </w:p>
        </w:tc>
        <w:tc>
          <w:tcPr>
            <w:tcW w:w="74"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72"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(1,460</w:t>
            </w:r>
          </w:p>
        </w:tc>
        <w:tc>
          <w:tcPr>
            <w:tcW w:w="98"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74"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487"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(5.1)</w:t>
            </w:r>
          </w:p>
        </w:tc>
        <w:tc>
          <w:tcPr>
            <w:tcW w:w="185"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79"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54,714</w:t>
            </w:r>
          </w:p>
        </w:tc>
        <w:tc>
          <w:tcPr>
            <w:tcW w:w="69"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79"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60,382</w:t>
            </w:r>
          </w:p>
        </w:tc>
        <w:tc>
          <w:tcPr>
            <w:tcW w:w="69"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27"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(5,668</w:t>
            </w:r>
          </w:p>
        </w:tc>
        <w:tc>
          <w:tcPr>
            <w:tcW w:w="92"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9"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454"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(9.4)</w:t>
            </w:r>
          </w:p>
        </w:tc>
        <w:tc>
          <w:tcPr>
            <w:tcW w:w="200"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lineRule="auto" w:line="300" w:before="0" w:after="0"/>
        <w:jc w:val="left"/>
        <w:rPr/>
      </w:pPr>
      <w:r>
        <w:rPr/>
        <w:t> </w:t>
      </w:r>
    </w:p>
    <w:p>
      <w:pPr>
        <w:pStyle w:val="TextBody"/>
        <w:bidi w:val="0"/>
        <w:spacing w:lineRule="auto" w:line="300" w:before="0" w:after="0"/>
        <w:ind w:left="0" w:right="0" w:firstLine="720"/>
        <w:jc w:val="both"/>
        <w:rPr>
          <w:rFonts w:ascii="Times New Roman;Times;serif" w:hAnsi="Times New Roman;Times;serif"/>
          <w:sz w:val="20"/>
        </w:rPr>
      </w:pPr>
      <w:r>
        <w:rPr>
          <w:rFonts w:ascii="Times New Roman;Times;serif" w:hAnsi="Times New Roman;Times;serif"/>
          <w:sz w:val="20"/>
        </w:rPr>
        <w:t>Sales and marketing expenses decreased by $1.5 million, or 5.1%, in the three months ended June 30, 2026, compared to the three months ended June 30, 2025, primarily due to a decrease of $1.5 million in marketing expenses.</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rFonts w:ascii="Times New Roman;Times;serif" w:hAnsi="Times New Roman;Times;serif"/>
          <w:sz w:val="20"/>
        </w:rPr>
      </w:pPr>
      <w:r>
        <w:rPr>
          <w:rFonts w:ascii="Times New Roman;Times;serif" w:hAnsi="Times New Roman;Times;serif"/>
          <w:sz w:val="20"/>
        </w:rPr>
        <w:t>Sales and marketing expenses decreased by $5.7 million, or 9.4%, in the six months ended June 30, 2026, compared to the six months ended June 30, 2025, primarily due to:</w:t>
      </w:r>
    </w:p>
    <w:p>
      <w:pPr>
        <w:pStyle w:val="TextBody"/>
        <w:bidi w:val="0"/>
        <w:spacing w:lineRule="auto" w:line="300" w:before="0" w:after="0"/>
        <w:jc w:val="left"/>
        <w:rPr/>
      </w:pPr>
      <w:r>
        <w:rPr/>
        <w:t> </w:t>
      </w:r>
    </w:p>
    <w:tbl>
      <w:tblPr>
        <w:tblW w:w="4225" w:type="dxa"/>
        <w:jc w:val="left"/>
        <w:tblInd w:w="0" w:type="dxa"/>
        <w:tblLayout w:type="fixed"/>
        <w:tblCellMar>
          <w:top w:w="0" w:type="dxa"/>
          <w:left w:w="0" w:type="dxa"/>
          <w:bottom w:w="0" w:type="dxa"/>
          <w:right w:w="0" w:type="dxa"/>
        </w:tblCellMar>
      </w:tblPr>
      <w:tblGrid>
        <w:gridCol w:w="75"/>
        <w:gridCol w:w="110"/>
        <w:gridCol w:w="404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404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 decrease of $1.9 million in marketing expenses;</w:t>
            </w:r>
          </w:p>
        </w:tc>
      </w:tr>
    </w:tbl>
    <w:p>
      <w:pPr>
        <w:pStyle w:val="TextBody"/>
        <w:bidi w:val="0"/>
        <w:spacing w:lineRule="auto" w:line="300"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1002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 decrease in personnel-related costs of $1.7 million resulting primarily from a reduction in workforce, which was partially offset by the weakening of the U.S. dollar compared to the NIS; and</w:t>
            </w:r>
          </w:p>
        </w:tc>
      </w:tr>
    </w:tbl>
    <w:p>
      <w:pPr>
        <w:pStyle w:val="TextBody"/>
        <w:bidi w:val="0"/>
        <w:spacing w:lineRule="auto" w:line="300" w:before="0" w:after="0"/>
        <w:jc w:val="left"/>
        <w:rPr/>
      </w:pPr>
      <w:r>
        <w:rPr/>
        <w:t> </w:t>
      </w:r>
    </w:p>
    <w:tbl>
      <w:tblPr>
        <w:tblW w:w="5050" w:type="dxa"/>
        <w:jc w:val="left"/>
        <w:tblInd w:w="0" w:type="dxa"/>
        <w:tblLayout w:type="fixed"/>
        <w:tblCellMar>
          <w:top w:w="0" w:type="dxa"/>
          <w:left w:w="0" w:type="dxa"/>
          <w:bottom w:w="0" w:type="dxa"/>
          <w:right w:w="0" w:type="dxa"/>
        </w:tblCellMar>
      </w:tblPr>
      <w:tblGrid>
        <w:gridCol w:w="75"/>
        <w:gridCol w:w="110"/>
        <w:gridCol w:w="486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486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 decrease in depreciation and amortization of $0.7 million.</w:t>
            </w:r>
          </w:p>
        </w:tc>
      </w:tr>
    </w:tbl>
    <w:p>
      <w:pPr>
        <w:pStyle w:val="TextBody"/>
        <w:bidi w:val="0"/>
        <w:spacing w:lineRule="auto" w:line="300"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SOLAREDGE TECHNOLOGIES INC. | 2026 Form 10-Q | 13</w:t>
      </w:r>
    </w:p>
    <w:p>
      <w:pPr>
        <w:pStyle w:val="HorizontalLine"/>
        <w:bidi w:val="0"/>
        <w:spacing w:lineRule="auto" w:line="300" w:before="200" w:after="200"/>
        <w:jc w:val="left"/>
        <w:rPr/>
      </w:pPr>
      <w:r>
        <w:rPr/>
      </w:r>
    </w:p>
    <w:p>
      <w:pPr>
        <w:pStyle w:val="TextBody"/>
        <w:bidi w:val="0"/>
        <w:spacing w:lineRule="auto" w:line="300" w:before="0" w:after="0"/>
        <w:jc w:val="left"/>
        <w:rPr/>
      </w:pPr>
      <w:r>
        <w:rPr/>
        <w:t> </w:t>
      </w:r>
    </w:p>
    <w:p>
      <w:pPr>
        <w:pStyle w:val="TextBody"/>
        <w:bidi w:val="0"/>
        <w:spacing w:lineRule="auto" w:line="300" w:before="0" w:after="0"/>
        <w:jc w:val="left"/>
        <w:rPr>
          <w:rFonts w:ascii="Times New Roman;Times;serif" w:hAnsi="Times New Roman;Times;serif"/>
          <w:b/>
          <w:sz w:val="20"/>
        </w:rPr>
      </w:pPr>
      <w:r>
        <w:rPr>
          <w:rFonts w:ascii="Times New Roman;Times;serif" w:hAnsi="Times New Roman;Times;serif"/>
          <w:b/>
          <w:sz w:val="20"/>
        </w:rPr>
        <w:t>General and Administrative</w:t>
      </w:r>
    </w:p>
    <w:p>
      <w:pPr>
        <w:pStyle w:val="TextBody"/>
        <w:bidi w:val="0"/>
        <w:spacing w:lineRule="auto" w:line="300" w:before="0" w:after="0"/>
        <w:jc w:val="left"/>
        <w:rPr/>
      </w:pPr>
      <w:r>
        <w:rPr/>
        <w:t> </w:t>
      </w:r>
    </w:p>
    <w:tbl>
      <w:tblPr>
        <w:tblW w:w="9717" w:type="dxa"/>
        <w:jc w:val="left"/>
        <w:tblInd w:w="0" w:type="dxa"/>
        <w:tblLayout w:type="fixed"/>
        <w:tblCellMar>
          <w:top w:w="0" w:type="dxa"/>
          <w:left w:w="0" w:type="dxa"/>
          <w:bottom w:w="0" w:type="dxa"/>
          <w:right w:w="0" w:type="dxa"/>
        </w:tblCellMar>
      </w:tblPr>
      <w:tblGrid>
        <w:gridCol w:w="2225"/>
        <w:gridCol w:w="60"/>
        <w:gridCol w:w="159"/>
        <w:gridCol w:w="752"/>
        <w:gridCol w:w="76"/>
        <w:gridCol w:w="76"/>
        <w:gridCol w:w="159"/>
        <w:gridCol w:w="752"/>
        <w:gridCol w:w="76"/>
        <w:gridCol w:w="76"/>
        <w:gridCol w:w="159"/>
        <w:gridCol w:w="618"/>
        <w:gridCol w:w="76"/>
        <w:gridCol w:w="76"/>
        <w:gridCol w:w="76"/>
        <w:gridCol w:w="484"/>
        <w:gridCol w:w="185"/>
        <w:gridCol w:w="60"/>
        <w:gridCol w:w="143"/>
        <w:gridCol w:w="677"/>
        <w:gridCol w:w="68"/>
        <w:gridCol w:w="68"/>
        <w:gridCol w:w="143"/>
        <w:gridCol w:w="677"/>
        <w:gridCol w:w="68"/>
        <w:gridCol w:w="68"/>
        <w:gridCol w:w="143"/>
        <w:gridCol w:w="677"/>
        <w:gridCol w:w="68"/>
        <w:gridCol w:w="68"/>
        <w:gridCol w:w="68"/>
        <w:gridCol w:w="436"/>
        <w:gridCol w:w="200"/>
      </w:tblGrid>
      <w:tr>
        <w:trPr/>
        <w:tc>
          <w:tcPr>
            <w:tcW w:w="22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615" w:type="dxa"/>
            <w:gridSpan w:val="14"/>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Three months ended June 30, 2026 to 2025</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372" w:type="dxa"/>
            <w:gridSpan w:val="14"/>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Six months ended June 30, 2026 to 2025</w:t>
            </w:r>
          </w:p>
        </w:tc>
        <w:tc>
          <w:tcPr>
            <w:tcW w:w="200" w:type="dxa"/>
            <w:tcBorders/>
            <w:vAlign w:val="center"/>
          </w:tcPr>
          <w:p>
            <w:pPr>
              <w:pStyle w:val="TableContents"/>
              <w:bidi w:val="0"/>
              <w:spacing w:before="0" w:after="283"/>
              <w:jc w:val="left"/>
              <w:rPr/>
            </w:pPr>
            <w:r>
              <w:rPr/>
              <w:t> </w:t>
            </w:r>
          </w:p>
        </w:tc>
      </w:tr>
      <w:tr>
        <w:trPr/>
        <w:tc>
          <w:tcPr>
            <w:tcW w:w="22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11"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2026</w:t>
            </w:r>
          </w:p>
        </w:tc>
        <w:tc>
          <w:tcPr>
            <w:tcW w:w="76"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c>
          <w:tcPr>
            <w:tcW w:w="911"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2025</w:t>
            </w:r>
          </w:p>
        </w:tc>
        <w:tc>
          <w:tcPr>
            <w:tcW w:w="76"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c>
          <w:tcPr>
            <w:tcW w:w="1489" w:type="dxa"/>
            <w:gridSpan w:val="6"/>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Change</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0"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2026</w:t>
            </w:r>
          </w:p>
        </w:tc>
        <w:tc>
          <w:tcPr>
            <w:tcW w:w="68" w:type="dxa"/>
            <w:tcBorders/>
            <w:vAlign w:val="center"/>
          </w:tcPr>
          <w:p>
            <w:pPr>
              <w:pStyle w:val="TableContents"/>
              <w:bidi w:val="0"/>
              <w:spacing w:before="0" w:after="283"/>
              <w:jc w:val="left"/>
              <w:rPr/>
            </w:pPr>
            <w:r>
              <w:rPr/>
              <w:t> </w:t>
            </w:r>
          </w:p>
        </w:tc>
        <w:tc>
          <w:tcPr>
            <w:tcW w:w="68" w:type="dxa"/>
            <w:tcBorders/>
            <w:vAlign w:val="center"/>
          </w:tcPr>
          <w:p>
            <w:pPr>
              <w:pStyle w:val="TableContents"/>
              <w:bidi w:val="0"/>
              <w:spacing w:before="0" w:after="283"/>
              <w:jc w:val="left"/>
              <w:rPr/>
            </w:pPr>
            <w:r>
              <w:rPr/>
              <w:t> </w:t>
            </w:r>
          </w:p>
        </w:tc>
        <w:tc>
          <w:tcPr>
            <w:tcW w:w="820"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2025</w:t>
            </w:r>
          </w:p>
        </w:tc>
        <w:tc>
          <w:tcPr>
            <w:tcW w:w="68" w:type="dxa"/>
            <w:tcBorders/>
            <w:vAlign w:val="center"/>
          </w:tcPr>
          <w:p>
            <w:pPr>
              <w:pStyle w:val="TableContents"/>
              <w:bidi w:val="0"/>
              <w:spacing w:before="0" w:after="283"/>
              <w:jc w:val="left"/>
              <w:rPr/>
            </w:pPr>
            <w:r>
              <w:rPr/>
              <w:t> </w:t>
            </w:r>
          </w:p>
        </w:tc>
        <w:tc>
          <w:tcPr>
            <w:tcW w:w="68" w:type="dxa"/>
            <w:tcBorders/>
            <w:vAlign w:val="center"/>
          </w:tcPr>
          <w:p>
            <w:pPr>
              <w:pStyle w:val="TableContents"/>
              <w:bidi w:val="0"/>
              <w:spacing w:before="0" w:after="283"/>
              <w:jc w:val="left"/>
              <w:rPr/>
            </w:pPr>
            <w:r>
              <w:rPr/>
              <w:t> </w:t>
            </w:r>
          </w:p>
        </w:tc>
        <w:tc>
          <w:tcPr>
            <w:tcW w:w="1460" w:type="dxa"/>
            <w:gridSpan w:val="6"/>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Change</w:t>
            </w:r>
          </w:p>
        </w:tc>
        <w:tc>
          <w:tcPr>
            <w:tcW w:w="200" w:type="dxa"/>
            <w:tcBorders/>
            <w:vAlign w:val="center"/>
          </w:tcPr>
          <w:p>
            <w:pPr>
              <w:pStyle w:val="TableContents"/>
              <w:bidi w:val="0"/>
              <w:spacing w:before="0" w:after="283"/>
              <w:jc w:val="left"/>
              <w:rPr/>
            </w:pPr>
            <w:r>
              <w:rPr/>
              <w:t> </w:t>
            </w:r>
          </w:p>
        </w:tc>
      </w:tr>
      <w:tr>
        <w:trPr/>
        <w:tc>
          <w:tcPr>
            <w:tcW w:w="22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232" w:type="dxa"/>
            <w:gridSpan w:val="30"/>
            <w:tcBorders/>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(In thousands)</w:t>
            </w:r>
          </w:p>
        </w:tc>
        <w:tc>
          <w:tcPr>
            <w:tcW w:w="200" w:type="dxa"/>
            <w:tcBorders/>
            <w:vAlign w:val="center"/>
          </w:tcPr>
          <w:p>
            <w:pPr>
              <w:pStyle w:val="TableContents"/>
              <w:bidi w:val="0"/>
              <w:spacing w:before="0" w:after="283"/>
              <w:jc w:val="left"/>
              <w:rPr/>
            </w:pPr>
            <w:r>
              <w:rPr/>
              <w:t> </w:t>
            </w:r>
          </w:p>
        </w:tc>
      </w:tr>
      <w:tr>
        <w:trPr/>
        <w:tc>
          <w:tcPr>
            <w:tcW w:w="2225"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General and administrative</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752"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24,539</w:t>
            </w:r>
          </w:p>
        </w:tc>
        <w:tc>
          <w:tcPr>
            <w:tcW w:w="76"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752"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19,789</w:t>
            </w:r>
          </w:p>
        </w:tc>
        <w:tc>
          <w:tcPr>
            <w:tcW w:w="76"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18"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4,750</w:t>
            </w:r>
          </w:p>
        </w:tc>
        <w:tc>
          <w:tcPr>
            <w:tcW w:w="76"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484"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24.0</w:t>
            </w:r>
          </w:p>
        </w:tc>
        <w:tc>
          <w:tcPr>
            <w:tcW w:w="185"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77"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60,961</w:t>
            </w:r>
          </w:p>
        </w:tc>
        <w:tc>
          <w:tcPr>
            <w:tcW w:w="68"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77"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49,972</w:t>
            </w:r>
          </w:p>
        </w:tc>
        <w:tc>
          <w:tcPr>
            <w:tcW w:w="68"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77"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10,989</w:t>
            </w:r>
          </w:p>
        </w:tc>
        <w:tc>
          <w:tcPr>
            <w:tcW w:w="68"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436"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22.0</w:t>
            </w:r>
          </w:p>
        </w:tc>
        <w:tc>
          <w:tcPr>
            <w:tcW w:w="200"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lineRule="auto" w:line="300" w:before="0" w:after="0"/>
        <w:jc w:val="left"/>
        <w:rPr/>
      </w:pPr>
      <w:r>
        <w:rPr/>
        <w:t> </w:t>
      </w:r>
    </w:p>
    <w:p>
      <w:pPr>
        <w:pStyle w:val="TextBody"/>
        <w:bidi w:val="0"/>
        <w:spacing w:lineRule="auto" w:line="300" w:before="0" w:after="0"/>
        <w:ind w:left="0" w:right="0" w:firstLine="720"/>
        <w:jc w:val="both"/>
        <w:rPr>
          <w:rFonts w:ascii="Times New Roman;Times;serif" w:hAnsi="Times New Roman;Times;serif"/>
          <w:sz w:val="20"/>
        </w:rPr>
      </w:pPr>
      <w:r>
        <w:rPr>
          <w:rFonts w:ascii="Times New Roman;Times;serif" w:hAnsi="Times New Roman;Times;serif"/>
          <w:sz w:val="20"/>
        </w:rPr>
        <w:t>General and administrative expenses increased by $4.8 million, or 24.0%, in the three months ended June 30, 2026 compared to the three months ended June 30, 2025, primarily due to:</w:t>
      </w:r>
    </w:p>
    <w:p>
      <w:pPr>
        <w:pStyle w:val="TextBody"/>
        <w:bidi w:val="0"/>
        <w:spacing w:lineRule="auto" w:line="300"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1002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 decrease in net reversal of doubtful debt expenses of $9.2 million in the three months ended June 30, 2026 compared to the three months ended June 30, 2025 mainly related to collection of doubtful debts; and</w:t>
            </w:r>
          </w:p>
        </w:tc>
      </w:tr>
    </w:tbl>
    <w:p>
      <w:pPr>
        <w:pStyle w:val="TextBody"/>
        <w:bidi w:val="0"/>
        <w:spacing w:lineRule="auto" w:line="300"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1002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an increase in personnel-related costs of $4.1 million resulting mainly from an increase in salary expenses associated with employee stock-based compensation, as well as the weakening of the U.S. dollar against the NIS.</w:t>
            </w:r>
          </w:p>
        </w:tc>
      </w:tr>
    </w:tbl>
    <w:p>
      <w:pPr>
        <w:pStyle w:val="TextBody"/>
        <w:bidi w:val="0"/>
        <w:spacing w:lineRule="auto" w:line="300" w:before="0" w:after="0"/>
        <w:jc w:val="left"/>
        <w:rPr/>
      </w:pPr>
      <w:r>
        <w:rPr/>
        <w:t> </w:t>
      </w:r>
    </w:p>
    <w:p>
      <w:pPr>
        <w:pStyle w:val="TextBody"/>
        <w:bidi w:val="0"/>
        <w:spacing w:lineRule="auto" w:line="300" w:before="0" w:after="0"/>
        <w:ind w:left="0" w:right="0" w:firstLine="720"/>
        <w:jc w:val="both"/>
        <w:rPr>
          <w:rFonts w:ascii="Times New Roman;Times;serif" w:hAnsi="Times New Roman;Times;serif"/>
          <w:sz w:val="20"/>
        </w:rPr>
      </w:pPr>
      <w:r>
        <w:rPr>
          <w:rFonts w:ascii="Times New Roman;Times;serif" w:hAnsi="Times New Roman;Times;serif"/>
          <w:sz w:val="20"/>
        </w:rPr>
        <w:t>These were partially offset by lower expenses related to potential legal claims, which decreased by $8.3 million compared to the prior-year period.</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rFonts w:ascii="Times New Roman;Times;serif" w:hAnsi="Times New Roman;Times;serif"/>
          <w:sz w:val="20"/>
        </w:rPr>
      </w:pPr>
      <w:r>
        <w:rPr>
          <w:rFonts w:ascii="Times New Roman;Times;serif" w:hAnsi="Times New Roman;Times;serif"/>
          <w:sz w:val="20"/>
        </w:rPr>
        <w:t>General and administrative expenses increased by $11.0 million, or 22.0%, in the six months ended June 30, 2026, compared to the six months ended June 30, 2025, primarily due to the recognition of doubtful debt expense of $11.1 million during the six months ended June 30, 2026, compared to a net reversal of $18.1 million, during the six months ended June 30, 2025, mainly resulting from collections of accounts previously considered doubtful.</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rFonts w:ascii="Times New Roman;Times;serif" w:hAnsi="Times New Roman;Times;serif"/>
          <w:sz w:val="20"/>
        </w:rPr>
      </w:pPr>
      <w:r>
        <w:rPr>
          <w:rFonts w:ascii="Times New Roman;Times;serif" w:hAnsi="Times New Roman;Times;serif"/>
          <w:sz w:val="20"/>
        </w:rPr>
        <w:t>This was partially offset by:</w:t>
      </w:r>
    </w:p>
    <w:p>
      <w:pPr>
        <w:pStyle w:val="TextBody"/>
        <w:bidi w:val="0"/>
        <w:spacing w:lineRule="auto" w:line="300" w:before="0" w:after="0"/>
        <w:jc w:val="left"/>
        <w:rPr/>
      </w:pPr>
      <w:r>
        <w:rPr/>
        <w:t> </w:t>
      </w:r>
    </w:p>
    <w:tbl>
      <w:tblPr>
        <w:tblW w:w="9070" w:type="dxa"/>
        <w:jc w:val="left"/>
        <w:tblInd w:w="0" w:type="dxa"/>
        <w:tblLayout w:type="fixed"/>
        <w:tblCellMar>
          <w:top w:w="0" w:type="dxa"/>
          <w:left w:w="0" w:type="dxa"/>
          <w:bottom w:w="0" w:type="dxa"/>
          <w:right w:w="0" w:type="dxa"/>
        </w:tblCellMar>
      </w:tblPr>
      <w:tblGrid>
        <w:gridCol w:w="75"/>
        <w:gridCol w:w="110"/>
        <w:gridCol w:w="888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888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 decrease of $8.5 million in expenses related to potential legal claims compared to the prior-year period; and</w:t>
            </w:r>
          </w:p>
        </w:tc>
      </w:tr>
    </w:tbl>
    <w:p>
      <w:pPr>
        <w:pStyle w:val="TextBody"/>
        <w:bidi w:val="0"/>
        <w:spacing w:lineRule="auto" w:line="300"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10020" w:type="dxa"/>
            <w:tcBorders/>
            <w:vAlign w:val="center"/>
          </w:tcPr>
          <w:p>
            <w:pPr>
              <w:pStyle w:val="TableContents"/>
              <w:bidi w:val="0"/>
              <w:spacing w:before="0" w:after="0"/>
              <w:jc w:val="both"/>
              <w:rPr/>
            </w:pPr>
            <w:r>
              <w:rPr>
                <w:rFonts w:ascii="Times New Roman;Times;serif" w:hAnsi="Times New Roman;Times;serif"/>
                <w:sz w:val="20"/>
              </w:rPr>
              <w:t>a</w:t>
            </w:r>
            <w:r>
              <w:rPr/>
              <w:t> </w:t>
            </w:r>
            <w:r>
              <w:rPr>
                <w:sz w:val="20"/>
              </w:rPr>
              <w:t>decrease of $8.1 million due to a penalty recognized in the prior-year period related to the postponement of the commencement of our campus lease agreement.</w:t>
            </w:r>
          </w:p>
        </w:tc>
      </w:tr>
    </w:tbl>
    <w:p>
      <w:pPr>
        <w:pStyle w:val="TextBody"/>
        <w:bidi w:val="0"/>
        <w:spacing w:lineRule="auto" w:line="300" w:before="0" w:after="0"/>
        <w:jc w:val="left"/>
        <w:rPr/>
      </w:pPr>
      <w:r>
        <w:rPr/>
        <w:t> </w:t>
      </w:r>
    </w:p>
    <w:p>
      <w:pPr>
        <w:pStyle w:val="TextBody"/>
        <w:bidi w:val="0"/>
        <w:spacing w:lineRule="auto" w:line="300" w:before="0" w:after="0"/>
        <w:jc w:val="left"/>
        <w:rPr>
          <w:rFonts w:ascii="Times New Roman;Times;serif" w:hAnsi="Times New Roman;Times;serif"/>
          <w:b/>
          <w:sz w:val="20"/>
        </w:rPr>
      </w:pPr>
      <w:r>
        <w:rPr>
          <w:rFonts w:ascii="Times New Roman;Times;serif" w:hAnsi="Times New Roman;Times;serif"/>
          <w:b/>
          <w:sz w:val="20"/>
        </w:rPr>
        <w:t>Other operating expense, net</w:t>
      </w:r>
    </w:p>
    <w:p>
      <w:pPr>
        <w:pStyle w:val="TextBody"/>
        <w:bidi w:val="0"/>
        <w:spacing w:lineRule="auto" w:line="300" w:before="0" w:after="0"/>
        <w:jc w:val="left"/>
        <w:rPr/>
      </w:pPr>
      <w:r>
        <w:rPr/>
        <w:t> </w:t>
      </w:r>
    </w:p>
    <w:tbl>
      <w:tblPr>
        <w:tblW w:w="9852" w:type="dxa"/>
        <w:jc w:val="left"/>
        <w:tblInd w:w="0" w:type="dxa"/>
        <w:tblLayout w:type="fixed"/>
        <w:tblCellMar>
          <w:top w:w="0" w:type="dxa"/>
          <w:left w:w="0" w:type="dxa"/>
          <w:bottom w:w="0" w:type="dxa"/>
          <w:right w:w="0" w:type="dxa"/>
        </w:tblCellMar>
      </w:tblPr>
      <w:tblGrid>
        <w:gridCol w:w="2360"/>
        <w:gridCol w:w="60"/>
        <w:gridCol w:w="148"/>
        <w:gridCol w:w="577"/>
        <w:gridCol w:w="71"/>
        <w:gridCol w:w="71"/>
        <w:gridCol w:w="148"/>
        <w:gridCol w:w="702"/>
        <w:gridCol w:w="71"/>
        <w:gridCol w:w="71"/>
        <w:gridCol w:w="148"/>
        <w:gridCol w:w="774"/>
        <w:gridCol w:w="95"/>
        <w:gridCol w:w="71"/>
        <w:gridCol w:w="71"/>
        <w:gridCol w:w="595"/>
        <w:gridCol w:w="185"/>
        <w:gridCol w:w="60"/>
        <w:gridCol w:w="134"/>
        <w:gridCol w:w="634"/>
        <w:gridCol w:w="64"/>
        <w:gridCol w:w="64"/>
        <w:gridCol w:w="134"/>
        <w:gridCol w:w="634"/>
        <w:gridCol w:w="64"/>
        <w:gridCol w:w="64"/>
        <w:gridCol w:w="134"/>
        <w:gridCol w:w="698"/>
        <w:gridCol w:w="85"/>
        <w:gridCol w:w="64"/>
        <w:gridCol w:w="64"/>
        <w:gridCol w:w="537"/>
        <w:gridCol w:w="200"/>
      </w:tblGrid>
      <w:tr>
        <w:trPr/>
        <w:tc>
          <w:tcPr>
            <w:tcW w:w="23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613" w:type="dxa"/>
            <w:gridSpan w:val="14"/>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Three months ended June 30, 2026 to 2025</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374" w:type="dxa"/>
            <w:gridSpan w:val="14"/>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Six months ended June 30, 2026 to 2025</w:t>
            </w:r>
          </w:p>
        </w:tc>
        <w:tc>
          <w:tcPr>
            <w:tcW w:w="200" w:type="dxa"/>
            <w:tcBorders/>
            <w:vAlign w:val="center"/>
          </w:tcPr>
          <w:p>
            <w:pPr>
              <w:pStyle w:val="TableContents"/>
              <w:bidi w:val="0"/>
              <w:spacing w:before="0" w:after="283"/>
              <w:jc w:val="left"/>
              <w:rPr/>
            </w:pPr>
            <w:r>
              <w:rPr/>
              <w:t> </w:t>
            </w:r>
          </w:p>
        </w:tc>
      </w:tr>
      <w:tr>
        <w:trPr/>
        <w:tc>
          <w:tcPr>
            <w:tcW w:w="23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25"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2026</w:t>
            </w:r>
          </w:p>
        </w:tc>
        <w:tc>
          <w:tcPr>
            <w:tcW w:w="71" w:type="dxa"/>
            <w:tcBorders/>
            <w:vAlign w:val="center"/>
          </w:tcPr>
          <w:p>
            <w:pPr>
              <w:pStyle w:val="TableContents"/>
              <w:bidi w:val="0"/>
              <w:spacing w:before="0" w:after="283"/>
              <w:jc w:val="left"/>
              <w:rPr/>
            </w:pPr>
            <w:r>
              <w:rPr/>
              <w:t> </w:t>
            </w:r>
          </w:p>
        </w:tc>
        <w:tc>
          <w:tcPr>
            <w:tcW w:w="71" w:type="dxa"/>
            <w:tcBorders/>
            <w:vAlign w:val="center"/>
          </w:tcPr>
          <w:p>
            <w:pPr>
              <w:pStyle w:val="TableContents"/>
              <w:bidi w:val="0"/>
              <w:spacing w:before="0" w:after="283"/>
              <w:jc w:val="left"/>
              <w:rPr/>
            </w:pPr>
            <w:r>
              <w:rPr/>
              <w:t> </w:t>
            </w:r>
          </w:p>
        </w:tc>
        <w:tc>
          <w:tcPr>
            <w:tcW w:w="850"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2025</w:t>
            </w:r>
          </w:p>
        </w:tc>
        <w:tc>
          <w:tcPr>
            <w:tcW w:w="71" w:type="dxa"/>
            <w:tcBorders/>
            <w:vAlign w:val="center"/>
          </w:tcPr>
          <w:p>
            <w:pPr>
              <w:pStyle w:val="TableContents"/>
              <w:bidi w:val="0"/>
              <w:spacing w:before="0" w:after="283"/>
              <w:jc w:val="left"/>
              <w:rPr/>
            </w:pPr>
            <w:r>
              <w:rPr/>
              <w:t> </w:t>
            </w:r>
          </w:p>
        </w:tc>
        <w:tc>
          <w:tcPr>
            <w:tcW w:w="71" w:type="dxa"/>
            <w:tcBorders/>
            <w:vAlign w:val="center"/>
          </w:tcPr>
          <w:p>
            <w:pPr>
              <w:pStyle w:val="TableContents"/>
              <w:bidi w:val="0"/>
              <w:spacing w:before="0" w:after="283"/>
              <w:jc w:val="left"/>
              <w:rPr/>
            </w:pPr>
            <w:r>
              <w:rPr/>
              <w:t> </w:t>
            </w:r>
          </w:p>
        </w:tc>
        <w:tc>
          <w:tcPr>
            <w:tcW w:w="1754" w:type="dxa"/>
            <w:gridSpan w:val="6"/>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Change</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68"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2026</w:t>
            </w:r>
          </w:p>
        </w:tc>
        <w:tc>
          <w:tcPr>
            <w:tcW w:w="64" w:type="dxa"/>
            <w:tcBorders/>
            <w:vAlign w:val="center"/>
          </w:tcPr>
          <w:p>
            <w:pPr>
              <w:pStyle w:val="TableContents"/>
              <w:bidi w:val="0"/>
              <w:spacing w:before="0" w:after="283"/>
              <w:jc w:val="left"/>
              <w:rPr/>
            </w:pPr>
            <w:r>
              <w:rPr/>
              <w:t> </w:t>
            </w:r>
          </w:p>
        </w:tc>
        <w:tc>
          <w:tcPr>
            <w:tcW w:w="64" w:type="dxa"/>
            <w:tcBorders/>
            <w:vAlign w:val="center"/>
          </w:tcPr>
          <w:p>
            <w:pPr>
              <w:pStyle w:val="TableContents"/>
              <w:bidi w:val="0"/>
              <w:spacing w:before="0" w:after="283"/>
              <w:jc w:val="left"/>
              <w:rPr/>
            </w:pPr>
            <w:r>
              <w:rPr/>
              <w:t> </w:t>
            </w:r>
          </w:p>
        </w:tc>
        <w:tc>
          <w:tcPr>
            <w:tcW w:w="768"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2025</w:t>
            </w:r>
          </w:p>
        </w:tc>
        <w:tc>
          <w:tcPr>
            <w:tcW w:w="64" w:type="dxa"/>
            <w:tcBorders/>
            <w:vAlign w:val="center"/>
          </w:tcPr>
          <w:p>
            <w:pPr>
              <w:pStyle w:val="TableContents"/>
              <w:bidi w:val="0"/>
              <w:spacing w:before="0" w:after="283"/>
              <w:jc w:val="left"/>
              <w:rPr/>
            </w:pPr>
            <w:r>
              <w:rPr/>
              <w:t> </w:t>
            </w:r>
          </w:p>
        </w:tc>
        <w:tc>
          <w:tcPr>
            <w:tcW w:w="64" w:type="dxa"/>
            <w:tcBorders/>
            <w:vAlign w:val="center"/>
          </w:tcPr>
          <w:p>
            <w:pPr>
              <w:pStyle w:val="TableContents"/>
              <w:bidi w:val="0"/>
              <w:spacing w:before="0" w:after="283"/>
              <w:jc w:val="left"/>
              <w:rPr/>
            </w:pPr>
            <w:r>
              <w:rPr/>
              <w:t> </w:t>
            </w:r>
          </w:p>
        </w:tc>
        <w:tc>
          <w:tcPr>
            <w:tcW w:w="1582" w:type="dxa"/>
            <w:gridSpan w:val="6"/>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Change</w:t>
            </w:r>
          </w:p>
        </w:tc>
        <w:tc>
          <w:tcPr>
            <w:tcW w:w="200" w:type="dxa"/>
            <w:tcBorders/>
            <w:vAlign w:val="center"/>
          </w:tcPr>
          <w:p>
            <w:pPr>
              <w:pStyle w:val="TableContents"/>
              <w:bidi w:val="0"/>
              <w:spacing w:before="0" w:after="283"/>
              <w:jc w:val="left"/>
              <w:rPr/>
            </w:pPr>
            <w:r>
              <w:rPr/>
              <w:t> </w:t>
            </w:r>
          </w:p>
        </w:tc>
      </w:tr>
      <w:tr>
        <w:trPr/>
        <w:tc>
          <w:tcPr>
            <w:tcW w:w="23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232" w:type="dxa"/>
            <w:gridSpan w:val="30"/>
            <w:tcBorders/>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(In thousands)</w:t>
            </w:r>
          </w:p>
        </w:tc>
        <w:tc>
          <w:tcPr>
            <w:tcW w:w="200" w:type="dxa"/>
            <w:tcBorders/>
            <w:vAlign w:val="center"/>
          </w:tcPr>
          <w:p>
            <w:pPr>
              <w:pStyle w:val="TableContents"/>
              <w:bidi w:val="0"/>
              <w:spacing w:before="0" w:after="283"/>
              <w:jc w:val="left"/>
              <w:rPr/>
            </w:pPr>
            <w:r>
              <w:rPr/>
              <w:t> </w:t>
            </w:r>
          </w:p>
        </w:tc>
      </w:tr>
      <w:tr>
        <w:trPr/>
        <w:tc>
          <w:tcPr>
            <w:tcW w:w="2360"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Other operating expense, net</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577"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6,643</w:t>
            </w:r>
          </w:p>
        </w:tc>
        <w:tc>
          <w:tcPr>
            <w:tcW w:w="71"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702"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45,724</w:t>
            </w:r>
          </w:p>
        </w:tc>
        <w:tc>
          <w:tcPr>
            <w:tcW w:w="71"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774"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(39,081</w:t>
            </w:r>
          </w:p>
        </w:tc>
        <w:tc>
          <w:tcPr>
            <w:tcW w:w="95"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71"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595"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(85.5)</w:t>
            </w:r>
          </w:p>
        </w:tc>
        <w:tc>
          <w:tcPr>
            <w:tcW w:w="185"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34"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34"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15,941</w:t>
            </w:r>
          </w:p>
        </w:tc>
        <w:tc>
          <w:tcPr>
            <w:tcW w:w="64"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34"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34"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42,149</w:t>
            </w:r>
          </w:p>
        </w:tc>
        <w:tc>
          <w:tcPr>
            <w:tcW w:w="64"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34"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98"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(26,208</w:t>
            </w:r>
          </w:p>
        </w:tc>
        <w:tc>
          <w:tcPr>
            <w:tcW w:w="85"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4"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537"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(62.2)</w:t>
            </w:r>
          </w:p>
        </w:tc>
        <w:tc>
          <w:tcPr>
            <w:tcW w:w="200"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lineRule="auto" w:line="300" w:before="0" w:after="0"/>
        <w:jc w:val="left"/>
        <w:rPr/>
      </w:pPr>
      <w:r>
        <w:rPr/>
        <w:t> </w:t>
      </w:r>
    </w:p>
    <w:p>
      <w:pPr>
        <w:pStyle w:val="TextBody"/>
        <w:bidi w:val="0"/>
        <w:spacing w:lineRule="auto" w:line="300" w:before="0" w:after="0"/>
        <w:ind w:left="0" w:right="0" w:firstLine="720"/>
        <w:jc w:val="both"/>
        <w:rPr>
          <w:rFonts w:ascii="Times New Roman;Times;serif" w:hAnsi="Times New Roman;Times;serif"/>
          <w:sz w:val="20"/>
        </w:rPr>
      </w:pPr>
      <w:r>
        <w:rPr>
          <w:rFonts w:ascii="Times New Roman;Times;serif" w:hAnsi="Times New Roman;Times;serif"/>
          <w:sz w:val="20"/>
        </w:rPr>
        <w:t>Other operating expenses, net, decreased by $39.1 million in the three months ended June 30, 2026, compared to the three months ended June 30, 2025, primarily due to:</w:t>
      </w:r>
    </w:p>
    <w:p>
      <w:pPr>
        <w:pStyle w:val="TextBody"/>
        <w:bidi w:val="0"/>
        <w:spacing w:lineRule="auto" w:line="300"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1002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 decrease of $36.7 million as the prior-year period included an impairment related to an asset classified as held-for-sale; and</w:t>
            </w:r>
          </w:p>
        </w:tc>
      </w:tr>
    </w:tbl>
    <w:p>
      <w:pPr>
        <w:pStyle w:val="TextBody"/>
        <w:bidi w:val="0"/>
        <w:spacing w:lineRule="auto" w:line="300" w:before="0" w:after="0"/>
        <w:jc w:val="left"/>
        <w:rPr/>
      </w:pPr>
      <w:r>
        <w:rPr/>
        <w:t> </w:t>
      </w:r>
    </w:p>
    <w:tbl>
      <w:tblPr>
        <w:tblW w:w="8125" w:type="dxa"/>
        <w:jc w:val="left"/>
        <w:tblInd w:w="0" w:type="dxa"/>
        <w:tblLayout w:type="fixed"/>
        <w:tblCellMar>
          <w:top w:w="0" w:type="dxa"/>
          <w:left w:w="0" w:type="dxa"/>
          <w:bottom w:w="0" w:type="dxa"/>
          <w:right w:w="0" w:type="dxa"/>
        </w:tblCellMar>
      </w:tblPr>
      <w:tblGrid>
        <w:gridCol w:w="75"/>
        <w:gridCol w:w="110"/>
        <w:gridCol w:w="794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7940" w:type="dxa"/>
            <w:tcBorders/>
            <w:vAlign w:val="center"/>
          </w:tcPr>
          <w:p>
            <w:pPr>
              <w:pStyle w:val="TableContents"/>
              <w:bidi w:val="0"/>
              <w:jc w:val="both"/>
              <w:rPr/>
            </w:pPr>
            <w:r>
              <w:rPr>
                <w:rFonts w:ascii="Times New Roman;Times;serif" w:hAnsi="Times New Roman;Times;serif"/>
                <w:sz w:val="20"/>
              </w:rPr>
              <w:t>a </w:t>
            </w:r>
            <w:r>
              <w:rPr>
                <w:sz w:val="20"/>
              </w:rPr>
              <w:t>decrease of $17.9 million as the prior-year period included a sale of the PV tracker business line.</w:t>
            </w:r>
          </w:p>
          <w:p>
            <w:pPr>
              <w:pStyle w:val="TableContents"/>
              <w:bidi w:val="0"/>
              <w:spacing w:before="0" w:after="0"/>
              <w:jc w:val="both"/>
              <w:rPr/>
            </w:pPr>
            <w:r>
              <w:rPr/>
              <w:t> </w:t>
            </w:r>
          </w:p>
        </w:tc>
      </w:tr>
    </w:tbl>
    <w:p>
      <w:pPr>
        <w:pStyle w:val="TextBody"/>
        <w:bidi w:val="0"/>
        <w:spacing w:lineRule="auto" w:line="300" w:before="0" w:after="0"/>
        <w:jc w:val="left"/>
        <w:rPr/>
      </w:pPr>
      <w:r>
        <w:rPr/>
        <w:t> </w:t>
      </w:r>
    </w:p>
    <w:p>
      <w:pPr>
        <w:pStyle w:val="TextBody"/>
        <w:bidi w:val="0"/>
        <w:spacing w:lineRule="auto" w:line="300" w:before="0" w:after="0"/>
        <w:ind w:left="0" w:right="0" w:firstLine="720"/>
        <w:jc w:val="both"/>
        <w:rPr>
          <w:rFonts w:ascii="Times New Roman;Times;serif" w:hAnsi="Times New Roman;Times;serif"/>
          <w:sz w:val="20"/>
        </w:rPr>
      </w:pPr>
      <w:r>
        <w:rPr>
          <w:rFonts w:ascii="Times New Roman;Times;serif" w:hAnsi="Times New Roman;Times;serif"/>
          <w:sz w:val="20"/>
        </w:rPr>
        <w:t>These were partially offset by an increase related to $6.7 million losses from sale and disposal of property, plant and equipment for the three months ended June 30, 2026, compared to $10.0 million related to gains recognized from sale of property, plant, and equipment in the three months ended June 30, 2025.</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rFonts w:ascii="Times New Roman;Times;serif" w:hAnsi="Times New Roman;Times;serif"/>
          <w:sz w:val="20"/>
        </w:rPr>
      </w:pPr>
      <w:r>
        <w:rPr>
          <w:rFonts w:ascii="Times New Roman;Times;serif" w:hAnsi="Times New Roman;Times;serif"/>
          <w:sz w:val="20"/>
        </w:rPr>
        <w:t>Other operating expenses, net, decreased by $26.2 million, in the six months ended June 30, 2026, compared to the six months ended June 30, 2025, primarily due to:</w:t>
      </w:r>
    </w:p>
    <w:p>
      <w:pPr>
        <w:pStyle w:val="TextBody"/>
        <w:bidi w:val="0"/>
        <w:spacing w:lineRule="auto" w:line="300"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1002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 decrease of $36.7 million as the prior-year period included an impairment related to an asset classified as held-for-sale; and</w:t>
            </w:r>
          </w:p>
        </w:tc>
      </w:tr>
    </w:tbl>
    <w:p>
      <w:pPr>
        <w:pStyle w:val="TextBody"/>
        <w:bidi w:val="0"/>
        <w:spacing w:lineRule="auto" w:line="300"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10020" w:type="dxa"/>
            <w:tcBorders/>
            <w:vAlign w:val="center"/>
          </w:tcPr>
          <w:p>
            <w:pPr>
              <w:pStyle w:val="TableContents"/>
              <w:bidi w:val="0"/>
              <w:spacing w:before="0" w:after="0"/>
              <w:jc w:val="both"/>
              <w:rPr/>
            </w:pPr>
            <w:r>
              <w:rPr>
                <w:rFonts w:ascii="Times New Roman;Times;serif" w:hAnsi="Times New Roman;Times;serif"/>
                <w:sz w:val="20"/>
              </w:rPr>
              <w:t>a</w:t>
            </w:r>
            <w:r>
              <w:rPr/>
              <w:t> </w:t>
            </w:r>
            <w:r>
              <w:rPr>
                <w:sz w:val="20"/>
              </w:rPr>
              <w:t>decrease resulting from $17.9 million loss from sale of the PV tracker business line included in the prior-year period, compared to a $7.6 million loss from sale of the LCV e-Mobility activity in the six months ended June 30, 2026.</w:t>
            </w:r>
          </w:p>
        </w:tc>
      </w:tr>
    </w:tbl>
    <w:p>
      <w:pPr>
        <w:pStyle w:val="TextBody"/>
        <w:bidi w:val="0"/>
        <w:spacing w:lineRule="auto" w:line="300" w:before="0" w:after="0"/>
        <w:jc w:val="left"/>
        <w:rPr/>
      </w:pPr>
      <w:r>
        <w:rPr/>
        <w:t> </w:t>
      </w:r>
    </w:p>
    <w:p>
      <w:pPr>
        <w:pStyle w:val="TextBody"/>
        <w:bidi w:val="0"/>
        <w:spacing w:lineRule="auto" w:line="300" w:before="0" w:after="0"/>
        <w:ind w:left="0" w:right="0" w:firstLine="720"/>
        <w:jc w:val="both"/>
        <w:rPr>
          <w:rFonts w:ascii="Times New Roman;Times;serif" w:hAnsi="Times New Roman;Times;serif"/>
          <w:sz w:val="20"/>
        </w:rPr>
      </w:pPr>
      <w:r>
        <w:rPr>
          <w:rFonts w:ascii="Times New Roman;Times;serif" w:hAnsi="Times New Roman;Times;serif"/>
          <w:sz w:val="20"/>
        </w:rPr>
        <w:t>These were partially offset by:</w:t>
      </w:r>
    </w:p>
    <w:p>
      <w:pPr>
        <w:pStyle w:val="TextBody"/>
        <w:bidi w:val="0"/>
        <w:spacing w:lineRule="auto" w:line="300"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1002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an increase related to $7.6 million losses from sale and disposal of property, plant and equipment for the six months ended June 30, 2026, compared to $10.0 million related to gains recognized from sale of property, plant, and equipment in the six months ended June 30, 2025; and</w:t>
            </w:r>
          </w:p>
        </w:tc>
      </w:tr>
    </w:tbl>
    <w:p>
      <w:pPr>
        <w:pStyle w:val="TextBody"/>
        <w:bidi w:val="0"/>
        <w:spacing w:lineRule="auto" w:line="300"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1002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an increase of $3.1 million due to income recognized in the prior-year period as a result of lower than expected discontinuation charges.</w:t>
            </w:r>
          </w:p>
        </w:tc>
      </w:tr>
    </w:tbl>
    <w:p>
      <w:pPr>
        <w:pStyle w:val="TextBody"/>
        <w:bidi w:val="0"/>
        <w:spacing w:lineRule="auto" w:line="300"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SOLAREDGE TECHNOLOGIES INC. | 2026 Form 10-Q | 14</w:t>
      </w:r>
    </w:p>
    <w:p>
      <w:pPr>
        <w:pStyle w:val="HorizontalLine"/>
        <w:bidi w:val="0"/>
        <w:spacing w:lineRule="auto" w:line="300" w:before="200" w:after="200"/>
        <w:jc w:val="left"/>
        <w:rPr/>
      </w:pPr>
      <w:r>
        <w:rPr/>
      </w:r>
    </w:p>
    <w:p>
      <w:pPr>
        <w:pStyle w:val="TextBody"/>
        <w:bidi w:val="0"/>
        <w:spacing w:lineRule="auto" w:line="300"/>
        <w:jc w:val="both"/>
        <w:rPr/>
      </w:pPr>
      <w:r>
        <w:rPr/>
        <w:t> </w:t>
      </w:r>
    </w:p>
    <w:p>
      <w:pPr>
        <w:pStyle w:val="TextBody"/>
        <w:bidi w:val="0"/>
        <w:spacing w:lineRule="auto" w:line="300" w:before="0" w:after="0"/>
        <w:jc w:val="left"/>
        <w:rPr/>
      </w:pPr>
      <w:r>
        <w:rPr>
          <w:rStyle w:val="Emphasis"/>
          <w:rFonts w:ascii="Times New Roman;Times;serif" w:hAnsi="Times New Roman;Times;serif"/>
          <w:sz w:val="20"/>
        </w:rPr>
        <w:t>Financial income (expense), net</w:t>
      </w:r>
    </w:p>
    <w:p>
      <w:pPr>
        <w:pStyle w:val="TextBody"/>
        <w:bidi w:val="0"/>
        <w:spacing w:lineRule="auto" w:line="300" w:before="0" w:after="0"/>
        <w:jc w:val="left"/>
        <w:rPr/>
      </w:pPr>
      <w:r>
        <w:rPr/>
        <w:t> </w:t>
      </w:r>
    </w:p>
    <w:tbl>
      <w:tblPr>
        <w:tblW w:w="10110" w:type="dxa"/>
        <w:jc w:val="left"/>
        <w:tblInd w:w="0" w:type="dxa"/>
        <w:tblLayout w:type="fixed"/>
        <w:tblCellMar>
          <w:top w:w="0" w:type="dxa"/>
          <w:left w:w="0" w:type="dxa"/>
          <w:bottom w:w="0" w:type="dxa"/>
          <w:right w:w="0" w:type="dxa"/>
        </w:tblCellMar>
      </w:tblPr>
      <w:tblGrid>
        <w:gridCol w:w="2615"/>
        <w:gridCol w:w="60"/>
        <w:gridCol w:w="152"/>
        <w:gridCol w:w="790"/>
        <w:gridCol w:w="97"/>
        <w:gridCol w:w="73"/>
        <w:gridCol w:w="152"/>
        <w:gridCol w:w="663"/>
        <w:gridCol w:w="97"/>
        <w:gridCol w:w="73"/>
        <w:gridCol w:w="152"/>
        <w:gridCol w:w="663"/>
        <w:gridCol w:w="97"/>
        <w:gridCol w:w="73"/>
        <w:gridCol w:w="73"/>
        <w:gridCol w:w="462"/>
        <w:gridCol w:w="185"/>
        <w:gridCol w:w="60"/>
        <w:gridCol w:w="131"/>
        <w:gridCol w:w="681"/>
        <w:gridCol w:w="83"/>
        <w:gridCol w:w="62"/>
        <w:gridCol w:w="131"/>
        <w:gridCol w:w="508"/>
        <w:gridCol w:w="62"/>
        <w:gridCol w:w="62"/>
        <w:gridCol w:w="131"/>
        <w:gridCol w:w="681"/>
        <w:gridCol w:w="83"/>
        <w:gridCol w:w="62"/>
        <w:gridCol w:w="62"/>
        <w:gridCol w:w="634"/>
        <w:gridCol w:w="200"/>
      </w:tblGrid>
      <w:tr>
        <w:trPr/>
        <w:tc>
          <w:tcPr>
            <w:tcW w:w="26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617" w:type="dxa"/>
            <w:gridSpan w:val="14"/>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Three months ended June 30, 2026 to 2025</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373" w:type="dxa"/>
            <w:gridSpan w:val="14"/>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Six months ended June 30, 2026 to 2025</w:t>
            </w:r>
          </w:p>
        </w:tc>
        <w:tc>
          <w:tcPr>
            <w:tcW w:w="200" w:type="dxa"/>
            <w:tcBorders/>
            <w:vAlign w:val="center"/>
          </w:tcPr>
          <w:p>
            <w:pPr>
              <w:pStyle w:val="TableContents"/>
              <w:bidi w:val="0"/>
              <w:spacing w:before="0" w:after="283"/>
              <w:jc w:val="left"/>
              <w:rPr/>
            </w:pPr>
            <w:r>
              <w:rPr/>
              <w:t> </w:t>
            </w:r>
          </w:p>
        </w:tc>
      </w:tr>
      <w:tr>
        <w:trPr/>
        <w:tc>
          <w:tcPr>
            <w:tcW w:w="26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2"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2026</w:t>
            </w:r>
          </w:p>
        </w:tc>
        <w:tc>
          <w:tcPr>
            <w:tcW w:w="97" w:type="dxa"/>
            <w:tcBorders/>
            <w:vAlign w:val="center"/>
          </w:tcPr>
          <w:p>
            <w:pPr>
              <w:pStyle w:val="TableContents"/>
              <w:bidi w:val="0"/>
              <w:spacing w:before="0" w:after="283"/>
              <w:jc w:val="left"/>
              <w:rPr/>
            </w:pPr>
            <w:r>
              <w:rPr/>
              <w:t> </w:t>
            </w:r>
          </w:p>
        </w:tc>
        <w:tc>
          <w:tcPr>
            <w:tcW w:w="73" w:type="dxa"/>
            <w:tcBorders/>
            <w:vAlign w:val="center"/>
          </w:tcPr>
          <w:p>
            <w:pPr>
              <w:pStyle w:val="TableContents"/>
              <w:bidi w:val="0"/>
              <w:spacing w:before="0" w:after="283"/>
              <w:jc w:val="left"/>
              <w:rPr/>
            </w:pPr>
            <w:r>
              <w:rPr/>
              <w:t> </w:t>
            </w:r>
          </w:p>
        </w:tc>
        <w:tc>
          <w:tcPr>
            <w:tcW w:w="815"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2025</w:t>
            </w:r>
          </w:p>
        </w:tc>
        <w:tc>
          <w:tcPr>
            <w:tcW w:w="97" w:type="dxa"/>
            <w:tcBorders/>
            <w:vAlign w:val="center"/>
          </w:tcPr>
          <w:p>
            <w:pPr>
              <w:pStyle w:val="TableContents"/>
              <w:bidi w:val="0"/>
              <w:spacing w:before="0" w:after="283"/>
              <w:jc w:val="left"/>
              <w:rPr/>
            </w:pPr>
            <w:r>
              <w:rPr/>
              <w:t> </w:t>
            </w:r>
          </w:p>
        </w:tc>
        <w:tc>
          <w:tcPr>
            <w:tcW w:w="73" w:type="dxa"/>
            <w:tcBorders/>
            <w:vAlign w:val="center"/>
          </w:tcPr>
          <w:p>
            <w:pPr>
              <w:pStyle w:val="TableContents"/>
              <w:bidi w:val="0"/>
              <w:spacing w:before="0" w:after="283"/>
              <w:jc w:val="left"/>
              <w:rPr/>
            </w:pPr>
            <w:r>
              <w:rPr/>
              <w:t> </w:t>
            </w:r>
          </w:p>
        </w:tc>
        <w:tc>
          <w:tcPr>
            <w:tcW w:w="1520" w:type="dxa"/>
            <w:gridSpan w:val="6"/>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Change</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2"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2026</w:t>
            </w:r>
          </w:p>
        </w:tc>
        <w:tc>
          <w:tcPr>
            <w:tcW w:w="83"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639"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2025</w:t>
            </w:r>
          </w:p>
        </w:tc>
        <w:tc>
          <w:tcPr>
            <w:tcW w:w="62"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1653" w:type="dxa"/>
            <w:gridSpan w:val="6"/>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Change</w:t>
            </w:r>
          </w:p>
        </w:tc>
        <w:tc>
          <w:tcPr>
            <w:tcW w:w="200" w:type="dxa"/>
            <w:tcBorders/>
            <w:vAlign w:val="center"/>
          </w:tcPr>
          <w:p>
            <w:pPr>
              <w:pStyle w:val="TableContents"/>
              <w:bidi w:val="0"/>
              <w:spacing w:before="0" w:after="283"/>
              <w:jc w:val="left"/>
              <w:rPr/>
            </w:pPr>
            <w:r>
              <w:rPr/>
              <w:t> </w:t>
            </w:r>
          </w:p>
        </w:tc>
      </w:tr>
      <w:tr>
        <w:trPr/>
        <w:tc>
          <w:tcPr>
            <w:tcW w:w="26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235" w:type="dxa"/>
            <w:gridSpan w:val="30"/>
            <w:tcBorders/>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(In thousands)</w:t>
            </w:r>
          </w:p>
        </w:tc>
        <w:tc>
          <w:tcPr>
            <w:tcW w:w="200" w:type="dxa"/>
            <w:tcBorders/>
            <w:vAlign w:val="center"/>
          </w:tcPr>
          <w:p>
            <w:pPr>
              <w:pStyle w:val="TableContents"/>
              <w:bidi w:val="0"/>
              <w:spacing w:before="0" w:after="283"/>
              <w:jc w:val="left"/>
              <w:rPr/>
            </w:pPr>
            <w:r>
              <w:rPr/>
              <w:t> </w:t>
            </w:r>
          </w:p>
        </w:tc>
      </w:tr>
      <w:tr>
        <w:trPr/>
        <w:tc>
          <w:tcPr>
            <w:tcW w:w="2615"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Financial income (expense), net</w:t>
            </w:r>
          </w:p>
        </w:tc>
        <w:tc>
          <w:tcPr>
            <w:tcW w:w="60"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790"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(12,378</w:t>
            </w:r>
          </w:p>
        </w:tc>
        <w:tc>
          <w:tcPr>
            <w:tcW w:w="97"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73"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63"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(7,323</w:t>
            </w:r>
          </w:p>
        </w:tc>
        <w:tc>
          <w:tcPr>
            <w:tcW w:w="97"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73"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63"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(5,055</w:t>
            </w:r>
          </w:p>
        </w:tc>
        <w:tc>
          <w:tcPr>
            <w:tcW w:w="97"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73"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462"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69.0</w:t>
            </w:r>
          </w:p>
        </w:tc>
        <w:tc>
          <w:tcPr>
            <w:tcW w:w="185"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81"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(13,415</w:t>
            </w:r>
          </w:p>
        </w:tc>
        <w:tc>
          <w:tcPr>
            <w:tcW w:w="83"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2"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508"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2,745</w:t>
            </w:r>
          </w:p>
        </w:tc>
        <w:tc>
          <w:tcPr>
            <w:tcW w:w="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81"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(16,160</w:t>
            </w:r>
          </w:p>
        </w:tc>
        <w:tc>
          <w:tcPr>
            <w:tcW w:w="83"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634"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(588.7)</w:t>
            </w:r>
          </w:p>
        </w:tc>
        <w:tc>
          <w:tcPr>
            <w:tcW w:w="200"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lineRule="auto" w:line="300" w:before="0" w:after="0"/>
        <w:jc w:val="left"/>
        <w:rPr/>
      </w:pPr>
      <w:r>
        <w:rPr/>
        <w:t> </w:t>
      </w:r>
    </w:p>
    <w:p>
      <w:pPr>
        <w:pStyle w:val="TextBody"/>
        <w:bidi w:val="0"/>
        <w:spacing w:lineRule="auto" w:line="300" w:before="0" w:after="0"/>
        <w:ind w:left="0" w:right="0" w:firstLine="720"/>
        <w:jc w:val="both"/>
        <w:rPr>
          <w:rFonts w:ascii="Times New Roman;Times;serif" w:hAnsi="Times New Roman;Times;serif"/>
          <w:sz w:val="20"/>
        </w:rPr>
      </w:pPr>
      <w:r>
        <w:rPr>
          <w:rFonts w:ascii="Times New Roman;Times;serif" w:hAnsi="Times New Roman;Times;serif"/>
          <w:sz w:val="20"/>
        </w:rPr>
        <w:t>Financial expense, net increased by $5.1 million in the three months ended June 30, 2026, compared to the three months ended June 30, 2025, primarily due to:</w:t>
      </w:r>
    </w:p>
    <w:p>
      <w:pPr>
        <w:pStyle w:val="TextBody"/>
        <w:bidi w:val="0"/>
        <w:spacing w:lineRule="auto" w:line="300"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1002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an increase of $2.6 million in foreign currency losses, primarily attributable to fluctuations in the Euro and NIS relative to the U.S. dollar;</w:t>
            </w:r>
          </w:p>
        </w:tc>
      </w:tr>
    </w:tbl>
    <w:p>
      <w:pPr>
        <w:pStyle w:val="TextBody"/>
        <w:bidi w:val="0"/>
        <w:spacing w:lineRule="auto" w:line="300" w:before="0" w:after="0"/>
        <w:jc w:val="left"/>
        <w:rPr/>
      </w:pPr>
      <w:r>
        <w:rPr/>
        <w:t> </w:t>
      </w:r>
    </w:p>
    <w:tbl>
      <w:tblPr>
        <w:tblW w:w="8110" w:type="dxa"/>
        <w:jc w:val="left"/>
        <w:tblInd w:w="0" w:type="dxa"/>
        <w:tblLayout w:type="fixed"/>
        <w:tblCellMar>
          <w:top w:w="0" w:type="dxa"/>
          <w:left w:w="0" w:type="dxa"/>
          <w:bottom w:w="0" w:type="dxa"/>
          <w:right w:w="0" w:type="dxa"/>
        </w:tblCellMar>
      </w:tblPr>
      <w:tblGrid>
        <w:gridCol w:w="75"/>
        <w:gridCol w:w="110"/>
        <w:gridCol w:w="792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792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 decrease of $1.3 million in interest income related to our marketable securities investments; and</w:t>
            </w:r>
          </w:p>
        </w:tc>
      </w:tr>
    </w:tbl>
    <w:p>
      <w:pPr>
        <w:pStyle w:val="TextBody"/>
        <w:bidi w:val="0"/>
        <w:spacing w:lineRule="auto" w:line="300" w:before="0" w:after="0"/>
        <w:ind w:left="720" w:right="0" w:hanging="0"/>
        <w:jc w:val="both"/>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1002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 decrease of $1.1 million in financial income related to amortization of premiums and accretion of discount on available-for-sale marketable securities in the three months ended June 30, 2025.</w:t>
            </w:r>
          </w:p>
        </w:tc>
      </w:tr>
    </w:tbl>
    <w:p>
      <w:pPr>
        <w:pStyle w:val="TextBody"/>
        <w:bidi w:val="0"/>
        <w:spacing w:lineRule="auto" w:line="300" w:before="0" w:after="0"/>
        <w:jc w:val="left"/>
        <w:rPr/>
      </w:pPr>
      <w:r>
        <w:rPr/>
        <w:t> </w:t>
      </w:r>
    </w:p>
    <w:p>
      <w:pPr>
        <w:pStyle w:val="TextBody"/>
        <w:bidi w:val="0"/>
        <w:spacing w:lineRule="auto" w:line="300" w:before="0" w:after="0"/>
        <w:ind w:left="0" w:right="0" w:firstLine="720"/>
        <w:jc w:val="both"/>
        <w:rPr>
          <w:rFonts w:ascii="Times New Roman;Times;serif" w:hAnsi="Times New Roman;Times;serif"/>
          <w:sz w:val="20"/>
        </w:rPr>
      </w:pPr>
      <w:r>
        <w:rPr>
          <w:rFonts w:ascii="Times New Roman;Times;serif" w:hAnsi="Times New Roman;Times;serif"/>
          <w:sz w:val="20"/>
        </w:rPr>
        <w:t>Financial expense, net was $13.4 million in the six months ended June 30, 2026, compared to financial income, net in the amount of $2.7 million in the six months ended June 30, 2025, primarily due to:</w:t>
      </w:r>
    </w:p>
    <w:p>
      <w:pPr>
        <w:pStyle w:val="TextBody"/>
        <w:bidi w:val="0"/>
        <w:spacing w:lineRule="auto" w:line="300"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1002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an expense of $3.1 million in the six months ended June 30, 2026 compared to an income of $4.4 million in the six months ended June 30, 2025, as a result of fluctuations in foreign exchange rates, primarily between the Euro and the NIS against the U.S. dollar;</w:t>
            </w:r>
          </w:p>
        </w:tc>
      </w:tr>
    </w:tbl>
    <w:p>
      <w:pPr>
        <w:pStyle w:val="TextBody"/>
        <w:bidi w:val="0"/>
        <w:spacing w:lineRule="auto" w:line="300" w:before="0" w:after="0"/>
        <w:jc w:val="left"/>
        <w:rPr/>
      </w:pPr>
      <w:r>
        <w:rPr/>
        <w:t> </w:t>
      </w:r>
    </w:p>
    <w:tbl>
      <w:tblPr>
        <w:tblW w:w="8770" w:type="dxa"/>
        <w:jc w:val="left"/>
        <w:tblInd w:w="0" w:type="dxa"/>
        <w:tblLayout w:type="fixed"/>
        <w:tblCellMar>
          <w:top w:w="0" w:type="dxa"/>
          <w:left w:w="0" w:type="dxa"/>
          <w:bottom w:w="0" w:type="dxa"/>
          <w:right w:w="0" w:type="dxa"/>
        </w:tblCellMar>
      </w:tblPr>
      <w:tblGrid>
        <w:gridCol w:w="75"/>
        <w:gridCol w:w="110"/>
        <w:gridCol w:w="858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858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 decrease of $5.7 million in interest income, mainly related to our marketable securities investments; and</w:t>
            </w:r>
          </w:p>
        </w:tc>
      </w:tr>
    </w:tbl>
    <w:p>
      <w:pPr>
        <w:pStyle w:val="TextBody"/>
        <w:bidi w:val="0"/>
        <w:spacing w:lineRule="auto" w:line="300" w:before="0" w:after="0"/>
        <w:jc w:val="left"/>
        <w:rPr/>
      </w:pPr>
      <w:r>
        <w:rPr/>
        <w:t> </w:t>
      </w:r>
    </w:p>
    <w:tbl>
      <w:tblPr>
        <w:tblW w:w="5125" w:type="dxa"/>
        <w:jc w:val="left"/>
        <w:tblInd w:w="0" w:type="dxa"/>
        <w:tblLayout w:type="fixed"/>
        <w:tblCellMar>
          <w:top w:w="0" w:type="dxa"/>
          <w:left w:w="0" w:type="dxa"/>
          <w:bottom w:w="0" w:type="dxa"/>
          <w:right w:w="0" w:type="dxa"/>
        </w:tblCellMar>
      </w:tblPr>
      <w:tblGrid>
        <w:gridCol w:w="75"/>
        <w:gridCol w:w="110"/>
        <w:gridCol w:w="494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494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an increase of $2.4 million primarily due to interest expense.</w:t>
            </w:r>
          </w:p>
        </w:tc>
      </w:tr>
    </w:tbl>
    <w:p>
      <w:pPr>
        <w:pStyle w:val="TextBody"/>
        <w:bidi w:val="0"/>
        <w:spacing w:lineRule="auto" w:line="300" w:before="0" w:after="0"/>
        <w:jc w:val="left"/>
        <w:rPr/>
      </w:pPr>
      <w:r>
        <w:rPr/>
        <w:t> </w:t>
      </w:r>
    </w:p>
    <w:p>
      <w:pPr>
        <w:pStyle w:val="TextBody"/>
        <w:bidi w:val="0"/>
        <w:spacing w:lineRule="auto" w:line="300"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SOLAREDGE TECHNOLOGIES INC. | 2026 Form 10-Q | 15</w:t>
      </w:r>
    </w:p>
    <w:p>
      <w:pPr>
        <w:pStyle w:val="HorizontalLine"/>
        <w:bidi w:val="0"/>
        <w:spacing w:lineRule="auto" w:line="300" w:before="200" w:after="200"/>
        <w:jc w:val="left"/>
        <w:rPr/>
      </w:pPr>
      <w:r>
        <w:rPr/>
      </w:r>
    </w:p>
    <w:p>
      <w:pPr>
        <w:pStyle w:val="TextBody"/>
        <w:bidi w:val="0"/>
        <w:spacing w:lineRule="auto" w:line="300"/>
        <w:jc w:val="both"/>
        <w:rPr/>
      </w:pPr>
      <w:r>
        <w:rPr/>
        <w:t> </w:t>
      </w:r>
    </w:p>
    <w:p>
      <w:pPr>
        <w:pStyle w:val="TextBody"/>
        <w:bidi w:val="0"/>
        <w:spacing w:lineRule="auto" w:line="300" w:before="0" w:after="0"/>
        <w:jc w:val="left"/>
        <w:rPr/>
      </w:pPr>
      <w:r>
        <w:rPr>
          <w:rStyle w:val="Emphasis"/>
          <w:rFonts w:ascii="Times New Roman;Times;serif" w:hAnsi="Times New Roman;Times;serif"/>
          <w:sz w:val="20"/>
        </w:rPr>
        <w:t>Other income, net</w:t>
      </w:r>
    </w:p>
    <w:p>
      <w:pPr>
        <w:pStyle w:val="TextBody"/>
        <w:bidi w:val="0"/>
        <w:spacing w:lineRule="auto" w:line="300" w:before="0" w:after="0"/>
        <w:jc w:val="left"/>
        <w:rPr/>
      </w:pPr>
      <w:r>
        <w:rPr/>
        <w:t> </w:t>
      </w:r>
    </w:p>
    <w:tbl>
      <w:tblPr>
        <w:tblW w:w="8963" w:type="dxa"/>
        <w:jc w:val="left"/>
        <w:tblInd w:w="0" w:type="dxa"/>
        <w:tblLayout w:type="fixed"/>
        <w:tblCellMar>
          <w:top w:w="0" w:type="dxa"/>
          <w:left w:w="0" w:type="dxa"/>
          <w:bottom w:w="0" w:type="dxa"/>
          <w:right w:w="0" w:type="dxa"/>
        </w:tblCellMar>
      </w:tblPr>
      <w:tblGrid>
        <w:gridCol w:w="1475"/>
        <w:gridCol w:w="60"/>
        <w:gridCol w:w="166"/>
        <w:gridCol w:w="347"/>
        <w:gridCol w:w="80"/>
        <w:gridCol w:w="80"/>
        <w:gridCol w:w="166"/>
        <w:gridCol w:w="647"/>
        <w:gridCol w:w="80"/>
        <w:gridCol w:w="80"/>
        <w:gridCol w:w="166"/>
        <w:gridCol w:w="728"/>
        <w:gridCol w:w="106"/>
        <w:gridCol w:w="80"/>
        <w:gridCol w:w="80"/>
        <w:gridCol w:w="808"/>
        <w:gridCol w:w="185"/>
        <w:gridCol w:w="60"/>
        <w:gridCol w:w="155"/>
        <w:gridCol w:w="324"/>
        <w:gridCol w:w="74"/>
        <w:gridCol w:w="74"/>
        <w:gridCol w:w="155"/>
        <w:gridCol w:w="604"/>
        <w:gridCol w:w="74"/>
        <w:gridCol w:w="74"/>
        <w:gridCol w:w="155"/>
        <w:gridCol w:w="679"/>
        <w:gridCol w:w="99"/>
        <w:gridCol w:w="74"/>
        <w:gridCol w:w="74"/>
        <w:gridCol w:w="754"/>
        <w:gridCol w:w="200"/>
      </w:tblGrid>
      <w:tr>
        <w:trPr/>
        <w:tc>
          <w:tcPr>
            <w:tcW w:w="14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614" w:type="dxa"/>
            <w:gridSpan w:val="14"/>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Three months ended June 30, 2026 to 2025</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369" w:type="dxa"/>
            <w:gridSpan w:val="14"/>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Six months ended June 30, 2026 to 2025</w:t>
            </w:r>
          </w:p>
        </w:tc>
        <w:tc>
          <w:tcPr>
            <w:tcW w:w="200" w:type="dxa"/>
            <w:tcBorders/>
            <w:vAlign w:val="center"/>
          </w:tcPr>
          <w:p>
            <w:pPr>
              <w:pStyle w:val="TableContents"/>
              <w:bidi w:val="0"/>
              <w:spacing w:before="0" w:after="283"/>
              <w:jc w:val="left"/>
              <w:rPr/>
            </w:pPr>
            <w:r>
              <w:rPr/>
              <w:t> </w:t>
            </w:r>
          </w:p>
        </w:tc>
      </w:tr>
      <w:tr>
        <w:trPr/>
        <w:tc>
          <w:tcPr>
            <w:tcW w:w="14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3"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2026</w:t>
            </w:r>
          </w:p>
        </w:tc>
        <w:tc>
          <w:tcPr>
            <w:tcW w:w="8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813"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2025</w:t>
            </w:r>
          </w:p>
        </w:tc>
        <w:tc>
          <w:tcPr>
            <w:tcW w:w="8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1968" w:type="dxa"/>
            <w:gridSpan w:val="6"/>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Change</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79"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2026</w:t>
            </w:r>
          </w:p>
        </w:tc>
        <w:tc>
          <w:tcPr>
            <w:tcW w:w="74" w:type="dxa"/>
            <w:tcBorders/>
            <w:vAlign w:val="center"/>
          </w:tcPr>
          <w:p>
            <w:pPr>
              <w:pStyle w:val="TableContents"/>
              <w:bidi w:val="0"/>
              <w:spacing w:before="0" w:after="283"/>
              <w:jc w:val="left"/>
              <w:rPr/>
            </w:pPr>
            <w:r>
              <w:rPr/>
              <w:t> </w:t>
            </w:r>
          </w:p>
        </w:tc>
        <w:tc>
          <w:tcPr>
            <w:tcW w:w="74" w:type="dxa"/>
            <w:tcBorders/>
            <w:vAlign w:val="center"/>
          </w:tcPr>
          <w:p>
            <w:pPr>
              <w:pStyle w:val="TableContents"/>
              <w:bidi w:val="0"/>
              <w:spacing w:before="0" w:after="283"/>
              <w:jc w:val="left"/>
              <w:rPr/>
            </w:pPr>
            <w:r>
              <w:rPr/>
              <w:t> </w:t>
            </w:r>
          </w:p>
        </w:tc>
        <w:tc>
          <w:tcPr>
            <w:tcW w:w="759"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2025</w:t>
            </w:r>
          </w:p>
        </w:tc>
        <w:tc>
          <w:tcPr>
            <w:tcW w:w="74" w:type="dxa"/>
            <w:tcBorders/>
            <w:vAlign w:val="center"/>
          </w:tcPr>
          <w:p>
            <w:pPr>
              <w:pStyle w:val="TableContents"/>
              <w:bidi w:val="0"/>
              <w:spacing w:before="0" w:after="283"/>
              <w:jc w:val="left"/>
              <w:rPr/>
            </w:pPr>
            <w:r>
              <w:rPr/>
              <w:t> </w:t>
            </w:r>
          </w:p>
        </w:tc>
        <w:tc>
          <w:tcPr>
            <w:tcW w:w="74" w:type="dxa"/>
            <w:tcBorders/>
            <w:vAlign w:val="center"/>
          </w:tcPr>
          <w:p>
            <w:pPr>
              <w:pStyle w:val="TableContents"/>
              <w:bidi w:val="0"/>
              <w:spacing w:before="0" w:after="283"/>
              <w:jc w:val="left"/>
              <w:rPr/>
            </w:pPr>
            <w:r>
              <w:rPr/>
              <w:t> </w:t>
            </w:r>
          </w:p>
        </w:tc>
        <w:tc>
          <w:tcPr>
            <w:tcW w:w="1835" w:type="dxa"/>
            <w:gridSpan w:val="6"/>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Change</w:t>
            </w:r>
          </w:p>
        </w:tc>
        <w:tc>
          <w:tcPr>
            <w:tcW w:w="200" w:type="dxa"/>
            <w:tcBorders/>
            <w:vAlign w:val="center"/>
          </w:tcPr>
          <w:p>
            <w:pPr>
              <w:pStyle w:val="TableContents"/>
              <w:bidi w:val="0"/>
              <w:spacing w:before="0" w:after="283"/>
              <w:jc w:val="left"/>
              <w:rPr/>
            </w:pPr>
            <w:r>
              <w:rPr/>
              <w:t> </w:t>
            </w:r>
          </w:p>
        </w:tc>
      </w:tr>
      <w:tr>
        <w:trPr/>
        <w:tc>
          <w:tcPr>
            <w:tcW w:w="14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228" w:type="dxa"/>
            <w:gridSpan w:val="30"/>
            <w:tcBorders/>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(In thousands)</w:t>
            </w:r>
          </w:p>
        </w:tc>
        <w:tc>
          <w:tcPr>
            <w:tcW w:w="200" w:type="dxa"/>
            <w:tcBorders/>
            <w:vAlign w:val="center"/>
          </w:tcPr>
          <w:p>
            <w:pPr>
              <w:pStyle w:val="TableContents"/>
              <w:bidi w:val="0"/>
              <w:spacing w:before="0" w:after="283"/>
              <w:jc w:val="left"/>
              <w:rPr/>
            </w:pPr>
            <w:r>
              <w:rPr/>
              <w:t> </w:t>
            </w:r>
          </w:p>
        </w:tc>
      </w:tr>
      <w:tr>
        <w:trPr/>
        <w:tc>
          <w:tcPr>
            <w:tcW w:w="1475"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Other income, net</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347" w:type="dxa"/>
            <w:tcBorders/>
            <w:shd w:fill="CCEEFF" w:val="clear"/>
            <w:vAlign w:val="center"/>
          </w:tcPr>
          <w:p>
            <w:pPr>
              <w:pStyle w:val="TableContents"/>
              <w:bidi w:val="0"/>
              <w:spacing w:lineRule="auto" w:line="300" w:before="0" w:after="0"/>
              <w:jc w:val="right"/>
              <w:rPr/>
            </w:pPr>
            <w:r>
              <w:rPr/>
              <w:t>—</w:t>
            </w:r>
          </w:p>
        </w:tc>
        <w:tc>
          <w:tcPr>
            <w:tcW w:w="8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47"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4,017</w:t>
            </w:r>
          </w:p>
        </w:tc>
        <w:tc>
          <w:tcPr>
            <w:tcW w:w="8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728"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(4,017</w:t>
            </w:r>
          </w:p>
        </w:tc>
        <w:tc>
          <w:tcPr>
            <w:tcW w:w="106"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808"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(100.0)</w:t>
            </w:r>
          </w:p>
        </w:tc>
        <w:tc>
          <w:tcPr>
            <w:tcW w:w="185"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324" w:type="dxa"/>
            <w:tcBorders/>
            <w:shd w:fill="CCEEFF" w:val="clear"/>
            <w:vAlign w:val="center"/>
          </w:tcPr>
          <w:p>
            <w:pPr>
              <w:pStyle w:val="TableContents"/>
              <w:bidi w:val="0"/>
              <w:spacing w:lineRule="auto" w:line="300" w:before="0" w:after="0"/>
              <w:jc w:val="right"/>
              <w:rPr/>
            </w:pPr>
            <w:r>
              <w:rPr/>
              <w:t>—</w:t>
            </w:r>
          </w:p>
        </w:tc>
        <w:tc>
          <w:tcPr>
            <w:tcW w:w="74"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04"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4,165</w:t>
            </w:r>
          </w:p>
        </w:tc>
        <w:tc>
          <w:tcPr>
            <w:tcW w:w="74"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79"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(4,165</w:t>
            </w:r>
          </w:p>
        </w:tc>
        <w:tc>
          <w:tcPr>
            <w:tcW w:w="99"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74"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754"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(100.0)</w:t>
            </w:r>
          </w:p>
        </w:tc>
        <w:tc>
          <w:tcPr>
            <w:tcW w:w="200"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lineRule="auto" w:line="300" w:before="0" w:after="0"/>
        <w:jc w:val="left"/>
        <w:rPr/>
      </w:pPr>
      <w:r>
        <w:rPr/>
        <w:t> </w:t>
      </w:r>
    </w:p>
    <w:p>
      <w:pPr>
        <w:pStyle w:val="TextBody"/>
        <w:bidi w:val="0"/>
        <w:spacing w:lineRule="auto" w:line="300" w:before="0" w:after="0"/>
        <w:ind w:left="0" w:right="0" w:firstLine="720"/>
        <w:jc w:val="both"/>
        <w:rPr>
          <w:rFonts w:ascii="Times New Roman;Times;serif" w:hAnsi="Times New Roman;Times;serif"/>
          <w:sz w:val="20"/>
        </w:rPr>
      </w:pPr>
      <w:r>
        <w:rPr>
          <w:rFonts w:ascii="Times New Roman;Times;serif" w:hAnsi="Times New Roman;Times;serif"/>
          <w:sz w:val="20"/>
        </w:rPr>
        <w:t>Other income, net decreased by $4.0 million in the three and six months ended June 30, 2026 compared to the three and six months ended June 30, 2025, primarily as the prior-year periods included a sale of investment in a privately held company.</w:t>
      </w:r>
    </w:p>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i/>
          <w:sz w:val="20"/>
        </w:rPr>
      </w:pPr>
      <w:r>
        <w:rPr>
          <w:rFonts w:ascii="Times New Roman;Times;serif" w:hAnsi="Times New Roman;Times;serif"/>
          <w:i/>
          <w:sz w:val="20"/>
        </w:rPr>
        <w:t>Income taxes</w:t>
      </w:r>
    </w:p>
    <w:p>
      <w:pPr>
        <w:pStyle w:val="TextBody"/>
        <w:bidi w:val="0"/>
        <w:spacing w:lineRule="auto" w:line="300" w:before="0" w:after="0"/>
        <w:jc w:val="left"/>
        <w:rPr/>
      </w:pPr>
      <w:r>
        <w:rPr/>
        <w:t> </w:t>
      </w:r>
    </w:p>
    <w:tbl>
      <w:tblPr>
        <w:tblW w:w="8590" w:type="dxa"/>
        <w:jc w:val="left"/>
        <w:tblInd w:w="0" w:type="dxa"/>
        <w:tblLayout w:type="fixed"/>
        <w:tblCellMar>
          <w:top w:w="0" w:type="dxa"/>
          <w:left w:w="0" w:type="dxa"/>
          <w:bottom w:w="0" w:type="dxa"/>
          <w:right w:w="0" w:type="dxa"/>
        </w:tblCellMar>
      </w:tblPr>
      <w:tblGrid>
        <w:gridCol w:w="1100"/>
        <w:gridCol w:w="60"/>
        <w:gridCol w:w="155"/>
        <w:gridCol w:w="677"/>
        <w:gridCol w:w="99"/>
        <w:gridCol w:w="74"/>
        <w:gridCol w:w="155"/>
        <w:gridCol w:w="677"/>
        <w:gridCol w:w="99"/>
        <w:gridCol w:w="74"/>
        <w:gridCol w:w="155"/>
        <w:gridCol w:w="603"/>
        <w:gridCol w:w="74"/>
        <w:gridCol w:w="74"/>
        <w:gridCol w:w="74"/>
        <w:gridCol w:w="621"/>
        <w:gridCol w:w="185"/>
        <w:gridCol w:w="60"/>
        <w:gridCol w:w="140"/>
        <w:gridCol w:w="610"/>
        <w:gridCol w:w="89"/>
        <w:gridCol w:w="67"/>
        <w:gridCol w:w="140"/>
        <w:gridCol w:w="728"/>
        <w:gridCol w:w="89"/>
        <w:gridCol w:w="67"/>
        <w:gridCol w:w="140"/>
        <w:gridCol w:w="543"/>
        <w:gridCol w:w="67"/>
        <w:gridCol w:w="67"/>
        <w:gridCol w:w="67"/>
        <w:gridCol w:w="560"/>
        <w:gridCol w:w="200"/>
      </w:tblGrid>
      <w:tr>
        <w:trPr/>
        <w:tc>
          <w:tcPr>
            <w:tcW w:w="11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611" w:type="dxa"/>
            <w:gridSpan w:val="14"/>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Three months ended June 30, 2026 to 2025</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374" w:type="dxa"/>
            <w:gridSpan w:val="14"/>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Six months ended June 30, 2026 to 2025</w:t>
            </w:r>
          </w:p>
        </w:tc>
        <w:tc>
          <w:tcPr>
            <w:tcW w:w="200" w:type="dxa"/>
            <w:tcBorders/>
            <w:vAlign w:val="center"/>
          </w:tcPr>
          <w:p>
            <w:pPr>
              <w:pStyle w:val="TableContents"/>
              <w:bidi w:val="0"/>
              <w:spacing w:before="0" w:after="283"/>
              <w:jc w:val="left"/>
              <w:rPr/>
            </w:pPr>
            <w:r>
              <w:rPr/>
              <w:t> </w:t>
            </w:r>
          </w:p>
        </w:tc>
      </w:tr>
      <w:tr>
        <w:trPr/>
        <w:tc>
          <w:tcPr>
            <w:tcW w:w="11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32"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2026</w:t>
            </w:r>
          </w:p>
        </w:tc>
        <w:tc>
          <w:tcPr>
            <w:tcW w:w="99" w:type="dxa"/>
            <w:tcBorders/>
            <w:vAlign w:val="center"/>
          </w:tcPr>
          <w:p>
            <w:pPr>
              <w:pStyle w:val="TableContents"/>
              <w:bidi w:val="0"/>
              <w:spacing w:before="0" w:after="283"/>
              <w:jc w:val="left"/>
              <w:rPr/>
            </w:pPr>
            <w:r>
              <w:rPr/>
              <w:t> </w:t>
            </w:r>
          </w:p>
        </w:tc>
        <w:tc>
          <w:tcPr>
            <w:tcW w:w="74" w:type="dxa"/>
            <w:tcBorders/>
            <w:vAlign w:val="center"/>
          </w:tcPr>
          <w:p>
            <w:pPr>
              <w:pStyle w:val="TableContents"/>
              <w:bidi w:val="0"/>
              <w:spacing w:before="0" w:after="283"/>
              <w:jc w:val="left"/>
              <w:rPr/>
            </w:pPr>
            <w:r>
              <w:rPr/>
              <w:t> </w:t>
            </w:r>
          </w:p>
        </w:tc>
        <w:tc>
          <w:tcPr>
            <w:tcW w:w="832"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2025</w:t>
            </w:r>
          </w:p>
        </w:tc>
        <w:tc>
          <w:tcPr>
            <w:tcW w:w="99" w:type="dxa"/>
            <w:tcBorders/>
            <w:vAlign w:val="center"/>
          </w:tcPr>
          <w:p>
            <w:pPr>
              <w:pStyle w:val="TableContents"/>
              <w:bidi w:val="0"/>
              <w:spacing w:before="0" w:after="283"/>
              <w:jc w:val="left"/>
              <w:rPr/>
            </w:pPr>
            <w:r>
              <w:rPr/>
              <w:t> </w:t>
            </w:r>
          </w:p>
        </w:tc>
        <w:tc>
          <w:tcPr>
            <w:tcW w:w="74" w:type="dxa"/>
            <w:tcBorders/>
            <w:vAlign w:val="center"/>
          </w:tcPr>
          <w:p>
            <w:pPr>
              <w:pStyle w:val="TableContents"/>
              <w:bidi w:val="0"/>
              <w:spacing w:before="0" w:after="283"/>
              <w:jc w:val="left"/>
              <w:rPr/>
            </w:pPr>
            <w:r>
              <w:rPr/>
              <w:t> </w:t>
            </w:r>
          </w:p>
        </w:tc>
        <w:tc>
          <w:tcPr>
            <w:tcW w:w="1601" w:type="dxa"/>
            <w:gridSpan w:val="6"/>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Change</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0"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2026</w:t>
            </w:r>
          </w:p>
        </w:tc>
        <w:tc>
          <w:tcPr>
            <w:tcW w:w="89" w:type="dxa"/>
            <w:tcBorders/>
            <w:vAlign w:val="center"/>
          </w:tcPr>
          <w:p>
            <w:pPr>
              <w:pStyle w:val="TableContents"/>
              <w:bidi w:val="0"/>
              <w:spacing w:before="0" w:after="283"/>
              <w:jc w:val="left"/>
              <w:rPr/>
            </w:pPr>
            <w:r>
              <w:rPr/>
              <w:t> </w:t>
            </w:r>
          </w:p>
        </w:tc>
        <w:tc>
          <w:tcPr>
            <w:tcW w:w="67" w:type="dxa"/>
            <w:tcBorders/>
            <w:vAlign w:val="center"/>
          </w:tcPr>
          <w:p>
            <w:pPr>
              <w:pStyle w:val="TableContents"/>
              <w:bidi w:val="0"/>
              <w:spacing w:before="0" w:after="283"/>
              <w:jc w:val="left"/>
              <w:rPr/>
            </w:pPr>
            <w:r>
              <w:rPr/>
              <w:t> </w:t>
            </w:r>
          </w:p>
        </w:tc>
        <w:tc>
          <w:tcPr>
            <w:tcW w:w="868"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2025</w:t>
            </w:r>
          </w:p>
        </w:tc>
        <w:tc>
          <w:tcPr>
            <w:tcW w:w="89" w:type="dxa"/>
            <w:tcBorders/>
            <w:vAlign w:val="center"/>
          </w:tcPr>
          <w:p>
            <w:pPr>
              <w:pStyle w:val="TableContents"/>
              <w:bidi w:val="0"/>
              <w:spacing w:before="0" w:after="283"/>
              <w:jc w:val="left"/>
              <w:rPr/>
            </w:pPr>
            <w:r>
              <w:rPr/>
              <w:t> </w:t>
            </w:r>
          </w:p>
        </w:tc>
        <w:tc>
          <w:tcPr>
            <w:tcW w:w="67" w:type="dxa"/>
            <w:tcBorders/>
            <w:vAlign w:val="center"/>
          </w:tcPr>
          <w:p>
            <w:pPr>
              <w:pStyle w:val="TableContents"/>
              <w:bidi w:val="0"/>
              <w:spacing w:before="0" w:after="283"/>
              <w:jc w:val="left"/>
              <w:rPr/>
            </w:pPr>
            <w:r>
              <w:rPr/>
              <w:t> </w:t>
            </w:r>
          </w:p>
        </w:tc>
        <w:tc>
          <w:tcPr>
            <w:tcW w:w="1444" w:type="dxa"/>
            <w:gridSpan w:val="6"/>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Change</w:t>
            </w:r>
          </w:p>
        </w:tc>
        <w:tc>
          <w:tcPr>
            <w:tcW w:w="200" w:type="dxa"/>
            <w:tcBorders/>
            <w:vAlign w:val="center"/>
          </w:tcPr>
          <w:p>
            <w:pPr>
              <w:pStyle w:val="TableContents"/>
              <w:bidi w:val="0"/>
              <w:spacing w:before="0" w:after="283"/>
              <w:jc w:val="left"/>
              <w:rPr/>
            </w:pPr>
            <w:r>
              <w:rPr/>
              <w:t> </w:t>
            </w:r>
          </w:p>
        </w:tc>
      </w:tr>
      <w:tr>
        <w:trPr/>
        <w:tc>
          <w:tcPr>
            <w:tcW w:w="11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230" w:type="dxa"/>
            <w:gridSpan w:val="30"/>
            <w:tcBorders/>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(In thousands)</w:t>
            </w:r>
          </w:p>
        </w:tc>
        <w:tc>
          <w:tcPr>
            <w:tcW w:w="200" w:type="dxa"/>
            <w:tcBorders/>
            <w:vAlign w:val="center"/>
          </w:tcPr>
          <w:p>
            <w:pPr>
              <w:pStyle w:val="TableContents"/>
              <w:bidi w:val="0"/>
              <w:spacing w:before="0" w:after="283"/>
              <w:jc w:val="left"/>
              <w:rPr/>
            </w:pPr>
            <w:r>
              <w:rPr/>
              <w:t> </w:t>
            </w:r>
          </w:p>
        </w:tc>
      </w:tr>
      <w:tr>
        <w:trPr/>
        <w:tc>
          <w:tcPr>
            <w:tcW w:w="1100"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Income taxes</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77"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(2,329</w:t>
            </w:r>
          </w:p>
        </w:tc>
        <w:tc>
          <w:tcPr>
            <w:tcW w:w="99"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74"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77"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(5,657</w:t>
            </w:r>
          </w:p>
        </w:tc>
        <w:tc>
          <w:tcPr>
            <w:tcW w:w="99"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74"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03"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3,328</w:t>
            </w:r>
          </w:p>
        </w:tc>
        <w:tc>
          <w:tcPr>
            <w:tcW w:w="74"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621"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(58.8)</w:t>
            </w:r>
          </w:p>
        </w:tc>
        <w:tc>
          <w:tcPr>
            <w:tcW w:w="185"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10"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(3,615</w:t>
            </w:r>
          </w:p>
        </w:tc>
        <w:tc>
          <w:tcPr>
            <w:tcW w:w="89"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7"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728"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(11,383</w:t>
            </w:r>
          </w:p>
        </w:tc>
        <w:tc>
          <w:tcPr>
            <w:tcW w:w="89"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7"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543"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7,768</w:t>
            </w:r>
          </w:p>
        </w:tc>
        <w:tc>
          <w:tcPr>
            <w:tcW w:w="67"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(68.2)</w:t>
            </w:r>
          </w:p>
        </w:tc>
        <w:tc>
          <w:tcPr>
            <w:tcW w:w="200"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lineRule="auto" w:line="300" w:before="0" w:after="0"/>
        <w:jc w:val="left"/>
        <w:rPr/>
      </w:pPr>
      <w:r>
        <w:rPr/>
        <w:t> </w:t>
      </w:r>
    </w:p>
    <w:p>
      <w:pPr>
        <w:pStyle w:val="TextBody"/>
        <w:bidi w:val="0"/>
        <w:spacing w:lineRule="auto" w:line="300" w:before="0" w:after="0"/>
        <w:ind w:left="0" w:right="0" w:firstLine="720"/>
        <w:jc w:val="both"/>
        <w:rPr>
          <w:rFonts w:ascii="Times New Roman;Times;serif" w:hAnsi="Times New Roman;Times;serif"/>
          <w:sz w:val="20"/>
        </w:rPr>
      </w:pPr>
      <w:r>
        <w:rPr>
          <w:rFonts w:ascii="Times New Roman;Times;serif" w:hAnsi="Times New Roman;Times;serif"/>
          <w:sz w:val="20"/>
        </w:rPr>
        <w:t>Income taxes decreased by $3.3 million in the three months ended June 30, 2026, compared to the three months ended June 30, 2025. The decrease is primarily due to higher taxes recorded in the three months ended June 30, 2025, in connection with the settlement with the Israeli Tax Authority for tax years 2016 through 2018 and a provision for uncertain tax positions.</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rFonts w:ascii="Times New Roman;Times;serif" w:hAnsi="Times New Roman;Times;serif"/>
          <w:sz w:val="20"/>
        </w:rPr>
      </w:pPr>
      <w:r>
        <w:rPr>
          <w:rFonts w:ascii="Times New Roman;Times;serif" w:hAnsi="Times New Roman;Times;serif"/>
          <w:sz w:val="20"/>
        </w:rPr>
        <w:t>Income taxes decreased by $7.8 million in the six months ended June 30, 2026, compared to the six months ended June 30, 2025. The decrease is primarily due to the reduced California state income tax expense as a result of Senate Bill 302, as discussed in Note 17 of the condensed consolidated financial statements, a reduction in the withholding taxes paid on certain intra-group interest payments and a tax expense recorded in the six months ended June 30, 2025, in connection with the settlement with the Israeli Tax Authority for tax years 2016 through 2018.</w:t>
      </w:r>
    </w:p>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i/>
          <w:sz w:val="20"/>
        </w:rPr>
      </w:pPr>
      <w:r>
        <w:rPr>
          <w:rFonts w:ascii="Times New Roman;Times;serif" w:hAnsi="Times New Roman;Times;serif"/>
          <w:i/>
          <w:sz w:val="20"/>
        </w:rPr>
        <w:t>Net loss from equity method investments</w:t>
      </w:r>
    </w:p>
    <w:p>
      <w:pPr>
        <w:pStyle w:val="TextBody"/>
        <w:bidi w:val="0"/>
        <w:spacing w:lineRule="auto" w:line="300"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3018"/>
        <w:gridCol w:w="60"/>
        <w:gridCol w:w="186"/>
        <w:gridCol w:w="371"/>
        <w:gridCol w:w="85"/>
        <w:gridCol w:w="85"/>
        <w:gridCol w:w="178"/>
        <w:gridCol w:w="564"/>
        <w:gridCol w:w="114"/>
        <w:gridCol w:w="85"/>
        <w:gridCol w:w="178"/>
        <w:gridCol w:w="479"/>
        <w:gridCol w:w="85"/>
        <w:gridCol w:w="85"/>
        <w:gridCol w:w="85"/>
        <w:gridCol w:w="856"/>
        <w:gridCol w:w="185"/>
        <w:gridCol w:w="60"/>
        <w:gridCol w:w="175"/>
        <w:gridCol w:w="349"/>
        <w:gridCol w:w="80"/>
        <w:gridCol w:w="80"/>
        <w:gridCol w:w="167"/>
        <w:gridCol w:w="530"/>
        <w:gridCol w:w="107"/>
        <w:gridCol w:w="80"/>
        <w:gridCol w:w="167"/>
        <w:gridCol w:w="450"/>
        <w:gridCol w:w="80"/>
        <w:gridCol w:w="80"/>
        <w:gridCol w:w="80"/>
        <w:gridCol w:w="805"/>
        <w:gridCol w:w="216"/>
      </w:tblGrid>
      <w:tr>
        <w:trPr/>
        <w:tc>
          <w:tcPr>
            <w:tcW w:w="301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436" w:type="dxa"/>
            <w:gridSpan w:val="14"/>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Three months ended June 30, 2026 to 2025</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30" w:type="dxa"/>
            <w:gridSpan w:val="14"/>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Six months ended June 30, 2026 to 2025</w:t>
            </w:r>
          </w:p>
        </w:tc>
        <w:tc>
          <w:tcPr>
            <w:tcW w:w="216" w:type="dxa"/>
            <w:tcBorders/>
            <w:vAlign w:val="center"/>
          </w:tcPr>
          <w:p>
            <w:pPr>
              <w:pStyle w:val="TableContents"/>
              <w:bidi w:val="0"/>
              <w:spacing w:before="0" w:after="283"/>
              <w:jc w:val="left"/>
              <w:rPr/>
            </w:pPr>
            <w:r>
              <w:rPr/>
              <w:t> </w:t>
            </w:r>
          </w:p>
        </w:tc>
      </w:tr>
      <w:tr>
        <w:trPr/>
        <w:tc>
          <w:tcPr>
            <w:tcW w:w="301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57"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2026</w:t>
            </w:r>
          </w:p>
        </w:tc>
        <w:tc>
          <w:tcPr>
            <w:tcW w:w="85" w:type="dxa"/>
            <w:tcBorders/>
            <w:vAlign w:val="center"/>
          </w:tcPr>
          <w:p>
            <w:pPr>
              <w:pStyle w:val="TableContents"/>
              <w:bidi w:val="0"/>
              <w:spacing w:before="0" w:after="283"/>
              <w:jc w:val="left"/>
              <w:rPr/>
            </w:pPr>
            <w:r>
              <w:rPr/>
              <w:t> </w:t>
            </w:r>
          </w:p>
        </w:tc>
        <w:tc>
          <w:tcPr>
            <w:tcW w:w="85" w:type="dxa"/>
            <w:tcBorders/>
            <w:vAlign w:val="center"/>
          </w:tcPr>
          <w:p>
            <w:pPr>
              <w:pStyle w:val="TableContents"/>
              <w:bidi w:val="0"/>
              <w:spacing w:before="0" w:after="283"/>
              <w:jc w:val="left"/>
              <w:rPr/>
            </w:pPr>
            <w:r>
              <w:rPr/>
              <w:t> </w:t>
            </w:r>
          </w:p>
        </w:tc>
        <w:tc>
          <w:tcPr>
            <w:tcW w:w="742"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2025</w:t>
            </w:r>
          </w:p>
        </w:tc>
        <w:tc>
          <w:tcPr>
            <w:tcW w:w="114" w:type="dxa"/>
            <w:tcBorders/>
            <w:vAlign w:val="center"/>
          </w:tcPr>
          <w:p>
            <w:pPr>
              <w:pStyle w:val="TableContents"/>
              <w:bidi w:val="0"/>
              <w:spacing w:before="0" w:after="283"/>
              <w:jc w:val="left"/>
              <w:rPr/>
            </w:pPr>
            <w:r>
              <w:rPr/>
              <w:t> </w:t>
            </w:r>
          </w:p>
        </w:tc>
        <w:tc>
          <w:tcPr>
            <w:tcW w:w="85" w:type="dxa"/>
            <w:tcBorders/>
            <w:vAlign w:val="center"/>
          </w:tcPr>
          <w:p>
            <w:pPr>
              <w:pStyle w:val="TableContents"/>
              <w:bidi w:val="0"/>
              <w:spacing w:before="0" w:after="283"/>
              <w:jc w:val="left"/>
              <w:rPr/>
            </w:pPr>
            <w:r>
              <w:rPr/>
              <w:t> </w:t>
            </w:r>
          </w:p>
        </w:tc>
        <w:tc>
          <w:tcPr>
            <w:tcW w:w="1768" w:type="dxa"/>
            <w:gridSpan w:val="6"/>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Change</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24"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2026</w:t>
            </w:r>
          </w:p>
        </w:tc>
        <w:tc>
          <w:tcPr>
            <w:tcW w:w="8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697"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2025</w:t>
            </w:r>
          </w:p>
        </w:tc>
        <w:tc>
          <w:tcPr>
            <w:tcW w:w="107"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1662" w:type="dxa"/>
            <w:gridSpan w:val="6"/>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Change</w:t>
            </w:r>
          </w:p>
        </w:tc>
        <w:tc>
          <w:tcPr>
            <w:tcW w:w="216" w:type="dxa"/>
            <w:tcBorders/>
            <w:vAlign w:val="center"/>
          </w:tcPr>
          <w:p>
            <w:pPr>
              <w:pStyle w:val="TableContents"/>
              <w:bidi w:val="0"/>
              <w:spacing w:before="0" w:after="283"/>
              <w:jc w:val="left"/>
              <w:rPr/>
            </w:pPr>
            <w:r>
              <w:rPr/>
              <w:t> </w:t>
            </w:r>
          </w:p>
        </w:tc>
      </w:tr>
      <w:tr>
        <w:trPr/>
        <w:tc>
          <w:tcPr>
            <w:tcW w:w="301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911" w:type="dxa"/>
            <w:gridSpan w:val="30"/>
            <w:tcBorders/>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(In thousands)</w:t>
            </w:r>
          </w:p>
        </w:tc>
        <w:tc>
          <w:tcPr>
            <w:tcW w:w="216" w:type="dxa"/>
            <w:tcBorders/>
            <w:vAlign w:val="center"/>
          </w:tcPr>
          <w:p>
            <w:pPr>
              <w:pStyle w:val="TableContents"/>
              <w:bidi w:val="0"/>
              <w:spacing w:before="0" w:after="283"/>
              <w:jc w:val="left"/>
              <w:rPr/>
            </w:pPr>
            <w:r>
              <w:rPr/>
              <w:t> </w:t>
            </w:r>
          </w:p>
        </w:tc>
      </w:tr>
      <w:tr>
        <w:trPr/>
        <w:tc>
          <w:tcPr>
            <w:tcW w:w="3018"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Net loss from equity method investments</w:t>
            </w:r>
          </w:p>
        </w:tc>
        <w:tc>
          <w:tcPr>
            <w:tcW w:w="6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371" w:type="dxa"/>
            <w:tcBorders/>
            <w:shd w:fill="CCEEFF" w:val="clear"/>
            <w:vAlign w:val="center"/>
          </w:tcPr>
          <w:p>
            <w:pPr>
              <w:pStyle w:val="TableContents"/>
              <w:bidi w:val="0"/>
              <w:spacing w:lineRule="auto" w:line="300" w:before="0" w:after="0"/>
              <w:jc w:val="right"/>
              <w:rPr/>
            </w:pPr>
            <w:r>
              <w:rPr/>
              <w:t>—</w:t>
            </w:r>
          </w:p>
        </w:tc>
        <w:tc>
          <w:tcPr>
            <w:tcW w:w="85"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564"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(288</w:t>
            </w:r>
          </w:p>
        </w:tc>
        <w:tc>
          <w:tcPr>
            <w:tcW w:w="114"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85"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479"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288</w:t>
            </w:r>
          </w:p>
        </w:tc>
        <w:tc>
          <w:tcPr>
            <w:tcW w:w="85"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856"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(100.0)</w:t>
            </w:r>
          </w:p>
        </w:tc>
        <w:tc>
          <w:tcPr>
            <w:tcW w:w="185"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349" w:type="dxa"/>
            <w:tcBorders/>
            <w:shd w:fill="CCEEFF" w:val="clear"/>
            <w:vAlign w:val="center"/>
          </w:tcPr>
          <w:p>
            <w:pPr>
              <w:pStyle w:val="TableContents"/>
              <w:bidi w:val="0"/>
              <w:spacing w:lineRule="auto" w:line="300" w:before="0" w:after="0"/>
              <w:jc w:val="right"/>
              <w:rPr/>
            </w:pPr>
            <w:r>
              <w:rPr/>
              <w:t>—</w:t>
            </w:r>
          </w:p>
        </w:tc>
        <w:tc>
          <w:tcPr>
            <w:tcW w:w="8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530"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(575</w:t>
            </w:r>
          </w:p>
        </w:tc>
        <w:tc>
          <w:tcPr>
            <w:tcW w:w="107"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450"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575</w:t>
            </w:r>
          </w:p>
        </w:tc>
        <w:tc>
          <w:tcPr>
            <w:tcW w:w="8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805"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(100.0)</w:t>
            </w:r>
          </w:p>
        </w:tc>
        <w:tc>
          <w:tcPr>
            <w:tcW w:w="216"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lineRule="auto" w:line="300" w:before="0" w:after="0"/>
        <w:jc w:val="left"/>
        <w:rPr/>
      </w:pPr>
      <w:r>
        <w:rPr/>
        <w:t> </w:t>
      </w:r>
    </w:p>
    <w:p>
      <w:pPr>
        <w:pStyle w:val="TextBody"/>
        <w:bidi w:val="0"/>
        <w:spacing w:lineRule="auto" w:line="300" w:before="0" w:after="0"/>
        <w:ind w:left="0" w:right="0" w:firstLine="720"/>
        <w:jc w:val="both"/>
        <w:rPr>
          <w:rFonts w:ascii="Times New Roman;Times;serif" w:hAnsi="Times New Roman;Times;serif"/>
          <w:sz w:val="20"/>
        </w:rPr>
      </w:pPr>
      <w:r>
        <w:rPr>
          <w:rFonts w:ascii="Times New Roman;Times;serif" w:hAnsi="Times New Roman;Times;serif"/>
          <w:sz w:val="20"/>
        </w:rPr>
        <w:t>Net loss from equity method investments decreased in the three and six months ended June 30, 2026 compared to the three and six months ended June 30, 2025, as the prior-year periods included an impairment of our equity investment.</w:t>
      </w:r>
    </w:p>
    <w:p>
      <w:pPr>
        <w:pStyle w:val="TextBody"/>
        <w:bidi w:val="0"/>
        <w:spacing w:lineRule="auto" w:line="300"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SOLAREDGE TECHNOLOGIES INC. | 2026 Form 10-Q | 16</w:t>
      </w:r>
    </w:p>
    <w:p>
      <w:pPr>
        <w:pStyle w:val="HorizontalLine"/>
        <w:bidi w:val="0"/>
        <w:spacing w:lineRule="auto" w:line="300" w:before="200" w:after="200"/>
        <w:jc w:val="left"/>
        <w:rPr/>
      </w:pPr>
      <w:r>
        <w:rPr/>
      </w:r>
    </w:p>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i/>
          <w:sz w:val="20"/>
        </w:rPr>
      </w:pPr>
      <w:r>
        <w:rPr>
          <w:rFonts w:ascii="Times New Roman;Times;serif" w:hAnsi="Times New Roman;Times;serif"/>
          <w:i/>
          <w:sz w:val="20"/>
        </w:rPr>
        <w:t>Net loss</w:t>
      </w:r>
    </w:p>
    <w:p>
      <w:pPr>
        <w:pStyle w:val="TextBody"/>
        <w:bidi w:val="0"/>
        <w:spacing w:lineRule="auto" w:line="300" w:before="0" w:after="0"/>
        <w:jc w:val="left"/>
        <w:rPr/>
      </w:pPr>
      <w:r>
        <w:rPr/>
        <w:t> </w:t>
      </w:r>
    </w:p>
    <w:tbl>
      <w:tblPr>
        <w:tblW w:w="8682" w:type="dxa"/>
        <w:jc w:val="left"/>
        <w:tblInd w:w="0" w:type="dxa"/>
        <w:tblLayout w:type="fixed"/>
        <w:tblCellMar>
          <w:top w:w="0" w:type="dxa"/>
          <w:left w:w="0" w:type="dxa"/>
          <w:bottom w:w="0" w:type="dxa"/>
          <w:right w:w="0" w:type="dxa"/>
        </w:tblCellMar>
      </w:tblPr>
      <w:tblGrid>
        <w:gridCol w:w="1130"/>
        <w:gridCol w:w="60"/>
        <w:gridCol w:w="135"/>
        <w:gridCol w:w="706"/>
        <w:gridCol w:w="86"/>
        <w:gridCol w:w="65"/>
        <w:gridCol w:w="135"/>
        <w:gridCol w:w="820"/>
        <w:gridCol w:w="86"/>
        <w:gridCol w:w="65"/>
        <w:gridCol w:w="135"/>
        <w:gridCol w:w="641"/>
        <w:gridCol w:w="65"/>
        <w:gridCol w:w="65"/>
        <w:gridCol w:w="65"/>
        <w:gridCol w:w="543"/>
        <w:gridCol w:w="185"/>
        <w:gridCol w:w="60"/>
        <w:gridCol w:w="125"/>
        <w:gridCol w:w="650"/>
        <w:gridCol w:w="80"/>
        <w:gridCol w:w="60"/>
        <w:gridCol w:w="125"/>
        <w:gridCol w:w="755"/>
        <w:gridCol w:w="80"/>
        <w:gridCol w:w="60"/>
        <w:gridCol w:w="125"/>
        <w:gridCol w:w="695"/>
        <w:gridCol w:w="60"/>
        <w:gridCol w:w="60"/>
        <w:gridCol w:w="60"/>
        <w:gridCol w:w="500"/>
        <w:gridCol w:w="200"/>
      </w:tblGrid>
      <w:tr>
        <w:trPr/>
        <w:tc>
          <w:tcPr>
            <w:tcW w:w="11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612" w:type="dxa"/>
            <w:gridSpan w:val="14"/>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Three months ended June 30, 2026 to 2025</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435" w:type="dxa"/>
            <w:gridSpan w:val="14"/>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Six months ended June 30, 2026 to 2025</w:t>
            </w:r>
          </w:p>
        </w:tc>
        <w:tc>
          <w:tcPr>
            <w:tcW w:w="200" w:type="dxa"/>
            <w:tcBorders/>
            <w:vAlign w:val="center"/>
          </w:tcPr>
          <w:p>
            <w:pPr>
              <w:pStyle w:val="TableContents"/>
              <w:bidi w:val="0"/>
              <w:spacing w:before="0" w:after="283"/>
              <w:jc w:val="left"/>
              <w:rPr/>
            </w:pPr>
            <w:r>
              <w:rPr/>
              <w:t> </w:t>
            </w:r>
          </w:p>
        </w:tc>
      </w:tr>
      <w:tr>
        <w:trPr/>
        <w:tc>
          <w:tcPr>
            <w:tcW w:w="11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41"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2026</w:t>
            </w:r>
          </w:p>
        </w:tc>
        <w:tc>
          <w:tcPr>
            <w:tcW w:w="86" w:type="dxa"/>
            <w:tcBorders/>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283"/>
              <w:jc w:val="left"/>
              <w:rPr/>
            </w:pPr>
            <w:r>
              <w:rPr/>
              <w:t> </w:t>
            </w:r>
          </w:p>
        </w:tc>
        <w:tc>
          <w:tcPr>
            <w:tcW w:w="955"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2025</w:t>
            </w:r>
          </w:p>
        </w:tc>
        <w:tc>
          <w:tcPr>
            <w:tcW w:w="86" w:type="dxa"/>
            <w:tcBorders/>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283"/>
              <w:jc w:val="left"/>
              <w:rPr/>
            </w:pPr>
            <w:r>
              <w:rPr/>
              <w:t> </w:t>
            </w:r>
          </w:p>
        </w:tc>
        <w:tc>
          <w:tcPr>
            <w:tcW w:w="1514" w:type="dxa"/>
            <w:gridSpan w:val="6"/>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Change</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5"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2026</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80"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2025</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00" w:type="dxa"/>
            <w:gridSpan w:val="6"/>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Change</w:t>
            </w:r>
          </w:p>
        </w:tc>
        <w:tc>
          <w:tcPr>
            <w:tcW w:w="200" w:type="dxa"/>
            <w:tcBorders/>
            <w:vAlign w:val="center"/>
          </w:tcPr>
          <w:p>
            <w:pPr>
              <w:pStyle w:val="TableContents"/>
              <w:bidi w:val="0"/>
              <w:spacing w:before="0" w:after="283"/>
              <w:jc w:val="left"/>
              <w:rPr/>
            </w:pPr>
            <w:r>
              <w:rPr/>
              <w:t> </w:t>
            </w:r>
          </w:p>
        </w:tc>
      </w:tr>
      <w:tr>
        <w:trPr/>
        <w:tc>
          <w:tcPr>
            <w:tcW w:w="11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292" w:type="dxa"/>
            <w:gridSpan w:val="30"/>
            <w:tcBorders/>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(In thousands)</w:t>
            </w:r>
          </w:p>
        </w:tc>
        <w:tc>
          <w:tcPr>
            <w:tcW w:w="200" w:type="dxa"/>
            <w:tcBorders/>
            <w:vAlign w:val="center"/>
          </w:tcPr>
          <w:p>
            <w:pPr>
              <w:pStyle w:val="TableContents"/>
              <w:bidi w:val="0"/>
              <w:spacing w:before="0" w:after="283"/>
              <w:jc w:val="left"/>
              <w:rPr/>
            </w:pPr>
            <w:r>
              <w:rPr/>
              <w:t> </w:t>
            </w:r>
          </w:p>
        </w:tc>
      </w:tr>
      <w:tr>
        <w:trPr/>
        <w:tc>
          <w:tcPr>
            <w:tcW w:w="1130"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Net loss          </w:t>
            </w:r>
          </w:p>
        </w:tc>
        <w:tc>
          <w:tcPr>
            <w:tcW w:w="60"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706"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(30,753</w:t>
            </w:r>
          </w:p>
        </w:tc>
        <w:tc>
          <w:tcPr>
            <w:tcW w:w="86"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5"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820"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(124,744</w:t>
            </w:r>
          </w:p>
        </w:tc>
        <w:tc>
          <w:tcPr>
            <w:tcW w:w="86"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5"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41"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93,991</w:t>
            </w:r>
          </w:p>
        </w:tc>
        <w:tc>
          <w:tcPr>
            <w:tcW w:w="65"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543"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(75.3)</w:t>
            </w:r>
          </w:p>
        </w:tc>
        <w:tc>
          <w:tcPr>
            <w:tcW w:w="185"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50"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(88,119</w:t>
            </w:r>
          </w:p>
        </w:tc>
        <w:tc>
          <w:tcPr>
            <w:tcW w:w="80"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755"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(223,267</w:t>
            </w:r>
          </w:p>
        </w:tc>
        <w:tc>
          <w:tcPr>
            <w:tcW w:w="80"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135,148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(60.5)</w:t>
            </w:r>
          </w:p>
        </w:tc>
        <w:tc>
          <w:tcPr>
            <w:tcW w:w="200"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lineRule="auto" w:line="300" w:before="0" w:after="0"/>
        <w:jc w:val="left"/>
        <w:rPr/>
      </w:pPr>
      <w:r>
        <w:rPr/>
        <w:t> </w:t>
      </w:r>
    </w:p>
    <w:p>
      <w:pPr>
        <w:pStyle w:val="TextBody"/>
        <w:bidi w:val="0"/>
        <w:spacing w:lineRule="auto" w:line="300" w:before="0" w:after="0"/>
        <w:ind w:left="0" w:right="0" w:firstLine="720"/>
        <w:jc w:val="both"/>
        <w:rPr>
          <w:rFonts w:ascii="Times New Roman;Times;serif" w:hAnsi="Times New Roman;Times;serif"/>
          <w:sz w:val="20"/>
        </w:rPr>
      </w:pPr>
      <w:r>
        <w:rPr>
          <w:rFonts w:ascii="Times New Roman;Times;serif" w:hAnsi="Times New Roman;Times;serif"/>
          <w:sz w:val="20"/>
        </w:rPr>
        <w:t>As a result of the factors discussed above, net loss decreased by $94.0 million in the three months ended June 30, 2026 compared to the three months ended June 30, 2025.</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rFonts w:ascii="Times New Roman;Times;serif" w:hAnsi="Times New Roman;Times;serif"/>
          <w:sz w:val="20"/>
        </w:rPr>
      </w:pPr>
      <w:r>
        <w:rPr>
          <w:rFonts w:ascii="Times New Roman;Times;serif" w:hAnsi="Times New Roman;Times;serif"/>
          <w:sz w:val="20"/>
        </w:rPr>
        <w:t>As a result of the factors discussed above, net loss decreased by $135.1 million in the six months ended June 30, 2026 compared to the six months ended June 30, 2025.</w:t>
      </w:r>
    </w:p>
    <w:p>
      <w:pPr>
        <w:pStyle w:val="TextBody"/>
        <w:bidi w:val="0"/>
        <w:spacing w:lineRule="auto" w:line="300" w:before="0" w:after="0"/>
        <w:jc w:val="left"/>
        <w:rPr/>
      </w:pPr>
      <w:r>
        <w:rPr/>
        <w:t> </w:t>
      </w:r>
    </w:p>
    <w:p>
      <w:pPr>
        <w:pStyle w:val="TextBody"/>
        <w:bidi w:val="0"/>
        <w:spacing w:lineRule="auto" w:line="300" w:before="0" w:after="0"/>
        <w:ind w:left="0" w:right="0" w:firstLine="360"/>
        <w:jc w:val="left"/>
        <w:rPr>
          <w:rFonts w:ascii="Times New Roman;Times;serif" w:hAnsi="Times New Roman;Times;serif"/>
          <w:b/>
          <w:sz w:val="20"/>
        </w:rPr>
      </w:pPr>
      <w:r>
        <w:rPr>
          <w:rFonts w:ascii="Times New Roman;Times;serif" w:hAnsi="Times New Roman;Times;serif"/>
          <w:b/>
          <w:sz w:val="20"/>
        </w:rPr>
        <w:t>Liquidity and Capital Resources</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rFonts w:ascii="Times New Roman;Times;serif" w:hAnsi="Times New Roman;Times;serif"/>
          <w:sz w:val="20"/>
        </w:rPr>
      </w:pPr>
      <w:r>
        <w:rPr>
          <w:rFonts w:ascii="Times New Roman;Times;serif" w:hAnsi="Times New Roman;Times;serif"/>
          <w:sz w:val="20"/>
        </w:rPr>
        <w:t>The following table shows our cash flows from operating activities, investing activities, and financing activities for the stated periods:</w:t>
      </w:r>
    </w:p>
    <w:p>
      <w:pPr>
        <w:pStyle w:val="TextBody"/>
        <w:bidi w:val="0"/>
        <w:spacing w:lineRule="auto" w:line="300" w:before="0" w:after="0"/>
        <w:ind w:left="0" w:right="0" w:firstLine="720"/>
        <w:jc w:val="both"/>
        <w:rPr/>
      </w:pPr>
      <w:r>
        <w:rPr/>
        <w:t> </w:t>
      </w:r>
    </w:p>
    <w:tbl>
      <w:tblPr>
        <w:tblW w:w="10205" w:type="dxa"/>
        <w:jc w:val="left"/>
        <w:tblInd w:w="0" w:type="dxa"/>
        <w:tblLayout w:type="fixed"/>
        <w:tblCellMar>
          <w:top w:w="0" w:type="dxa"/>
          <w:left w:w="0" w:type="dxa"/>
          <w:bottom w:w="0" w:type="dxa"/>
          <w:right w:w="0" w:type="dxa"/>
        </w:tblCellMar>
      </w:tblPr>
      <w:tblGrid>
        <w:gridCol w:w="5337"/>
        <w:gridCol w:w="60"/>
        <w:gridCol w:w="190"/>
        <w:gridCol w:w="902"/>
        <w:gridCol w:w="91"/>
        <w:gridCol w:w="91"/>
        <w:gridCol w:w="190"/>
        <w:gridCol w:w="902"/>
        <w:gridCol w:w="80"/>
        <w:gridCol w:w="60"/>
        <w:gridCol w:w="158"/>
        <w:gridCol w:w="825"/>
        <w:gridCol w:w="101"/>
        <w:gridCol w:w="75"/>
        <w:gridCol w:w="158"/>
        <w:gridCol w:w="882"/>
        <w:gridCol w:w="103"/>
      </w:tblGrid>
      <w:tr>
        <w:trPr/>
        <w:tc>
          <w:tcPr>
            <w:tcW w:w="533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66" w:type="dxa"/>
            <w:gridSpan w:val="6"/>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Three Months Ended June 30,</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99" w:type="dxa"/>
            <w:gridSpan w:val="6"/>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Six Months Ended June 30,</w:t>
            </w:r>
          </w:p>
        </w:tc>
        <w:tc>
          <w:tcPr>
            <w:tcW w:w="103" w:type="dxa"/>
            <w:tcBorders/>
            <w:vAlign w:val="center"/>
          </w:tcPr>
          <w:p>
            <w:pPr>
              <w:pStyle w:val="TableContents"/>
              <w:bidi w:val="0"/>
              <w:spacing w:before="0" w:after="283"/>
              <w:jc w:val="left"/>
              <w:rPr/>
            </w:pPr>
            <w:r>
              <w:rPr/>
              <w:t> </w:t>
            </w:r>
          </w:p>
        </w:tc>
      </w:tr>
      <w:tr>
        <w:trPr/>
        <w:tc>
          <w:tcPr>
            <w:tcW w:w="533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92"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2026</w:t>
            </w:r>
          </w:p>
        </w:tc>
        <w:tc>
          <w:tcPr>
            <w:tcW w:w="91" w:type="dxa"/>
            <w:tcBorders/>
            <w:vAlign w:val="center"/>
          </w:tcPr>
          <w:p>
            <w:pPr>
              <w:pStyle w:val="TableContents"/>
              <w:bidi w:val="0"/>
              <w:spacing w:before="0" w:after="283"/>
              <w:jc w:val="left"/>
              <w:rPr/>
            </w:pPr>
            <w:r>
              <w:rPr/>
              <w:t> </w:t>
            </w:r>
          </w:p>
        </w:tc>
        <w:tc>
          <w:tcPr>
            <w:tcW w:w="91" w:type="dxa"/>
            <w:tcBorders/>
            <w:vAlign w:val="center"/>
          </w:tcPr>
          <w:p>
            <w:pPr>
              <w:pStyle w:val="TableContents"/>
              <w:bidi w:val="0"/>
              <w:spacing w:before="0" w:after="283"/>
              <w:jc w:val="left"/>
              <w:rPr/>
            </w:pPr>
            <w:r>
              <w:rPr/>
              <w:t> </w:t>
            </w:r>
          </w:p>
        </w:tc>
        <w:tc>
          <w:tcPr>
            <w:tcW w:w="1092"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2025</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3"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2026</w:t>
            </w:r>
          </w:p>
        </w:tc>
        <w:tc>
          <w:tcPr>
            <w:tcW w:w="101"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c>
          <w:tcPr>
            <w:tcW w:w="1040"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2025</w:t>
            </w:r>
          </w:p>
        </w:tc>
        <w:tc>
          <w:tcPr>
            <w:tcW w:w="103" w:type="dxa"/>
            <w:tcBorders/>
            <w:vAlign w:val="center"/>
          </w:tcPr>
          <w:p>
            <w:pPr>
              <w:pStyle w:val="TableContents"/>
              <w:bidi w:val="0"/>
              <w:spacing w:before="0" w:after="283"/>
              <w:jc w:val="left"/>
              <w:rPr/>
            </w:pPr>
            <w:r>
              <w:rPr/>
              <w:t> </w:t>
            </w:r>
          </w:p>
        </w:tc>
      </w:tr>
      <w:tr>
        <w:trPr/>
        <w:tc>
          <w:tcPr>
            <w:tcW w:w="533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705" w:type="dxa"/>
            <w:gridSpan w:val="14"/>
            <w:tcBorders/>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(In thousands)</w:t>
            </w:r>
          </w:p>
        </w:tc>
        <w:tc>
          <w:tcPr>
            <w:tcW w:w="103" w:type="dxa"/>
            <w:tcBorders/>
            <w:vAlign w:val="center"/>
          </w:tcPr>
          <w:p>
            <w:pPr>
              <w:pStyle w:val="TableContents"/>
              <w:bidi w:val="0"/>
              <w:spacing w:before="0" w:after="283"/>
              <w:jc w:val="left"/>
              <w:rPr/>
            </w:pPr>
            <w:r>
              <w:rPr/>
              <w:t> </w:t>
            </w:r>
          </w:p>
        </w:tc>
      </w:tr>
      <w:tr>
        <w:trPr/>
        <w:tc>
          <w:tcPr>
            <w:tcW w:w="5337" w:type="dxa"/>
            <w:tcBorders/>
            <w:shd w:fill="CCEEFF" w:val="clear"/>
            <w:vAlign w:val="center"/>
          </w:tcPr>
          <w:p>
            <w:pPr>
              <w:pStyle w:val="TableContents"/>
              <w:bidi w:val="0"/>
              <w:spacing w:lineRule="auto" w:line="300" w:before="0" w:after="0"/>
              <w:ind w:left="219" w:right="0" w:hanging="200"/>
              <w:jc w:val="left"/>
              <w:rPr>
                <w:rFonts w:ascii="Times New Roman;Times;serif" w:hAnsi="Times New Roman;Times;serif"/>
                <w:sz w:val="20"/>
              </w:rPr>
            </w:pPr>
            <w:r>
              <w:rPr>
                <w:rFonts w:ascii="Times New Roman;Times;serif" w:hAnsi="Times New Roman;Times;serif"/>
                <w:sz w:val="20"/>
              </w:rPr>
              <w:t>Net cash provided by (used in) operating activities</w:t>
            </w:r>
          </w:p>
        </w:tc>
        <w:tc>
          <w:tcPr>
            <w:tcW w:w="60"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902"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11,416</w:t>
            </w:r>
          </w:p>
        </w:tc>
        <w:tc>
          <w:tcPr>
            <w:tcW w:w="91"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902"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(7,799</w:t>
            </w:r>
          </w:p>
        </w:tc>
        <w:tc>
          <w:tcPr>
            <w:tcW w:w="80"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825"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35,844</w:t>
            </w:r>
          </w:p>
        </w:tc>
        <w:tc>
          <w:tcPr>
            <w:tcW w:w="101"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882"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26,024</w:t>
            </w:r>
          </w:p>
        </w:tc>
        <w:tc>
          <w:tcPr>
            <w:tcW w:w="103" w:type="dxa"/>
            <w:tcBorders/>
            <w:shd w:fill="CCEEFF" w:val="clear"/>
            <w:vAlign w:val="center"/>
          </w:tcPr>
          <w:p>
            <w:pPr>
              <w:pStyle w:val="TableContents"/>
              <w:bidi w:val="0"/>
              <w:spacing w:before="0" w:after="283"/>
              <w:jc w:val="left"/>
              <w:rPr/>
            </w:pPr>
            <w:r>
              <w:rPr/>
              <w:t> </w:t>
            </w:r>
          </w:p>
        </w:tc>
      </w:tr>
      <w:tr>
        <w:trPr/>
        <w:tc>
          <w:tcPr>
            <w:tcW w:w="5337" w:type="dxa"/>
            <w:tcBorders/>
            <w:vAlign w:val="center"/>
          </w:tcPr>
          <w:p>
            <w:pPr>
              <w:pStyle w:val="TableContents"/>
              <w:bidi w:val="0"/>
              <w:spacing w:lineRule="auto" w:line="300" w:before="0" w:after="0"/>
              <w:ind w:left="219" w:right="0" w:hanging="200"/>
              <w:jc w:val="left"/>
              <w:rPr>
                <w:rFonts w:ascii="Times New Roman;Times;serif" w:hAnsi="Times New Roman;Times;serif"/>
                <w:sz w:val="20"/>
              </w:rPr>
            </w:pPr>
            <w:r>
              <w:rPr>
                <w:rFonts w:ascii="Times New Roman;Times;serif" w:hAnsi="Times New Roman;Times;serif"/>
                <w:sz w:val="20"/>
              </w:rPr>
              <w:t>Net cash provided by (used in) investing activities</w:t>
            </w:r>
          </w:p>
        </w:tc>
        <w:tc>
          <w:tcPr>
            <w:tcW w:w="60" w:type="dxa"/>
            <w:tcBorders/>
            <w:vAlign w:val="center"/>
          </w:tcPr>
          <w:p>
            <w:pPr>
              <w:pStyle w:val="TableContents"/>
              <w:bidi w:val="0"/>
              <w:spacing w:before="0" w:after="283"/>
              <w:jc w:val="left"/>
              <w:rPr/>
            </w:pPr>
            <w:r>
              <w:rPr/>
              <w:t> </w:t>
            </w:r>
          </w:p>
        </w:tc>
        <w:tc>
          <w:tcPr>
            <w:tcW w:w="190" w:type="dxa"/>
            <w:tcBorders/>
            <w:vAlign w:val="center"/>
          </w:tcPr>
          <w:p>
            <w:pPr>
              <w:pStyle w:val="TableContents"/>
              <w:bidi w:val="0"/>
              <w:spacing w:before="0" w:after="283"/>
              <w:jc w:val="left"/>
              <w:rPr/>
            </w:pPr>
            <w:r>
              <w:rPr/>
              <w:t> </w:t>
            </w:r>
          </w:p>
        </w:tc>
        <w:tc>
          <w:tcPr>
            <w:tcW w:w="902"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1,909</w:t>
            </w:r>
          </w:p>
        </w:tc>
        <w:tc>
          <w:tcPr>
            <w:tcW w:w="91" w:type="dxa"/>
            <w:tcBorders/>
            <w:vAlign w:val="center"/>
          </w:tcPr>
          <w:p>
            <w:pPr>
              <w:pStyle w:val="TableContents"/>
              <w:bidi w:val="0"/>
              <w:spacing w:before="0" w:after="283"/>
              <w:jc w:val="left"/>
              <w:rPr/>
            </w:pPr>
            <w:r>
              <w:rPr/>
              <w:t> </w:t>
            </w:r>
          </w:p>
        </w:tc>
        <w:tc>
          <w:tcPr>
            <w:tcW w:w="91" w:type="dxa"/>
            <w:tcBorders/>
            <w:vAlign w:val="center"/>
          </w:tcPr>
          <w:p>
            <w:pPr>
              <w:pStyle w:val="TableContents"/>
              <w:bidi w:val="0"/>
              <w:spacing w:before="0" w:after="283"/>
              <w:jc w:val="left"/>
              <w:rPr/>
            </w:pPr>
            <w:r>
              <w:rPr/>
              <w:t> </w:t>
            </w:r>
          </w:p>
        </w:tc>
        <w:tc>
          <w:tcPr>
            <w:tcW w:w="190" w:type="dxa"/>
            <w:tcBorders/>
            <w:vAlign w:val="center"/>
          </w:tcPr>
          <w:p>
            <w:pPr>
              <w:pStyle w:val="TableContents"/>
              <w:bidi w:val="0"/>
              <w:spacing w:before="0" w:after="283"/>
              <w:jc w:val="left"/>
              <w:rPr/>
            </w:pPr>
            <w:r>
              <w:rPr/>
              <w:t> </w:t>
            </w:r>
          </w:p>
        </w:tc>
        <w:tc>
          <w:tcPr>
            <w:tcW w:w="902"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68,590</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8" w:type="dxa"/>
            <w:tcBorders/>
            <w:vAlign w:val="center"/>
          </w:tcPr>
          <w:p>
            <w:pPr>
              <w:pStyle w:val="TableContents"/>
              <w:bidi w:val="0"/>
              <w:spacing w:before="0" w:after="283"/>
              <w:jc w:val="left"/>
              <w:rPr/>
            </w:pPr>
            <w:r>
              <w:rPr/>
              <w:t> </w:t>
            </w:r>
          </w:p>
        </w:tc>
        <w:tc>
          <w:tcPr>
            <w:tcW w:w="825"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(18,531</w:t>
            </w:r>
          </w:p>
        </w:tc>
        <w:tc>
          <w:tcPr>
            <w:tcW w:w="101"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75" w:type="dxa"/>
            <w:tcBorders/>
            <w:vAlign w:val="center"/>
          </w:tcPr>
          <w:p>
            <w:pPr>
              <w:pStyle w:val="TableContents"/>
              <w:bidi w:val="0"/>
              <w:spacing w:before="0" w:after="283"/>
              <w:jc w:val="left"/>
              <w:rPr/>
            </w:pPr>
            <w:r>
              <w:rPr/>
              <w:t> </w:t>
            </w:r>
          </w:p>
        </w:tc>
        <w:tc>
          <w:tcPr>
            <w:tcW w:w="158" w:type="dxa"/>
            <w:tcBorders/>
            <w:vAlign w:val="center"/>
          </w:tcPr>
          <w:p>
            <w:pPr>
              <w:pStyle w:val="TableContents"/>
              <w:bidi w:val="0"/>
              <w:spacing w:before="0" w:after="283"/>
              <w:jc w:val="left"/>
              <w:rPr/>
            </w:pPr>
            <w:r>
              <w:rPr/>
              <w:t> </w:t>
            </w:r>
          </w:p>
        </w:tc>
        <w:tc>
          <w:tcPr>
            <w:tcW w:w="882"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136,187</w:t>
            </w:r>
          </w:p>
        </w:tc>
        <w:tc>
          <w:tcPr>
            <w:tcW w:w="103" w:type="dxa"/>
            <w:tcBorders/>
            <w:vAlign w:val="center"/>
          </w:tcPr>
          <w:p>
            <w:pPr>
              <w:pStyle w:val="TableContents"/>
              <w:bidi w:val="0"/>
              <w:spacing w:before="0" w:after="283"/>
              <w:jc w:val="left"/>
              <w:rPr/>
            </w:pPr>
            <w:r>
              <w:rPr/>
              <w:t> </w:t>
            </w:r>
          </w:p>
        </w:tc>
      </w:tr>
      <w:tr>
        <w:trPr/>
        <w:tc>
          <w:tcPr>
            <w:tcW w:w="5337" w:type="dxa"/>
            <w:tcBorders/>
            <w:shd w:fill="CCEEFF" w:val="clear"/>
            <w:vAlign w:val="center"/>
          </w:tcPr>
          <w:p>
            <w:pPr>
              <w:pStyle w:val="TableContents"/>
              <w:bidi w:val="0"/>
              <w:spacing w:lineRule="auto" w:line="300" w:before="0" w:after="0"/>
              <w:ind w:left="219" w:right="0" w:hanging="200"/>
              <w:jc w:val="left"/>
              <w:rPr>
                <w:rFonts w:ascii="Times New Roman;Times;serif" w:hAnsi="Times New Roman;Times;serif"/>
                <w:sz w:val="20"/>
              </w:rPr>
            </w:pPr>
            <w:r>
              <w:rPr>
                <w:rFonts w:ascii="Times New Roman;Times;serif" w:hAnsi="Times New Roman;Times;serif"/>
                <w:sz w:val="20"/>
              </w:rPr>
              <w:t>Net cash provided by (used in) financing activities</w:t>
            </w:r>
          </w:p>
        </w:tc>
        <w:tc>
          <w:tcPr>
            <w:tcW w:w="60"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jc w:val="left"/>
              <w:rPr/>
            </w:pPr>
            <w:r>
              <w:rPr/>
              <w:t> </w:t>
            </w:r>
          </w:p>
        </w:tc>
        <w:tc>
          <w:tcPr>
            <w:tcW w:w="902"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8,793</w:t>
            </w:r>
          </w:p>
        </w:tc>
        <w:tc>
          <w:tcPr>
            <w:tcW w:w="91"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jc w:val="left"/>
              <w:rPr/>
            </w:pPr>
            <w:r>
              <w:rPr/>
              <w:t> </w:t>
            </w:r>
          </w:p>
        </w:tc>
        <w:tc>
          <w:tcPr>
            <w:tcW w:w="902"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(373</w:t>
            </w:r>
          </w:p>
        </w:tc>
        <w:tc>
          <w:tcPr>
            <w:tcW w:w="80"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825"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10,781</w:t>
            </w:r>
          </w:p>
        </w:tc>
        <w:tc>
          <w:tcPr>
            <w:tcW w:w="101"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882"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(6,610</w:t>
            </w:r>
          </w:p>
        </w:tc>
        <w:tc>
          <w:tcPr>
            <w:tcW w:w="103"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r>
      <w:tr>
        <w:trPr/>
        <w:tc>
          <w:tcPr>
            <w:tcW w:w="5337" w:type="dxa"/>
            <w:tcBorders/>
            <w:vAlign w:val="center"/>
          </w:tcPr>
          <w:p>
            <w:pPr>
              <w:pStyle w:val="TableContents"/>
              <w:bidi w:val="0"/>
              <w:spacing w:lineRule="auto" w:line="300" w:before="0" w:after="0"/>
              <w:ind w:left="219" w:right="0" w:hanging="200"/>
              <w:jc w:val="left"/>
              <w:rPr>
                <w:rFonts w:ascii="Times New Roman;Times;serif" w:hAnsi="Times New Roman;Times;serif"/>
                <w:sz w:val="20"/>
              </w:rPr>
            </w:pPr>
            <w:r>
              <w:rPr>
                <w:rFonts w:ascii="Times New Roman;Times;serif" w:hAnsi="Times New Roman;Times;serif"/>
                <w:sz w:val="20"/>
              </w:rPr>
              <w:t>Effect of exchange rate changes on cash, cash equivalents and restricted cash</w:t>
            </w:r>
          </w:p>
        </w:tc>
        <w:tc>
          <w:tcPr>
            <w:tcW w:w="60" w:type="dxa"/>
            <w:tcBorders/>
            <w:vAlign w:val="center"/>
          </w:tcPr>
          <w:p>
            <w:pPr>
              <w:pStyle w:val="TableContents"/>
              <w:bidi w:val="0"/>
              <w:spacing w:before="0" w:after="283"/>
              <w:jc w:val="left"/>
              <w:rPr/>
            </w:pPr>
            <w:r>
              <w:rPr/>
              <w:t> </w:t>
            </w:r>
          </w:p>
        </w:tc>
        <w:tc>
          <w:tcPr>
            <w:tcW w:w="190" w:type="dxa"/>
            <w:tcBorders/>
            <w:vAlign w:val="center"/>
          </w:tcPr>
          <w:p>
            <w:pPr>
              <w:pStyle w:val="TableContents"/>
              <w:bidi w:val="0"/>
              <w:spacing w:before="0" w:after="283"/>
              <w:jc w:val="left"/>
              <w:rPr/>
            </w:pPr>
            <w:r>
              <w:rPr/>
              <w:t> </w:t>
            </w:r>
          </w:p>
        </w:tc>
        <w:tc>
          <w:tcPr>
            <w:tcW w:w="902"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6,433</w:t>
            </w:r>
          </w:p>
        </w:tc>
        <w:tc>
          <w:tcPr>
            <w:tcW w:w="91" w:type="dxa"/>
            <w:tcBorders/>
            <w:vAlign w:val="center"/>
          </w:tcPr>
          <w:p>
            <w:pPr>
              <w:pStyle w:val="TableContents"/>
              <w:bidi w:val="0"/>
              <w:spacing w:before="0" w:after="283"/>
              <w:jc w:val="left"/>
              <w:rPr/>
            </w:pPr>
            <w:r>
              <w:rPr/>
              <w:t> </w:t>
            </w:r>
          </w:p>
        </w:tc>
        <w:tc>
          <w:tcPr>
            <w:tcW w:w="91" w:type="dxa"/>
            <w:tcBorders/>
            <w:vAlign w:val="center"/>
          </w:tcPr>
          <w:p>
            <w:pPr>
              <w:pStyle w:val="TableContents"/>
              <w:bidi w:val="0"/>
              <w:spacing w:before="0" w:after="283"/>
              <w:jc w:val="left"/>
              <w:rPr/>
            </w:pPr>
            <w:r>
              <w:rPr/>
              <w:t> </w:t>
            </w:r>
          </w:p>
        </w:tc>
        <w:tc>
          <w:tcPr>
            <w:tcW w:w="190" w:type="dxa"/>
            <w:tcBorders/>
            <w:vAlign w:val="center"/>
          </w:tcPr>
          <w:p>
            <w:pPr>
              <w:pStyle w:val="TableContents"/>
              <w:bidi w:val="0"/>
              <w:spacing w:before="0" w:after="283"/>
              <w:jc w:val="left"/>
              <w:rPr/>
            </w:pPr>
            <w:r>
              <w:rPr/>
              <w:t> </w:t>
            </w:r>
          </w:p>
        </w:tc>
        <w:tc>
          <w:tcPr>
            <w:tcW w:w="902"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6,265</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8" w:type="dxa"/>
            <w:tcBorders/>
            <w:vAlign w:val="center"/>
          </w:tcPr>
          <w:p>
            <w:pPr>
              <w:pStyle w:val="TableContents"/>
              <w:bidi w:val="0"/>
              <w:spacing w:before="0" w:after="283"/>
              <w:jc w:val="left"/>
              <w:rPr/>
            </w:pPr>
            <w:r>
              <w:rPr/>
              <w:t> </w:t>
            </w:r>
          </w:p>
        </w:tc>
        <w:tc>
          <w:tcPr>
            <w:tcW w:w="825"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5,287</w:t>
            </w:r>
          </w:p>
        </w:tc>
        <w:tc>
          <w:tcPr>
            <w:tcW w:w="101"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c>
          <w:tcPr>
            <w:tcW w:w="158" w:type="dxa"/>
            <w:tcBorders/>
            <w:vAlign w:val="center"/>
          </w:tcPr>
          <w:p>
            <w:pPr>
              <w:pStyle w:val="TableContents"/>
              <w:bidi w:val="0"/>
              <w:spacing w:before="0" w:after="283"/>
              <w:jc w:val="left"/>
              <w:rPr/>
            </w:pPr>
            <w:r>
              <w:rPr/>
              <w:t> </w:t>
            </w:r>
          </w:p>
        </w:tc>
        <w:tc>
          <w:tcPr>
            <w:tcW w:w="882"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6,966</w:t>
            </w:r>
          </w:p>
        </w:tc>
        <w:tc>
          <w:tcPr>
            <w:tcW w:w="103" w:type="dxa"/>
            <w:tcBorders/>
            <w:vAlign w:val="center"/>
          </w:tcPr>
          <w:p>
            <w:pPr>
              <w:pStyle w:val="TableContents"/>
              <w:bidi w:val="0"/>
              <w:spacing w:before="0" w:after="283"/>
              <w:jc w:val="left"/>
              <w:rPr/>
            </w:pPr>
            <w:r>
              <w:rPr/>
              <w:t> </w:t>
            </w:r>
          </w:p>
        </w:tc>
      </w:tr>
      <w:tr>
        <w:trPr/>
        <w:tc>
          <w:tcPr>
            <w:tcW w:w="5337" w:type="dxa"/>
            <w:tcBorders/>
            <w:shd w:fill="CCEEFF" w:val="clear"/>
            <w:vAlign w:val="center"/>
          </w:tcPr>
          <w:p>
            <w:pPr>
              <w:pStyle w:val="TableContents"/>
              <w:bidi w:val="0"/>
              <w:spacing w:lineRule="auto" w:line="300" w:before="0" w:after="0"/>
              <w:ind w:left="219" w:right="0" w:hanging="200"/>
              <w:jc w:val="left"/>
              <w:rPr>
                <w:rFonts w:ascii="Times New Roman;Times;serif" w:hAnsi="Times New Roman;Times;serif"/>
                <w:sz w:val="20"/>
              </w:rPr>
            </w:pPr>
            <w:r>
              <w:rPr>
                <w:rFonts w:ascii="Times New Roman;Times;serif" w:hAnsi="Times New Roman;Times;serif"/>
                <w:sz w:val="20"/>
              </w:rPr>
              <w:t>Change in cash classified within current held-for-sale assets</w:t>
            </w:r>
          </w:p>
        </w:tc>
        <w:tc>
          <w:tcPr>
            <w:tcW w:w="60" w:type="dxa"/>
            <w:tcBorders/>
            <w:shd w:fill="CCEEFF" w:val="clear"/>
            <w:vAlign w:val="center"/>
          </w:tcPr>
          <w:p>
            <w:pPr>
              <w:pStyle w:val="TableContents"/>
              <w:bidi w:val="0"/>
              <w:spacing w:before="0" w:after="283"/>
              <w:jc w:val="left"/>
              <w:rPr/>
            </w:pPr>
            <w:r>
              <w:rPr/>
              <w:t> </w:t>
            </w:r>
          </w:p>
        </w:tc>
        <w:tc>
          <w:tcPr>
            <w:tcW w:w="1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2" w:type="dxa"/>
            <w:tcBorders>
              <w:bottom w:val="single" w:sz="12" w:space="0" w:color="000000"/>
            </w:tcBorders>
            <w:shd w:fill="CCEEFF" w:val="clear"/>
            <w:tcMar>
              <w:bottom w:w="28" w:type="dxa"/>
            </w:tcMar>
            <w:vAlign w:val="center"/>
          </w:tcPr>
          <w:p>
            <w:pPr>
              <w:pStyle w:val="TableContents"/>
              <w:bidi w:val="0"/>
              <w:spacing w:lineRule="auto" w:line="300" w:before="0" w:after="0"/>
              <w:jc w:val="right"/>
              <w:rPr/>
            </w:pPr>
            <w:r>
              <w:rPr/>
              <w:t>—</w:t>
            </w:r>
          </w:p>
        </w:tc>
        <w:tc>
          <w:tcPr>
            <w:tcW w:w="91"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1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2" w:type="dxa"/>
            <w:tcBorders>
              <w:bottom w:val="single" w:sz="12" w:space="0" w:color="000000"/>
            </w:tcBorders>
            <w:shd w:fill="CCEEFF" w:val="clear"/>
            <w:tcMar>
              <w:bottom w:w="28" w:type="dxa"/>
            </w:tcMar>
            <w:vAlign w:val="center"/>
          </w:tcPr>
          <w:p>
            <w:pPr>
              <w:pStyle w:val="TableContents"/>
              <w:bidi w:val="0"/>
              <w:spacing w:lineRule="auto" w:line="300" w:before="0" w:after="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25" w:type="dxa"/>
            <w:tcBorders>
              <w:bottom w:val="single" w:sz="12" w:space="0" w:color="000000"/>
            </w:tcBorders>
            <w:shd w:fill="CCEEFF" w:val="clear"/>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8,690</w:t>
            </w:r>
          </w:p>
        </w:tc>
        <w:tc>
          <w:tcPr>
            <w:tcW w:w="101"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15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82" w:type="dxa"/>
            <w:tcBorders>
              <w:bottom w:val="single" w:sz="12" w:space="0" w:color="000000"/>
            </w:tcBorders>
            <w:shd w:fill="CCEEFF" w:val="clear"/>
            <w:tcMar>
              <w:bottom w:w="28" w:type="dxa"/>
            </w:tcMar>
            <w:vAlign w:val="center"/>
          </w:tcPr>
          <w:p>
            <w:pPr>
              <w:pStyle w:val="TableContents"/>
              <w:bidi w:val="0"/>
              <w:spacing w:lineRule="auto" w:line="300" w:before="0" w:after="0"/>
              <w:jc w:val="right"/>
              <w:rPr/>
            </w:pPr>
            <w:r>
              <w:rPr/>
              <w:t>—</w:t>
            </w:r>
          </w:p>
        </w:tc>
        <w:tc>
          <w:tcPr>
            <w:tcW w:w="103" w:type="dxa"/>
            <w:tcBorders/>
            <w:shd w:fill="CCEEFF" w:val="clear"/>
            <w:vAlign w:val="center"/>
          </w:tcPr>
          <w:p>
            <w:pPr>
              <w:pStyle w:val="TableContents"/>
              <w:bidi w:val="0"/>
              <w:spacing w:before="0" w:after="283"/>
              <w:jc w:val="left"/>
              <w:rPr/>
            </w:pPr>
            <w:r>
              <w:rPr/>
              <w:t> </w:t>
            </w:r>
          </w:p>
        </w:tc>
      </w:tr>
      <w:tr>
        <w:trPr/>
        <w:tc>
          <w:tcPr>
            <w:tcW w:w="5337" w:type="dxa"/>
            <w:tcBorders/>
            <w:vAlign w:val="center"/>
          </w:tcPr>
          <w:p>
            <w:pPr>
              <w:pStyle w:val="TableContents"/>
              <w:bidi w:val="0"/>
              <w:spacing w:lineRule="auto" w:line="300" w:before="0" w:after="0"/>
              <w:ind w:left="219" w:right="0" w:hanging="200"/>
              <w:jc w:val="left"/>
              <w:rPr>
                <w:rFonts w:ascii="Times New Roman;Times;serif" w:hAnsi="Times New Roman;Times;serif"/>
                <w:sz w:val="20"/>
              </w:rPr>
            </w:pPr>
            <w:r>
              <w:rPr>
                <w:rFonts w:ascii="Times New Roman;Times;serif" w:hAnsi="Times New Roman;Times;serif"/>
                <w:sz w:val="20"/>
              </w:rPr>
              <w:t>Increase in cash, cash equivalents and restricted cash</w:t>
            </w:r>
          </w:p>
        </w:tc>
        <w:tc>
          <w:tcPr>
            <w:tcW w:w="60" w:type="dxa"/>
            <w:tcBorders/>
            <w:vAlign w:val="center"/>
          </w:tcPr>
          <w:p>
            <w:pPr>
              <w:pStyle w:val="TableContents"/>
              <w:bidi w:val="0"/>
              <w:spacing w:before="0" w:after="283"/>
              <w:jc w:val="left"/>
              <w:rPr/>
            </w:pPr>
            <w:r>
              <w:rPr/>
              <w:t> </w:t>
            </w:r>
          </w:p>
        </w:tc>
        <w:tc>
          <w:tcPr>
            <w:tcW w:w="190" w:type="dxa"/>
            <w:tcBorders>
              <w:bottom w:val="double" w:sz="8" w:space="0" w:color="000000"/>
            </w:tcBorders>
            <w:tcMar>
              <w:bottom w:w="28" w:type="dxa"/>
            </w:tcM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902" w:type="dxa"/>
            <w:tcBorders>
              <w:bottom w:val="double" w:sz="8" w:space="0" w:color="000000"/>
            </w:tcBorders>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28,551</w:t>
            </w:r>
          </w:p>
        </w:tc>
        <w:tc>
          <w:tcPr>
            <w:tcW w:w="91" w:type="dxa"/>
            <w:tcBorders/>
            <w:vAlign w:val="center"/>
          </w:tcPr>
          <w:p>
            <w:pPr>
              <w:pStyle w:val="TableContents"/>
              <w:bidi w:val="0"/>
              <w:spacing w:before="0" w:after="283"/>
              <w:jc w:val="left"/>
              <w:rPr/>
            </w:pPr>
            <w:r>
              <w:rPr/>
              <w:t> </w:t>
            </w:r>
          </w:p>
        </w:tc>
        <w:tc>
          <w:tcPr>
            <w:tcW w:w="91" w:type="dxa"/>
            <w:tcBorders/>
            <w:vAlign w:val="center"/>
          </w:tcPr>
          <w:p>
            <w:pPr>
              <w:pStyle w:val="TableContents"/>
              <w:bidi w:val="0"/>
              <w:spacing w:before="0" w:after="283"/>
              <w:jc w:val="left"/>
              <w:rPr/>
            </w:pPr>
            <w:r>
              <w:rPr/>
              <w:t> </w:t>
            </w:r>
          </w:p>
        </w:tc>
        <w:tc>
          <w:tcPr>
            <w:tcW w:w="190" w:type="dxa"/>
            <w:tcBorders>
              <w:bottom w:val="double" w:sz="8" w:space="0" w:color="000000"/>
            </w:tcBorders>
            <w:tcMar>
              <w:bottom w:w="28" w:type="dxa"/>
            </w:tcM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902" w:type="dxa"/>
            <w:tcBorders>
              <w:bottom w:val="double" w:sz="8" w:space="0" w:color="000000"/>
            </w:tcBorders>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66,683</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8" w:type="dxa"/>
            <w:tcBorders>
              <w:bottom w:val="double" w:sz="8" w:space="0" w:color="000000"/>
            </w:tcBorders>
            <w:tcMar>
              <w:bottom w:w="28" w:type="dxa"/>
            </w:tcM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825" w:type="dxa"/>
            <w:tcBorders>
              <w:bottom w:val="double" w:sz="8" w:space="0" w:color="000000"/>
            </w:tcBorders>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42,071</w:t>
            </w:r>
          </w:p>
        </w:tc>
        <w:tc>
          <w:tcPr>
            <w:tcW w:w="101"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c>
          <w:tcPr>
            <w:tcW w:w="158" w:type="dxa"/>
            <w:tcBorders>
              <w:bottom w:val="double" w:sz="8" w:space="0" w:color="000000"/>
            </w:tcBorders>
            <w:tcMar>
              <w:bottom w:w="28" w:type="dxa"/>
            </w:tcM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882" w:type="dxa"/>
            <w:tcBorders>
              <w:bottom w:val="double" w:sz="8" w:space="0" w:color="000000"/>
            </w:tcBorders>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162,567</w:t>
            </w:r>
          </w:p>
        </w:tc>
        <w:tc>
          <w:tcPr>
            <w:tcW w:w="103" w:type="dxa"/>
            <w:tcBorders/>
            <w:vAlign w:val="center"/>
          </w:tcPr>
          <w:p>
            <w:pPr>
              <w:pStyle w:val="TableContents"/>
              <w:bidi w:val="0"/>
              <w:spacing w:before="0" w:after="283"/>
              <w:jc w:val="left"/>
              <w:rPr/>
            </w:pPr>
            <w:r>
              <w:rPr/>
              <w:t> </w:t>
            </w:r>
          </w:p>
        </w:tc>
      </w:tr>
    </w:tbl>
    <w:p>
      <w:pPr>
        <w:pStyle w:val="TextBody"/>
        <w:bidi w:val="0"/>
        <w:spacing w:lineRule="auto" w:line="300" w:before="0" w:after="0"/>
        <w:jc w:val="left"/>
        <w:rPr/>
      </w:pPr>
      <w:r>
        <w:rPr/>
        <w:t> </w:t>
      </w:r>
    </w:p>
    <w:p>
      <w:pPr>
        <w:pStyle w:val="TextBody"/>
        <w:bidi w:val="0"/>
        <w:spacing w:lineRule="auto" w:line="300" w:before="0" w:after="0"/>
        <w:ind w:left="0" w:right="0" w:firstLine="720"/>
        <w:jc w:val="both"/>
        <w:rPr>
          <w:rFonts w:ascii="Times New Roman;Times;serif" w:hAnsi="Times New Roman;Times;serif"/>
          <w:sz w:val="20"/>
        </w:rPr>
      </w:pPr>
      <w:r>
        <w:rPr>
          <w:rFonts w:ascii="Times New Roman;Times;serif" w:hAnsi="Times New Roman;Times;serif"/>
          <w:sz w:val="20"/>
        </w:rPr>
        <w:t>As of June 30, 2026, our cash and cash equivalents were $527.3 million. This amount does not include $19.7 million invested in available-for-sale marketable securities and $54.7 million in restricted cash. Our principal uses of cash are for funding our operations, capital expenditures, other working capital requirements and other investments. As of June 30, 2026, we have open commitments for capital expenditures in an amount of approximately $12.8 million. These commitments mainly reflect purchases of automated assembly lines and other machinery related to our manufacturing and operations. We also have purchase obligations in the amount of $340.0 million, related to raw materials and commitments for the future manufacturing of our products.</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rFonts w:ascii="Times New Roman;Times;serif" w:hAnsi="Times New Roman;Times;serif"/>
          <w:sz w:val="20"/>
        </w:rPr>
      </w:pPr>
      <w:r>
        <w:rPr>
          <w:rFonts w:ascii="Times New Roman;Times;serif" w:hAnsi="Times New Roman;Times;serif"/>
          <w:sz w:val="20"/>
        </w:rPr>
        <w:t>As of June 30, 2026, we had a non-cancelable lease commitment for the initial term of a lease of approximately $272.8 million for new offices in Israel, which has not yet commenced. The lease is expected to commence by the end of 2026. The initial term of the lease agreement is 15 years commencing on the transfer of possession, with an option to extend the lease for additional periods of up to 10 years, subject to the conditions of the lease agreement. In November 2025, we amended our lease agreement with the developer for our new campus to reduce the leased area. In connection with the amendment, we agreed to make a lease modification payment of $28.8 million, which is accounted for as prepaid lease consideration under Accounting Standards Codification 842, "Leases". The full amount had been paid as of June 30, 2026.</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rFonts w:ascii="Times New Roman;Times;serif" w:hAnsi="Times New Roman;Times;serif"/>
          <w:sz w:val="20"/>
        </w:rPr>
      </w:pPr>
      <w:r>
        <w:rPr>
          <w:rFonts w:ascii="Times New Roman;Times;serif" w:hAnsi="Times New Roman;Times;serif"/>
          <w:sz w:val="20"/>
        </w:rPr>
        <w:t>Beginning in the fourth quarter of 2024, we started to sell AMPTCs to third parties pursuant to tax credit agreements. We plan to pursue additional tax credit sales in the future. Our inability to complete sales or delays in doing so may affect the timing of our cash inflows. Failing to sell AMPTCs could result in significant delays in the realization of the credits’ value, and would have a material negative effect on our liquidity.</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rFonts w:ascii="Times New Roman;Times;serif" w:hAnsi="Times New Roman;Times;serif"/>
          <w:sz w:val="20"/>
        </w:rPr>
      </w:pPr>
      <w:r>
        <w:rPr>
          <w:rFonts w:ascii="Times New Roman;Times;serif" w:hAnsi="Times New Roman;Times;serif"/>
          <w:sz w:val="20"/>
        </w:rPr>
        <w:t>We believe that cash provided by operating activities, as well as our cash and cash equivalents, and available-for-sale marketable securities will be sufficient to meet our anticipated cash needs for at least the next 12 months as well as in the longer term, including the self-funding of our capital expenditure, operational commitments and the redemption of our debt.</w:t>
      </w:r>
    </w:p>
    <w:p>
      <w:pPr>
        <w:pStyle w:val="TextBody"/>
        <w:bidi w:val="0"/>
        <w:spacing w:lineRule="auto" w:line="300"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SOLAREDGE TECHNOLOGIES INC. | 2026 Form 10-Q | 17</w:t>
      </w:r>
    </w:p>
    <w:p>
      <w:pPr>
        <w:pStyle w:val="HorizontalLine"/>
        <w:bidi w:val="0"/>
        <w:spacing w:lineRule="auto" w:line="300" w:before="200" w:after="200"/>
        <w:jc w:val="left"/>
        <w:rPr/>
      </w:pPr>
      <w:r>
        <w:rPr/>
      </w:r>
    </w:p>
    <w:p>
      <w:pPr>
        <w:pStyle w:val="TextBody"/>
        <w:bidi w:val="0"/>
        <w:spacing w:lineRule="auto" w:line="300" w:before="0" w:after="0"/>
        <w:jc w:val="left"/>
        <w:rPr/>
      </w:pPr>
      <w:r>
        <w:rPr/>
        <w:t> </w:t>
      </w:r>
    </w:p>
    <w:p>
      <w:pPr>
        <w:pStyle w:val="TextBody"/>
        <w:bidi w:val="0"/>
        <w:spacing w:lineRule="auto" w:line="300" w:before="0" w:after="0"/>
        <w:ind w:left="0" w:right="0" w:firstLine="360"/>
        <w:jc w:val="left"/>
        <w:rPr>
          <w:rFonts w:ascii="Times New Roman;Times;serif" w:hAnsi="Times New Roman;Times;serif"/>
          <w:b/>
          <w:i/>
          <w:sz w:val="20"/>
        </w:rPr>
      </w:pPr>
      <w:r>
        <w:rPr>
          <w:rFonts w:ascii="Times New Roman;Times;serif" w:hAnsi="Times New Roman;Times;serif"/>
          <w:b/>
          <w:i/>
          <w:sz w:val="20"/>
        </w:rPr>
        <w:t>Operating Activities</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rFonts w:ascii="Times New Roman;Times;serif" w:hAnsi="Times New Roman;Times;serif"/>
          <w:sz w:val="20"/>
        </w:rPr>
      </w:pPr>
      <w:r>
        <w:rPr>
          <w:rFonts w:ascii="Times New Roman;Times;serif" w:hAnsi="Times New Roman;Times;serif"/>
          <w:sz w:val="20"/>
        </w:rPr>
        <w:t>Operating cash flows consist primarily of net loss, adjusted for certain non-cash items and changes in assets and liabilities. Cash provided by operating activities was $35.8 million in the six months ended June 30, 2026 compared to $26.0 million in the six months ended June 30, 2025, attributed to an increase in working capital needs partially offset by lower net loss adjusted for certain non-cash items.</w:t>
      </w:r>
    </w:p>
    <w:p>
      <w:pPr>
        <w:pStyle w:val="TextBody"/>
        <w:bidi w:val="0"/>
        <w:spacing w:lineRule="auto" w:line="300" w:before="0" w:after="0"/>
        <w:jc w:val="left"/>
        <w:rPr/>
      </w:pPr>
      <w:r>
        <w:rPr/>
        <w:t> </w:t>
      </w:r>
    </w:p>
    <w:p>
      <w:pPr>
        <w:pStyle w:val="TextBody"/>
        <w:bidi w:val="0"/>
        <w:spacing w:lineRule="auto" w:line="300" w:before="0" w:after="0"/>
        <w:ind w:left="0" w:right="0" w:firstLine="360"/>
        <w:jc w:val="left"/>
        <w:rPr>
          <w:rFonts w:ascii="Times New Roman;Times;serif" w:hAnsi="Times New Roman;Times;serif"/>
          <w:b/>
          <w:i/>
          <w:sz w:val="20"/>
        </w:rPr>
      </w:pPr>
      <w:r>
        <w:rPr>
          <w:rFonts w:ascii="Times New Roman;Times;serif" w:hAnsi="Times New Roman;Times;serif"/>
          <w:b/>
          <w:i/>
          <w:sz w:val="20"/>
        </w:rPr>
        <w:t>Investing Activities</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rFonts w:ascii="Times New Roman;Times;serif" w:hAnsi="Times New Roman;Times;serif"/>
          <w:sz w:val="20"/>
        </w:rPr>
      </w:pPr>
      <w:r>
        <w:rPr>
          <w:rFonts w:ascii="Times New Roman;Times;serif" w:hAnsi="Times New Roman;Times;serif"/>
          <w:sz w:val="20"/>
        </w:rPr>
        <w:t>Investing cash flows consist primarily of capital expenditures, investment in, sales and maturities of available-for-sale marketable securities, investment and withdrawal of bank deposits and restricted bank deposits, cash used for acquisitions, proceeds from sale of business and equity investments, and disbursements and receipts from collections of loans made by us. Cash used in investing activities was $18.5 million in the six months ended June 30, 2026 as compared to cash provided by investing activities of $136.2 million in the six months ended June 30, 2025, primarily driven by a decrease of $274.3 million in proceeds provided by maturities of available-for-sale marketable securities, a decrease of $27.4 million in proceeds from loans receivables, an increase of $26.2 million in payments made before lease commencement and a decrease of $9.7 million in proceeds from sale of property, plant and equipment; these were partially offset by a decrease of $172.8 million in purchases of available-for-sale marketable securities, a decrease of $6.6 million in payment related to governmental grant and an increase of $3.2 million in the withdrawal from restricted bank deposits.</w:t>
      </w:r>
    </w:p>
    <w:p>
      <w:pPr>
        <w:pStyle w:val="TextBody"/>
        <w:bidi w:val="0"/>
        <w:spacing w:lineRule="auto" w:line="300" w:before="0" w:after="0"/>
        <w:jc w:val="left"/>
        <w:rPr/>
      </w:pPr>
      <w:r>
        <w:rPr/>
        <w:t> </w:t>
      </w:r>
    </w:p>
    <w:p>
      <w:pPr>
        <w:pStyle w:val="TextBody"/>
        <w:bidi w:val="0"/>
        <w:spacing w:lineRule="auto" w:line="300" w:before="0" w:after="0"/>
        <w:ind w:left="0" w:right="0" w:firstLine="360"/>
        <w:jc w:val="left"/>
        <w:rPr>
          <w:rFonts w:ascii="Times New Roman;Times;serif" w:hAnsi="Times New Roman;Times;serif"/>
          <w:b/>
          <w:i/>
          <w:sz w:val="20"/>
        </w:rPr>
      </w:pPr>
      <w:r>
        <w:rPr>
          <w:rFonts w:ascii="Times New Roman;Times;serif" w:hAnsi="Times New Roman;Times;serif"/>
          <w:b/>
          <w:i/>
          <w:sz w:val="20"/>
        </w:rPr>
        <w:t>Financing Activities</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rFonts w:ascii="Times New Roman;Times;serif" w:hAnsi="Times New Roman;Times;serif"/>
          <w:sz w:val="20"/>
        </w:rPr>
      </w:pPr>
      <w:r>
        <w:rPr>
          <w:rFonts w:ascii="Times New Roman;Times;serif" w:hAnsi="Times New Roman;Times;serif"/>
          <w:sz w:val="20"/>
        </w:rPr>
        <w:t>Financing cash flows consist primarily of issuance, repayment and partial repurchase of convertible senior notes, and our employee equity incentive plans. Cash provided by financing activities was $10.8 million in the six months ended June 30, 2026 as compared to cash used in financing activities of $6.6 million in the six months ended June 30, 2025, primarily due to an increase of $7.3 million related to tax withholding in connection with stock-based awards, net, a decrease of $5.1 million in cash used for the repurchase of our Notes 2025 and an increase of $3.8 million related to issuance of common stock upon exercise of stock-based awards.</w:t>
      </w:r>
    </w:p>
    <w:p>
      <w:pPr>
        <w:pStyle w:val="TextBody"/>
        <w:bidi w:val="0"/>
        <w:spacing w:lineRule="auto" w:line="300" w:before="0" w:after="0"/>
        <w:jc w:val="left"/>
        <w:rPr/>
      </w:pPr>
      <w:r>
        <w:rPr/>
        <w:t> </w:t>
      </w:r>
    </w:p>
    <w:p>
      <w:pPr>
        <w:pStyle w:val="TextBody"/>
        <w:bidi w:val="0"/>
        <w:spacing w:lineRule="auto" w:line="300" w:before="0" w:after="0"/>
        <w:ind w:left="360" w:right="0" w:hanging="0"/>
        <w:jc w:val="left"/>
        <w:rPr>
          <w:rFonts w:ascii="Times New Roman;Times;serif" w:hAnsi="Times New Roman;Times;serif"/>
          <w:b/>
          <w:i/>
          <w:sz w:val="20"/>
        </w:rPr>
      </w:pPr>
      <w:r>
        <w:rPr>
          <w:rFonts w:ascii="Times New Roman;Times;serif" w:hAnsi="Times New Roman;Times;serif"/>
          <w:b/>
          <w:i/>
          <w:sz w:val="20"/>
        </w:rPr>
        <w:t>Convertible Senior Notes</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rFonts w:ascii="Times New Roman;Times;serif" w:hAnsi="Times New Roman;Times;serif"/>
          <w:sz w:val="20"/>
        </w:rPr>
      </w:pPr>
      <w:r>
        <w:rPr>
          <w:rFonts w:ascii="Times New Roman;Times;serif" w:hAnsi="Times New Roman;Times;serif"/>
          <w:sz w:val="20"/>
        </w:rPr>
        <w:t>On June 28, 2024, we sold an aggregate principal amount of $300 million of 2.25% convertible senior notes due in 2029 (the "Notes 2029") in a transaction exempt from registration pursuant to Rule 144A and Regulation S under the Securities Act (the "Notes 2029 Offering"). The net proceeds from the Notes 2029 Offering were approximately $293.2 million after deducting fees and estimated expenses. Separately, we have entered into capped call transactions. We used approximately $25.2 million of the net proceeds from the Notes 2029 Offering to pay for the cost of the capped call transactions and approximately $267.9 million of the net proceeds from the Notes 2029 Offering to repurchase $285.0 million of our outstanding 0.000% convertible notes due 2025 (the "Notes 2025"). We intend to use the remainder of the net proceeds from the Notes 2029 Offering for general corporate purposes.</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rFonts w:ascii="Times New Roman;Times;serif" w:hAnsi="Times New Roman;Times;serif"/>
          <w:sz w:val="20"/>
        </w:rPr>
      </w:pPr>
      <w:r>
        <w:rPr>
          <w:rFonts w:ascii="Times New Roman;Times;serif" w:hAnsi="Times New Roman;Times;serif"/>
          <w:sz w:val="20"/>
        </w:rPr>
        <w:t>On July 8, 2024, we sold an aggregate principal amount of $37 million of the Notes 2029. The Notes 2029 were sold pursuant to the exercise of options granted by the Company to several initial purchasers of the Notes 2029 represented by Goldman Sachs &amp; Co. LLC to purchase additional Notes 2029. For additional information, please see Note 11, “Convertible Senior Notes.”</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rFonts w:ascii="Times New Roman;Times;serif" w:hAnsi="Times New Roman;Times;serif"/>
          <w:sz w:val="20"/>
        </w:rPr>
      </w:pPr>
      <w:r>
        <w:rPr>
          <w:rFonts w:ascii="Times New Roman;Times;serif" w:hAnsi="Times New Roman;Times;serif"/>
          <w:sz w:val="20"/>
        </w:rPr>
        <w:t>In March 2025 we repurchased $5.2 million principal amount of our Notes 2025. We recorded a net gain of $146 thousand under other income from this repurchase. We settled all of our outstanding Notes 2025 on September 15, 2025. As part of the settlement, we paid $342.3 million in cash towards principal amount of the Notes 2025 and no shares were issued in connection with the settlement as the conversion value was less than the principal amounts of the Notes 2025.</w:t>
      </w:r>
    </w:p>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b/>
          <w:sz w:val="20"/>
        </w:rPr>
      </w:pPr>
      <w:r>
        <w:rPr>
          <w:rFonts w:ascii="Times New Roman;Times;serif" w:hAnsi="Times New Roman;Times;serif"/>
          <w:b/>
          <w:sz w:val="20"/>
        </w:rPr>
        <w:t>Critical Accounting Policies and Significant Management Estimates</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rFonts w:ascii="Times New Roman;Times;serif" w:hAnsi="Times New Roman;Times;serif"/>
          <w:sz w:val="20"/>
        </w:rPr>
      </w:pPr>
      <w:r>
        <w:rPr>
          <w:rFonts w:ascii="Times New Roman;Times;serif" w:hAnsi="Times New Roman;Times;serif"/>
          <w:sz w:val="20"/>
        </w:rPr>
        <w:t>Management believes that there have been no significant changes during the six months ended June 30, 2026 to the items that we disclosed as our critical accounting policies and estimates in MD&amp;A in our Annual Report on Form 10-K/A for the fiscal year ended December 31, 2025, except as mentioned in Note 1, “General” (if any).</w:t>
      </w:r>
    </w:p>
    <w:p>
      <w:pPr>
        <w:pStyle w:val="TextBody"/>
        <w:bidi w:val="0"/>
        <w:spacing w:lineRule="auto" w:line="300"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SOLAREDGE TECHNOLOGIES INC. | 2026 Form 10-Q | 18</w:t>
      </w:r>
    </w:p>
    <w:p>
      <w:pPr>
        <w:pStyle w:val="HorizontalLine"/>
        <w:bidi w:val="0"/>
        <w:spacing w:lineRule="auto" w:line="300" w:before="200" w:after="200"/>
        <w:jc w:val="left"/>
        <w:rPr/>
      </w:pPr>
      <w:r>
        <w:rPr/>
      </w:r>
    </w:p>
    <w:p>
      <w:pPr>
        <w:pStyle w:val="TextBody"/>
        <w:bidi w:val="0"/>
        <w:spacing w:lineRule="auto" w:line="300" w:before="0" w:after="0"/>
        <w:ind w:left="0" w:right="0" w:firstLine="720"/>
        <w:jc w:val="both"/>
        <w:rPr/>
      </w:pPr>
      <w:r>
        <w:rPr/>
        <w:t> </w:t>
      </w:r>
    </w:p>
    <w:p>
      <w:pPr>
        <w:pStyle w:val="TextBody"/>
        <w:bidi w:val="0"/>
        <w:spacing w:lineRule="auto" w:line="300" w:before="0" w:after="0"/>
        <w:jc w:val="both"/>
        <w:rPr>
          <w:rFonts w:ascii="Times New Roman;Times;serif" w:hAnsi="Times New Roman;Times;serif"/>
          <w:b/>
          <w:sz w:val="20"/>
        </w:rPr>
      </w:pPr>
      <w:r>
        <w:rPr>
          <w:rFonts w:ascii="Times New Roman;Times;serif" w:hAnsi="Times New Roman;Times;serif"/>
          <w:b/>
          <w:sz w:val="20"/>
        </w:rPr>
        <w:t>ITEM 3</w:t>
      </w:r>
      <w:bookmarkStart w:id="12" w:name="ITEM3"/>
      <w:bookmarkEnd w:id="12"/>
      <w:r>
        <w:rPr>
          <w:rFonts w:ascii="Times New Roman;Times;serif" w:hAnsi="Times New Roman;Times;serif"/>
          <w:b/>
          <w:sz w:val="20"/>
        </w:rPr>
        <w:t>.  Quantitative and Qualitative Disclosures About Market Risk</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rFonts w:ascii="Times New Roman;Times;serif" w:hAnsi="Times New Roman;Times;serif"/>
          <w:sz w:val="20"/>
        </w:rPr>
      </w:pPr>
      <w:r>
        <w:rPr>
          <w:rFonts w:ascii="Times New Roman;Times;serif" w:hAnsi="Times New Roman;Times;serif"/>
          <w:sz w:val="20"/>
        </w:rPr>
        <w:t>We are exposed to market risk in the ordinary course of our business. Market risk represents the risk of loss that may impact our financial position due to adverse changes in financial market prices and rates. Our market risk exposure is primarily a result of fluctuations in foreign currency exchange rates, customer concentrations, interest rates and commodity prices. We do not hold or issue financial instruments for trading purposes.</w:t>
      </w:r>
    </w:p>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b/>
          <w:sz w:val="20"/>
        </w:rPr>
      </w:pPr>
      <w:r>
        <w:rPr>
          <w:rFonts w:ascii="Times New Roman;Times;serif" w:hAnsi="Times New Roman;Times;serif"/>
          <w:b/>
          <w:sz w:val="20"/>
        </w:rPr>
        <w:t>Foreign Currency Exchange Risk</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rFonts w:ascii="Times New Roman;Times;serif" w:hAnsi="Times New Roman;Times;serif"/>
          <w:sz w:val="20"/>
        </w:rPr>
      </w:pPr>
      <w:r>
        <w:rPr>
          <w:rFonts w:ascii="Times New Roman;Times;serif" w:hAnsi="Times New Roman;Times;serif"/>
          <w:sz w:val="20"/>
        </w:rPr>
        <w:t>Approximately 48.1% and 34.1% of our revenues for the six months ended June 30, 2026 and 2025, respectively, were earned in non-U.S. dollar denominated currencies other than the U.S. dollar, principally the Euro. Our expenses are generally denominated in the currencies in which our operations are located, primarily the U.S. dollar, NIS, and Euro. Our NIS denominated expenses consist primarily of personnel and overhead costs. Our consolidated results of operations and cash flows are, therefore, subject to fluctuations due to changes in foreign currency exchange rates and may be adversely affected in the future due to changes in foreign exchange rates. A hypothetical 10% change in foreign currency exchange rates between the Euro and the U.S. dollar would increase or decrease our net loss by $14.8 million for the six months ended June 30, 2026. A hypothetical 10% change in foreign currency exchange rates between NIS and the U.S. dollar would increase or decrease our net loss by $26.3 million for the six months ended June 30, 2026.</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rFonts w:ascii="Times New Roman;Times;serif" w:hAnsi="Times New Roman;Times;serif"/>
          <w:sz w:val="20"/>
        </w:rPr>
      </w:pPr>
      <w:r>
        <w:rPr>
          <w:rFonts w:ascii="Times New Roman;Times;serif" w:hAnsi="Times New Roman;Times;serif"/>
          <w:sz w:val="20"/>
        </w:rPr>
        <w:t>For purposes of our consolidated financial statements, local currency assets and liabilities are translated at the rate of exchange to the U.S. dollar on the balance sheet date, and local currency revenues and expenses are translated at the exchange rate as of the date of the transaction or at the average exchange rate to the U.S. dollar during the reporting period.</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rFonts w:ascii="Times New Roman;Times;serif" w:hAnsi="Times New Roman;Times;serif"/>
          <w:sz w:val="20"/>
        </w:rPr>
      </w:pPr>
      <w:r>
        <w:rPr>
          <w:rFonts w:ascii="Times New Roman;Times;serif" w:hAnsi="Times New Roman;Times;serif"/>
          <w:sz w:val="20"/>
        </w:rPr>
        <w:t>To date, we have used derivative financial instruments, specifically foreign currency forward contracts and put and call options, to manage exposure to foreign currency risks by hedging portions of the anticipated payroll payments denominated in NIS. These derivative instruments are designated as cash flow hedges.</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rFonts w:ascii="Times New Roman;Times;serif" w:hAnsi="Times New Roman;Times;serif"/>
          <w:sz w:val="20"/>
        </w:rPr>
      </w:pPr>
      <w:r>
        <w:rPr>
          <w:rFonts w:ascii="Times New Roman;Times;serif" w:hAnsi="Times New Roman;Times;serif"/>
          <w:sz w:val="20"/>
        </w:rPr>
        <w:t>In addition, from time to time we enter into derivative financial instruments to hedge our exposure to currencies other than the U.S. dollar, mainly forward contracts to sell Euro for U.S. dollars. These derivative instruments are not designated as cash flow hedges.</w:t>
      </w:r>
    </w:p>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b/>
          <w:sz w:val="20"/>
        </w:rPr>
      </w:pPr>
      <w:r>
        <w:rPr>
          <w:rFonts w:ascii="Times New Roman;Times;serif" w:hAnsi="Times New Roman;Times;serif"/>
          <w:b/>
          <w:sz w:val="20"/>
        </w:rPr>
        <w:t>Concentrations of Major Customers</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rFonts w:ascii="Times New Roman;Times;serif" w:hAnsi="Times New Roman;Times;serif"/>
          <w:sz w:val="20"/>
        </w:rPr>
      </w:pPr>
      <w:r>
        <w:rPr>
          <w:rFonts w:ascii="Times New Roman;Times;serif" w:hAnsi="Times New Roman;Times;serif"/>
          <w:sz w:val="20"/>
        </w:rPr>
        <w:t>Our trade accounts receivables potentially expose us to a concentration of credit risk with our major customers. As of June 30, 2026, two major customers accounted for approximately 26.3% of our consolidated trade receivables, net balance. As of June 30, 2025, two major customers accounted for approximately 22.5% of our consolidated trade receivables, net balance. For the three months ended June 30, 2026, two major customers accounted for approximately 28.8% of our total revenues. For the three months ended June 30, 2025, one major customer accounted for approximately 16.4% of our total revenues. For the six months ended June 30, 2026, one major customer accounted for approximately 16.8% of our total revenues. For the six months ended June 30, 2025, two major customers accounted for approximately 24.0% of our total revenues.</w:t>
      </w:r>
    </w:p>
    <w:p>
      <w:pPr>
        <w:pStyle w:val="TextBody"/>
        <w:bidi w:val="0"/>
        <w:spacing w:lineRule="auto" w:line="300"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SOLAREDGE TECHNOLOGIES INC. | 2026 Form 10-Q | 19</w:t>
      </w:r>
    </w:p>
    <w:p>
      <w:pPr>
        <w:pStyle w:val="HorizontalLine"/>
        <w:bidi w:val="0"/>
        <w:spacing w:lineRule="auto" w:line="300" w:before="200" w:after="200"/>
        <w:jc w:val="left"/>
        <w:rPr/>
      </w:pPr>
      <w:r>
        <w:rPr/>
      </w:r>
    </w:p>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b/>
          <w:sz w:val="20"/>
        </w:rPr>
      </w:pPr>
      <w:r>
        <w:rPr>
          <w:rFonts w:ascii="Times New Roman;Times;serif" w:hAnsi="Times New Roman;Times;serif"/>
          <w:b/>
          <w:sz w:val="20"/>
        </w:rPr>
        <w:t>Commodity Price Risk</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rFonts w:ascii="Times New Roman;Times;serif" w:hAnsi="Times New Roman;Times;serif"/>
          <w:sz w:val="20"/>
        </w:rPr>
      </w:pPr>
      <w:r>
        <w:rPr>
          <w:rFonts w:ascii="Times New Roman;Times;serif" w:hAnsi="Times New Roman;Times;serif"/>
          <w:sz w:val="20"/>
        </w:rPr>
        <w:t>We are subject to risk from fluctuating market prices of certain commodity raw materials which are used in our products, including Copper, Lithium, Nickel and Cobalt. Prices of these raw materials may be affected by supply restrictions or other market factors from time to time, and we do not enter into hedging arrangements to mitigate commodity risk. Significant price changes for these raw materials could reduce our operating margins if we are unable to recover such increases from our customers, and could harm our business, financial condition, and results of operations.</w:t>
      </w:r>
    </w:p>
    <w:p>
      <w:pPr>
        <w:pStyle w:val="TextBody"/>
        <w:bidi w:val="0"/>
        <w:spacing w:lineRule="auto" w:line="300" w:before="0" w:after="0"/>
        <w:jc w:val="left"/>
        <w:rPr/>
      </w:pPr>
      <w:r>
        <w:rPr/>
        <w:t> </w:t>
      </w:r>
    </w:p>
    <w:p>
      <w:pPr>
        <w:pStyle w:val="TextBody"/>
        <w:bidi w:val="0"/>
        <w:spacing w:lineRule="auto" w:line="300" w:before="0" w:after="0"/>
        <w:jc w:val="left"/>
        <w:rPr>
          <w:rFonts w:ascii="Times New Roman;Times;serif" w:hAnsi="Times New Roman;Times;serif"/>
          <w:b/>
          <w:sz w:val="20"/>
        </w:rPr>
      </w:pPr>
      <w:r>
        <w:rPr>
          <w:rFonts w:ascii="Times New Roman;Times;serif" w:hAnsi="Times New Roman;Times;serif"/>
          <w:b/>
          <w:sz w:val="20"/>
        </w:rPr>
        <w:t>ITEM 4</w:t>
      </w:r>
      <w:bookmarkStart w:id="13" w:name="ITEM4"/>
      <w:bookmarkEnd w:id="13"/>
      <w:r>
        <w:rPr>
          <w:rFonts w:ascii="Times New Roman;Times;serif" w:hAnsi="Times New Roman;Times;serif"/>
          <w:b/>
          <w:sz w:val="20"/>
        </w:rPr>
        <w:t>.  Controls and Procedures.</w:t>
      </w:r>
    </w:p>
    <w:p>
      <w:pPr>
        <w:pStyle w:val="TextBody"/>
        <w:bidi w:val="0"/>
        <w:spacing w:lineRule="auto" w:line="300" w:before="0" w:after="0"/>
        <w:jc w:val="left"/>
        <w:rPr/>
      </w:pPr>
      <w:r>
        <w:rPr/>
        <w:t> </w:t>
      </w:r>
    </w:p>
    <w:p>
      <w:pPr>
        <w:pStyle w:val="TextBody"/>
        <w:bidi w:val="0"/>
        <w:spacing w:lineRule="auto" w:line="300" w:before="0" w:after="0"/>
        <w:jc w:val="left"/>
        <w:rPr>
          <w:rFonts w:ascii="Times New Roman;Times;serif" w:hAnsi="Times New Roman;Times;serif"/>
          <w:b/>
          <w:sz w:val="20"/>
        </w:rPr>
      </w:pPr>
      <w:r>
        <w:rPr>
          <w:rFonts w:ascii="Times New Roman;Times;serif" w:hAnsi="Times New Roman;Times;serif"/>
          <w:b/>
          <w:sz w:val="20"/>
        </w:rPr>
        <w:t>Disclosure Controls and Procedures</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rFonts w:ascii="Times New Roman;Times;serif" w:hAnsi="Times New Roman;Times;serif"/>
          <w:sz w:val="20"/>
        </w:rPr>
      </w:pPr>
      <w:r>
        <w:rPr>
          <w:rFonts w:ascii="Times New Roman;Times;serif" w:hAnsi="Times New Roman;Times;serif"/>
          <w:sz w:val="20"/>
        </w:rPr>
        <w:t>Our management, with the participation of our chief executive officer and chief financial officer, evaluated the effectiveness of our disclosure controls and procedures pursuant to Rule 13a-15 under the Securities Exchange Act of 1934, as amended (the “Exchange Act”), as of June 30, 2026. In designing and evaluating the disclosure controls and procedures, management recognized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its judgment in evaluating the benefits of possible controls and procedures relative to their costs.</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rFonts w:ascii="Times New Roman;Times;serif" w:hAnsi="Times New Roman;Times;serif"/>
          <w:sz w:val="20"/>
        </w:rPr>
      </w:pPr>
      <w:r>
        <w:rPr>
          <w:rFonts w:ascii="Times New Roman;Times;serif" w:hAnsi="Times New Roman;Times;serif"/>
          <w:sz w:val="20"/>
        </w:rPr>
        <w:t>Based on that evaluation, our chief executive officer and chief financial officer concluded, as of June 30, 2026, that our disclosure controls and procedures were effective and operating to provide reasonable assurance that information we are required to disclose in reports that we file or submit under the Exchange Act is recorded, processed, summarized, and reported within the time periods specified in SEC rules and forms, and to provide reasonable assurance that such information is accumulated and communicated to our management, including our chief executive officer and chief financial officer, as appropriate, to allow timely decisions regarding required disclosure.</w:t>
      </w:r>
    </w:p>
    <w:p>
      <w:pPr>
        <w:pStyle w:val="TextBody"/>
        <w:bidi w:val="0"/>
        <w:spacing w:lineRule="auto" w:line="300" w:before="0" w:after="0"/>
        <w:jc w:val="left"/>
        <w:rPr/>
      </w:pPr>
      <w:r>
        <w:rPr/>
        <w:t> </w:t>
      </w:r>
    </w:p>
    <w:p>
      <w:pPr>
        <w:pStyle w:val="TextBody"/>
        <w:bidi w:val="0"/>
        <w:spacing w:lineRule="auto" w:line="300" w:before="0" w:after="0"/>
        <w:jc w:val="left"/>
        <w:rPr>
          <w:rFonts w:ascii="Times New Roman;Times;serif" w:hAnsi="Times New Roman;Times;serif"/>
          <w:b/>
          <w:sz w:val="20"/>
        </w:rPr>
      </w:pPr>
      <w:r>
        <w:rPr>
          <w:rFonts w:ascii="Times New Roman;Times;serif" w:hAnsi="Times New Roman;Times;serif"/>
          <w:b/>
          <w:sz w:val="20"/>
        </w:rPr>
        <w:t>Changes in Internal Control over Financial Reporting</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rFonts w:ascii="Times New Roman;Times;serif" w:hAnsi="Times New Roman;Times;serif"/>
          <w:sz w:val="20"/>
        </w:rPr>
      </w:pPr>
      <w:r>
        <w:rPr>
          <w:rFonts w:ascii="Times New Roman;Times;serif" w:hAnsi="Times New Roman;Times;serif"/>
          <w:sz w:val="20"/>
        </w:rPr>
        <w:t>We substantially completed the implementation of our new ERP system during the fiscal quarter ended June 30, 2025. We are performing our post-implementation activities. The implementation of that ERP system is expected to, among other things, improve user access security and automate a number of accounting, back office and reporting processes and activities, thereby decreasing the amount of manual processes previously required. The implementation resulted in, and the post-implementation activities may result in, changes to certain of our processes and procedures. These changes have been and will continue to be subject to our evaluation of the operating effectiveness of internal controls over financial reporting. Except for the implementation of the new ERP system as described in this paragraph, there have been no changes in our internal control over financial reporting (as defined in Rule 13a-15(f) of the Exchange Act) that occurred during the quarter ended June 30, 2026, that materially affected, or are reasonably likely to materially affect, our internal control over financial reporting.</w:t>
      </w:r>
    </w:p>
    <w:p>
      <w:pPr>
        <w:pStyle w:val="TextBody"/>
        <w:bidi w:val="0"/>
        <w:spacing w:lineRule="auto" w:line="300"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SOLAREDGE TECHNOLOGIES INC. | 2026 Form 10-Q | 20</w:t>
      </w:r>
    </w:p>
    <w:p>
      <w:pPr>
        <w:pStyle w:val="HorizontalLine"/>
        <w:bidi w:val="0"/>
        <w:spacing w:lineRule="auto" w:line="300" w:before="200" w:after="200"/>
        <w:jc w:val="left"/>
        <w:rPr/>
      </w:pPr>
      <w:r>
        <w:rPr/>
      </w:r>
    </w:p>
    <w:p>
      <w:pPr>
        <w:pStyle w:val="TextBody"/>
        <w:bidi w:val="0"/>
        <w:spacing w:lineRule="auto" w:line="300" w:before="0" w:after="0"/>
        <w:jc w:val="left"/>
        <w:rPr/>
      </w:pPr>
      <w:r>
        <w:rPr/>
        <w:t> </w:t>
      </w:r>
    </w:p>
    <w:p>
      <w:pPr>
        <w:pStyle w:val="TextBody"/>
        <w:bidi w:val="0"/>
        <w:spacing w:lineRule="auto" w:line="300" w:before="0" w:after="0"/>
        <w:jc w:val="left"/>
        <w:rPr>
          <w:rFonts w:ascii="Times New Roman;Times;serif" w:hAnsi="Times New Roman;Times;serif"/>
          <w:b/>
          <w:sz w:val="20"/>
        </w:rPr>
      </w:pPr>
      <w:bookmarkStart w:id="14" w:name="PARTII.OTHERINFORMATION."/>
      <w:bookmarkEnd w:id="14"/>
      <w:r>
        <w:rPr>
          <w:rFonts w:ascii="Times New Roman;Times;serif" w:hAnsi="Times New Roman;Times;serif"/>
          <w:b/>
          <w:sz w:val="20"/>
        </w:rPr>
        <w:t>PART II. OTHER INFORMATION.</w:t>
      </w:r>
    </w:p>
    <w:p>
      <w:pPr>
        <w:pStyle w:val="TextBody"/>
        <w:bidi w:val="0"/>
        <w:spacing w:lineRule="auto" w:line="300" w:before="0" w:after="0"/>
        <w:jc w:val="left"/>
        <w:rPr/>
      </w:pPr>
      <w:r>
        <w:rPr/>
        <w:t> </w:t>
      </w:r>
    </w:p>
    <w:p>
      <w:pPr>
        <w:pStyle w:val="TextBody"/>
        <w:bidi w:val="0"/>
        <w:spacing w:lineRule="auto" w:line="300" w:before="0" w:after="0"/>
        <w:jc w:val="left"/>
        <w:rPr>
          <w:rFonts w:ascii="Times New Roman;Times;serif" w:hAnsi="Times New Roman;Times;serif"/>
          <w:b/>
          <w:sz w:val="20"/>
        </w:rPr>
      </w:pPr>
      <w:r>
        <w:rPr>
          <w:rFonts w:ascii="Times New Roman;Times;serif" w:hAnsi="Times New Roman;Times;serif"/>
          <w:b/>
          <w:sz w:val="20"/>
        </w:rPr>
        <w:t>ITEM 1</w:t>
      </w:r>
      <w:bookmarkStart w:id="15" w:name="ITEM1p2"/>
      <w:bookmarkEnd w:id="15"/>
      <w:r>
        <w:rPr>
          <w:rFonts w:ascii="Times New Roman;Times;serif" w:hAnsi="Times New Roman;Times;serif"/>
          <w:b/>
          <w:sz w:val="20"/>
        </w:rPr>
        <w:t>.  Legal Proceedings</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rFonts w:ascii="Times New Roman;Times;serif" w:hAnsi="Times New Roman;Times;serif"/>
          <w:sz w:val="20"/>
        </w:rPr>
      </w:pPr>
      <w:r>
        <w:rPr>
          <w:rFonts w:ascii="Times New Roman;Times;serif" w:hAnsi="Times New Roman;Times;serif"/>
          <w:sz w:val="20"/>
        </w:rPr>
        <w:t>In the normal course of business, we may from time to time be named as a party to various legal claims, actions and complaints (including as a result of initiating such legal claims, action or complaints on behalf of the Company), including the matters described in Note 14 – “Commitments and Contingent Liabilities” to our condensed consolidated financial statements in this Quarterly Report on Form 10-Q and in Item 3 – “Legal Proceedings” of our Annual Report on Form 10-K/A for the period ended December 31, 2025. It is impossible to predict with certainty whether any resulting liability from any such legal claims, actions or complaints would have a material adverse effect on our financial position, results of operations or cash flows.</w:t>
      </w:r>
    </w:p>
    <w:p>
      <w:pPr>
        <w:pStyle w:val="TextBody"/>
        <w:bidi w:val="0"/>
        <w:spacing w:lineRule="auto" w:line="300" w:before="0" w:after="0"/>
        <w:jc w:val="left"/>
        <w:rPr/>
      </w:pPr>
      <w:r>
        <w:rPr/>
        <w:t> </w:t>
      </w:r>
    </w:p>
    <w:p>
      <w:pPr>
        <w:pStyle w:val="TextBody"/>
        <w:bidi w:val="0"/>
        <w:spacing w:lineRule="auto" w:line="300" w:before="0" w:after="0"/>
        <w:jc w:val="left"/>
        <w:rPr>
          <w:rFonts w:ascii="Times New Roman;Times;serif" w:hAnsi="Times New Roman;Times;serif"/>
          <w:b/>
          <w:sz w:val="20"/>
        </w:rPr>
      </w:pPr>
      <w:r>
        <w:rPr>
          <w:rFonts w:ascii="Times New Roman;Times;serif" w:hAnsi="Times New Roman;Times;serif"/>
          <w:b/>
          <w:sz w:val="20"/>
        </w:rPr>
        <w:t>ITEM 1A</w:t>
      </w:r>
      <w:bookmarkStart w:id="16" w:name="ITEM1Ap2"/>
      <w:bookmarkEnd w:id="16"/>
      <w:r>
        <w:rPr>
          <w:rFonts w:ascii="Times New Roman;Times;serif" w:hAnsi="Times New Roman;Times;serif"/>
          <w:b/>
          <w:sz w:val="20"/>
        </w:rPr>
        <w:t>.  Risk Factors</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rFonts w:ascii="Times New Roman;Times;serif" w:hAnsi="Times New Roman;Times;serif"/>
          <w:sz w:val="20"/>
        </w:rPr>
      </w:pPr>
      <w:r>
        <w:rPr>
          <w:rFonts w:ascii="Times New Roman;Times;serif" w:hAnsi="Times New Roman;Times;serif"/>
          <w:sz w:val="20"/>
        </w:rPr>
        <w:t>In addition to the other information set forth in this report, you should carefully consider the risks set forth below and the risk factors as described in Part I, Item 1A, “Risk Factors”, in our Annual Report on Form 10-K/A for the year ended December 31, 2025 (the “2025 Form 10-K/A”) and Part II, Item 1A, “Risk Factors,” in our Quarterly Report on Form 10-Q for the quarter ended March 31, 2026 (the “Q1 2026 Form 10-Q”). Other than the risk factors set forth below, there have been no material changes to the risk factors previously disclosed in the 2025 Form 10-K/A and Q1 2026 Form 10-Q.</w:t>
      </w:r>
    </w:p>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b/>
          <w:sz w:val="20"/>
        </w:rPr>
      </w:pPr>
      <w:r>
        <w:rPr>
          <w:rFonts w:ascii="Times New Roman;Times;serif" w:hAnsi="Times New Roman;Times;serif"/>
          <w:b/>
          <w:sz w:val="20"/>
        </w:rPr>
        <w:t>Changes in the global trade environment, including the United States trade environment, such as the increase or imposition of import tariffs, could adversely affect the amount or timing of our revenue, results of operations or cash flows.</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rFonts w:ascii="Times New Roman;Times;serif" w:hAnsi="Times New Roman;Times;serif"/>
          <w:sz w:val="20"/>
        </w:rPr>
      </w:pPr>
      <w:r>
        <w:rPr>
          <w:rFonts w:ascii="Times New Roman;Times;serif" w:hAnsi="Times New Roman;Times;serif"/>
          <w:sz w:val="20"/>
        </w:rPr>
        <w:t>We depend on the ongoing availability of certain raw materials and components to assemble our products. Since 2025, the United States has imposed significant new tariffs on a broad range of imported products and components and may adopt additional tariffs, trade restrictions or other measures in the future. Although certain tariffs previously imposed under the International Emergency Economic Powers Act were invalidated by the Supreme Court of the United States (the “U.S. Supreme Court”) in February 2026 and subsequently rescinded, other trade measures remain in effect or have been implemented as replacements.</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rFonts w:ascii="Times New Roman;Times;serif" w:hAnsi="Times New Roman;Times;serif"/>
          <w:sz w:val="20"/>
        </w:rPr>
      </w:pPr>
      <w:r>
        <w:rPr>
          <w:rFonts w:ascii="Times New Roman;Times;serif" w:hAnsi="Times New Roman;Times;serif"/>
          <w:sz w:val="20"/>
        </w:rPr>
        <w:t>In addition, following the U.S. Supreme Court's ruling, the U.S. Administration imposed a temporary import surcharge under Section 122 of the Trade Act of 1974 (“Section 122”). The surcharge was initially set at 10% ad valorem on substantially all imports, with a statutory ceiling of 15%, subject to carve-outs for certain goods (e.g., electronics and critical minerals) and products qualifying under the United States-Mexico-Canada Agreement. The surcharge took effect on February 24, 2026, for a maximum period of 150 days. On May 7, 2026, the U.S. Court of International Trade held that the Section 122 proclamation was invalid. This ruling has been appealed, and the U.S. Court of Appeals for the Federal Circuit issued a temporary stay of the ruling pending resolution of the appeal. The evolving legal status and expiration of the Section 122 tariffs create additional uncertainty regarding our tariff exposure and any potential recovery of Section 122 duties paid during the quarter. If the Section 122 proclamation is ultimately held invalid and refund mechanisms are established, we may be eligible to recover some or all the Section 122 that we have paid. However, the outcome of the appeal and the availability, timing and amount of any potential refunds remain uncertain and are subject to further judicial and administrative proceedings.</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rFonts w:ascii="Times New Roman;Times;serif" w:hAnsi="Times New Roman;Times;serif"/>
          <w:sz w:val="20"/>
        </w:rPr>
      </w:pPr>
      <w:r>
        <w:rPr>
          <w:rFonts w:ascii="Times New Roman;Times;serif" w:hAnsi="Times New Roman;Times;serif"/>
          <w:sz w:val="20"/>
        </w:rPr>
        <w:t>Most recently, with the expiration of Section 122 tariffs, in July 2026, the U.S. Administration imposed additional tariffs under Section 301 of the Trade Act of 1974 (“Section 301”) on imports from numerous trading partners, with rates generally ranging from 10% to 12.5%, subject to specified exemptions and exceptions. These tariffs are in addition to existing duties and may apply alongside other trade measures, including Section 301 tariffs applicable to imports from China, tariffs under Section 232 of the Trade Expansion Act of 1962, antidumping and countervailing duties, and any future tariffs or trade restrictions that may be adopted. As with the Section 122 surcharge discussed above, these Section 301 tariffs may also be subject to legal challenge, and we cannot predict the outcome of any such challenge or its effect on our tariff exposure.</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rFonts w:ascii="Times New Roman;Times;serif" w:hAnsi="Times New Roman;Times;serif"/>
          <w:sz w:val="20"/>
        </w:rPr>
      </w:pPr>
      <w:r>
        <w:rPr>
          <w:rFonts w:ascii="Times New Roman;Times;serif" w:hAnsi="Times New Roman;Times;serif"/>
          <w:sz w:val="20"/>
        </w:rPr>
        <w:t>In addition, on July 28, 2026, the Federal Communications Commission (the “FCC”) updated its “Covered List,” maintained under the Secure and Trusted Communications Networks Act, to include power inverters produced in foreign countries, effective immediately and prospectively for new product authorizations. Under this action, new inverter models that do not qualify as “domestic end products” (as defined under the Buy American Act, 48 C.F.R. § 25.101(a)) are generally prohibited from receiving the FCC equipment authorizations required to import, market, or sell such products in the United States. The FCC’s order applies to new inverter models and certain equipment modifications requiring FCC equipment authorization in the future and generally does not impact products that were authorized by the FCC prior to this order. We believe that SolarEdge inverter products continue to be eligible for sale and installation under the new order. We continuously evaluate the impact of this and other trade restrictions on our business. Inability to comply with such trade restrictions would have a material adverse effect on our business, financial condition, results of operations and cash flows.</w:t>
      </w:r>
    </w:p>
    <w:p>
      <w:pPr>
        <w:pStyle w:val="TextBody"/>
        <w:bidi w:val="0"/>
        <w:spacing w:lineRule="auto" w:line="300"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SOLAREDGE TECHNOLOGIES INC. | 2026 Form 10-Q | 21</w:t>
      </w:r>
    </w:p>
    <w:p>
      <w:pPr>
        <w:pStyle w:val="HorizontalLine"/>
        <w:bidi w:val="0"/>
        <w:spacing w:lineRule="auto" w:line="300" w:before="200" w:after="200"/>
        <w:jc w:val="left"/>
        <w:rPr/>
      </w:pPr>
      <w:r>
        <w:rPr/>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rFonts w:ascii="Times New Roman;Times;serif" w:hAnsi="Times New Roman;Times;serif"/>
          <w:sz w:val="20"/>
        </w:rPr>
      </w:pPr>
      <w:r>
        <w:rPr>
          <w:rFonts w:ascii="Times New Roman;Times;serif" w:hAnsi="Times New Roman;Times;serif"/>
          <w:sz w:val="20"/>
        </w:rPr>
        <w:t>We have relocated our contract manufacturing to the United States, where we now manufacture the substantial majority of our products. We continue to manufacture a minor portion of our products in Israel, at our Sella 1 facility. However, certain components and subcomponents necessary for our products continue to be sourced from suppliers outside the United States, and imports of such items may be subject to existing or future tariffs or other trade restrictions. It is unknown whether and to what extent these tariffs will remain in place or if other new laws or regulations will be adopted. In addition, retaliatory measures may be imposed by foreign governments on products exported from the United States to markets in which we sell our products.</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rFonts w:ascii="Times New Roman;Times;serif" w:hAnsi="Times New Roman;Times;serif"/>
          <w:sz w:val="20"/>
        </w:rPr>
      </w:pPr>
      <w:r>
        <w:rPr>
          <w:rFonts w:ascii="Times New Roman;Times;serif" w:hAnsi="Times New Roman;Times;serif"/>
          <w:sz w:val="20"/>
        </w:rPr>
        <w:t>The scope, duration and impact of current and future tariffs and trade measures remain uncertain and may increase our cost of revenue, disrupt supply chains, create cost volatility, reduce demand for our products, adversely affect our customers, suppliers, contract manufacturers and other business partners, or impair our ability to compete effectively. Continuing uncertainty regarding trade policy may also cause customers to accelerate, delay or cancel purchases, resulting in sales volatility and fluctuations in operating results.</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rFonts w:ascii="Times New Roman;Times;serif" w:hAnsi="Times New Roman;Times;serif"/>
          <w:sz w:val="20"/>
        </w:rPr>
      </w:pPr>
      <w:r>
        <w:rPr>
          <w:rFonts w:ascii="Times New Roman;Times;serif" w:hAnsi="Times New Roman;Times;serif"/>
          <w:sz w:val="20"/>
        </w:rPr>
        <w:t>In particular, if tariffs increase the cost of components imported into the United States, increase the cost of manufacturing our products, or increase the cost of solar power systems generally, solar power systems may become less economically attractive, which could reduce demand for our products and adversely affect our gross margins. It is difficult to predict what additional trade-related actions may be taken by the United States or other governments, including further tariff increases, new trade restrictions, or retaliatory measures. Any such actions could have a material adverse effect on our business, financial condition, results of operations and cash flows.</w:t>
      </w:r>
    </w:p>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b/>
          <w:sz w:val="20"/>
        </w:rPr>
      </w:pPr>
      <w:r>
        <w:rPr>
          <w:rFonts w:ascii="Times New Roman;Times;serif" w:hAnsi="Times New Roman;Times;serif"/>
          <w:b/>
          <w:sz w:val="20"/>
        </w:rPr>
        <w:t>Disruption to our business operations as a result of the evolving conflict in Israel and other conditions in Israel that affect our operations may limit our ability to develop, produce and sell our products.</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rFonts w:ascii="Times New Roman;Times;serif" w:hAnsi="Times New Roman;Times;serif"/>
          <w:sz w:val="20"/>
        </w:rPr>
      </w:pPr>
      <w:r>
        <w:rPr>
          <w:rFonts w:ascii="Times New Roman;Times;serif" w:hAnsi="Times New Roman;Times;serif"/>
          <w:sz w:val="20"/>
        </w:rPr>
        <w:t>Our headquarters and principal research and development center are located in Israel. As a result, political, economic, and military conditions in Israel directly affect our business, operations, and workforce.</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rFonts w:ascii="Times New Roman;Times;serif" w:hAnsi="Times New Roman;Times;serif"/>
          <w:sz w:val="20"/>
        </w:rPr>
      </w:pPr>
      <w:r>
        <w:rPr>
          <w:rFonts w:ascii="Times New Roman;Times;serif" w:hAnsi="Times New Roman;Times;serif"/>
          <w:sz w:val="20"/>
        </w:rPr>
        <w:t>Israel has been involved in a number of armed conflicts and has been the target of terrorist activity, including threats from Gaza, Iran, the Houthi militants in Yemen, Hezbollah militants in Lebanon, Iranian militias in Syria, and others. Violence between Hamas and Israel intensified on October 7, 2023, when the terrorist group launched an unprecedented attack on Israel. On October 8, 2023, the Israeli Government announced that the Security Cabinet of the State of Israel approved a war situation in Israel. Since that time, and in connection with subsequent regional hostilities, the ongoing state of war has disrupted and continues to disrupt our business operations.</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rFonts w:ascii="Times New Roman;Times;serif" w:hAnsi="Times New Roman;Times;serif"/>
          <w:sz w:val="20"/>
        </w:rPr>
      </w:pPr>
      <w:r>
        <w:rPr>
          <w:rFonts w:ascii="Times New Roman;Times;serif" w:hAnsi="Times New Roman;Times;serif"/>
          <w:sz w:val="20"/>
        </w:rPr>
        <w:t>In the second quarter of 2025, Israel and the Islamic Republic of Iran engaged in a 12</w:t>
        <w:noBreakHyphen/>
        <w:t>day war, which subsequently stabilized due to a brokered ceasefire. More recently, during the first half of 2026, Israel was again engaged in direct military conflicts with Iran and in significant hostilities with Hezbollah in Lebanon. Although hostilities have since moderated, it is unknown whether any ceasefires or periods of relative calm will endure, or whether conflicts involving Gaza, Lebanon, Iran, Yemen, or other parts of the region may reemerge or escalate in the future.</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rFonts w:ascii="Times New Roman;Times;serif" w:hAnsi="Times New Roman;Times;serif"/>
          <w:sz w:val="20"/>
        </w:rPr>
      </w:pPr>
      <w:r>
        <w:rPr>
          <w:rFonts w:ascii="Times New Roman;Times;serif" w:hAnsi="Times New Roman;Times;serif"/>
          <w:sz w:val="20"/>
        </w:rPr>
        <w:t>Because our headquarters and a substantial portion of our workforce are based in Israel, these conflicts have impacted, and may continue to impact, the availability of our workforce. Some of our employees, executive officers, and directors residing in Israel are obligated to perform reserve duty in the Israeli military and are subject to being called to active duty under emergency circumstances. In the year ended December 31, 2025, approximately 279 employees, or 13% of our workforce in Israel, and in the second quarter of 2026, approximately 179 employees, or 7%, were called to active reserve duty for varying periods, which adversely affected workforce availability. Additional employees may be called to reserve duty in the future.</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rFonts w:ascii="Times New Roman;Times;serif" w:hAnsi="Times New Roman;Times;serif"/>
          <w:sz w:val="20"/>
        </w:rPr>
      </w:pPr>
      <w:r>
        <w:rPr>
          <w:rFonts w:ascii="Times New Roman;Times;serif" w:hAnsi="Times New Roman;Times;serif"/>
          <w:sz w:val="20"/>
        </w:rPr>
        <w:t>Any future armed conflict, political instability, or violence in Israel or the surrounding region may impair our ability to manage our business effectively, operate our manufacturing plant in northern Israel, conduct research and development activities, or otherwise carry out our operations. In the event of a significant escalation of existing hostilities or the outbreak of additional conflicts, we may be forced to cease or significantly curtail operations, which could delay the distribution and sale of our products.</w:t>
      </w:r>
    </w:p>
    <w:p>
      <w:pPr>
        <w:pStyle w:val="TextBody"/>
        <w:bidi w:val="0"/>
        <w:spacing w:lineRule="auto" w:line="300"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SOLAREDGE TECHNOLOGIES INC. | 2026 Form 10-Q | 22</w:t>
      </w:r>
    </w:p>
    <w:p>
      <w:pPr>
        <w:pStyle w:val="HorizontalLine"/>
        <w:bidi w:val="0"/>
        <w:spacing w:lineRule="auto" w:line="300" w:before="200" w:after="200"/>
        <w:jc w:val="left"/>
        <w:rPr/>
      </w:pPr>
      <w:r>
        <w:rPr/>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rFonts w:ascii="Times New Roman;Times;serif" w:hAnsi="Times New Roman;Times;serif"/>
          <w:sz w:val="20"/>
        </w:rPr>
      </w:pPr>
      <w:r>
        <w:rPr>
          <w:rFonts w:ascii="Times New Roman;Times;serif" w:hAnsi="Times New Roman;Times;serif"/>
          <w:sz w:val="20"/>
        </w:rPr>
        <w:t>The majority of our key employees and officers are residents of Israel. If any of our offices or facilities in Israel were damaged, destroyed, or rendered inoperable as a result of war, hostile actions, terrorist attacks, earthquakes, fire, floods, storms, power outages, employee malfeasance, or other natural or man</w:t>
        <w:noBreakHyphen/>
        <w:t>made events, our ability to conduct research and development, manufacture products, and operate our business could be materially adversely affected. Any resulting delay in the achievement of our development or commercialization objectives could harm our business, prospects, financial results, and reputation.</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rFonts w:ascii="Times New Roman;Times;serif" w:hAnsi="Times New Roman;Times;serif"/>
          <w:sz w:val="20"/>
        </w:rPr>
      </w:pPr>
      <w:r>
        <w:rPr>
          <w:rFonts w:ascii="Times New Roman;Times;serif" w:hAnsi="Times New Roman;Times;serif"/>
          <w:sz w:val="20"/>
        </w:rPr>
        <w:t>In addition, several countries, principally in the Middle East, restrict business dealings with Israeli companies, and other countries or groups may impose similar restrictions if hostilities or regional political instability persist or intensify. If instability in neighboring states results in the establishment of fundamentalist Islamic regimes or governments more hostile to Israel, it could be subject to additional political, economic, or military constraints, which could materially adversely affect our operations and our ability to sell products in the region.</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rFonts w:ascii="Times New Roman;Times;serif" w:hAnsi="Times New Roman;Times;serif"/>
          <w:sz w:val="20"/>
        </w:rPr>
      </w:pPr>
      <w:r>
        <w:rPr>
          <w:rFonts w:ascii="Times New Roman;Times;serif" w:hAnsi="Times New Roman;Times;serif"/>
          <w:sz w:val="20"/>
        </w:rPr>
        <w:t>Any interruption or curtailment of trade between Israel and its current trading partners, or a significant downturn in Israel’s economic or financial condition, could have a material adverse effect on our business, financial condition, and results of operations. Since the start of the war with Hamas, we have become aware of pressure being placed on some of our customers not to engage in business with us due to our affiliation with Israel. In addition, adverse developments in foreign policy toward Israel could negatively impact our ability to do business with suppliers and customers, which could, in turn, harm our reputation, results of operations, or financial condition.</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rFonts w:ascii="Times New Roman;Times;serif" w:hAnsi="Times New Roman;Times;serif"/>
          <w:sz w:val="20"/>
        </w:rPr>
      </w:pPr>
      <w:r>
        <w:rPr>
          <w:rFonts w:ascii="Times New Roman;Times;serif" w:hAnsi="Times New Roman;Times;serif"/>
          <w:sz w:val="20"/>
        </w:rPr>
        <w:t>While our offices and facilities worldwide, including in Israel, remain open and, to date, we have not experienced material disruptions to our ability to manufacture and deliver products and services to customers, any reemergence or escalation of conflicts in Israel or the surrounding region could materially adversely affect our business, financial condition, and results of operations.</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rFonts w:ascii="Times New Roman;Times;serif" w:hAnsi="Times New Roman;Times;serif"/>
          <w:sz w:val="20"/>
        </w:rPr>
      </w:pPr>
      <w:r>
        <w:rPr>
          <w:rFonts w:ascii="Times New Roman;Times;serif" w:hAnsi="Times New Roman;Times;serif"/>
          <w:sz w:val="20"/>
        </w:rPr>
        <w:t>Additionally, in 2023, the Israeli government announced plans to significantly reduce the Israeli Supreme Court's judicial oversight, including reducing its ability to strike down legislation that it deems unreasonable, and plans to increase political influence over the selection of judges. Although the Israeli Supreme Court partially struck down these plans, the current government has vowed to make other changes to law that limit the powers of the Supreme Court. If such government plans are eventually enacted, they may cause operational challenges for us since we are headquartered in Israel and many of our employees are located in Israel.</w:t>
      </w:r>
    </w:p>
    <w:p>
      <w:pPr>
        <w:pStyle w:val="TextBody"/>
        <w:bidi w:val="0"/>
        <w:spacing w:lineRule="auto" w:line="300" w:before="0" w:after="0"/>
        <w:jc w:val="left"/>
        <w:rPr/>
      </w:pPr>
      <w:r>
        <w:rPr/>
        <w:t> </w:t>
      </w:r>
    </w:p>
    <w:p>
      <w:pPr>
        <w:pStyle w:val="TextBody"/>
        <w:bidi w:val="0"/>
        <w:spacing w:lineRule="auto" w:line="300" w:before="0" w:after="0"/>
        <w:jc w:val="left"/>
        <w:rPr>
          <w:rFonts w:ascii="Times New Roman;Times;serif" w:hAnsi="Times New Roman;Times;serif"/>
          <w:b/>
          <w:sz w:val="20"/>
        </w:rPr>
      </w:pPr>
      <w:bookmarkStart w:id="17" w:name="ITEM2p2"/>
      <w:bookmarkEnd w:id="17"/>
      <w:r>
        <w:rPr>
          <w:rFonts w:ascii="Times New Roman;Times;serif" w:hAnsi="Times New Roman;Times;serif"/>
          <w:b/>
          <w:sz w:val="20"/>
        </w:rPr>
        <w:t>ITEM 2.  Unregistered Sales of Equity Securities and Use of Proceeds.</w:t>
      </w:r>
    </w:p>
    <w:p>
      <w:pPr>
        <w:pStyle w:val="TextBody"/>
        <w:bidi w:val="0"/>
        <w:spacing w:lineRule="auto" w:line="300" w:before="0" w:after="0"/>
        <w:jc w:val="left"/>
        <w:rPr/>
      </w:pPr>
      <w:r>
        <w:rPr/>
        <w:t> </w:t>
      </w:r>
    </w:p>
    <w:p>
      <w:pPr>
        <w:pStyle w:val="TextBody"/>
        <w:bidi w:val="0"/>
        <w:spacing w:lineRule="auto" w:line="300" w:before="0" w:after="0"/>
        <w:ind w:left="0" w:right="0" w:firstLine="360"/>
        <w:jc w:val="both"/>
        <w:rPr>
          <w:rFonts w:ascii="Times New Roman;Times;serif" w:hAnsi="Times New Roman;Times;serif"/>
          <w:sz w:val="20"/>
        </w:rPr>
      </w:pPr>
      <w:r>
        <w:rPr>
          <w:rFonts w:ascii="Times New Roman;Times;serif" w:hAnsi="Times New Roman;Times;serif"/>
          <w:sz w:val="20"/>
        </w:rPr>
        <w:t>None</w:t>
      </w:r>
    </w:p>
    <w:p>
      <w:pPr>
        <w:pStyle w:val="TextBody"/>
        <w:bidi w:val="0"/>
        <w:spacing w:lineRule="auto" w:line="300" w:before="0" w:after="0"/>
        <w:jc w:val="left"/>
        <w:rPr/>
      </w:pPr>
      <w:r>
        <w:rPr/>
        <w:t> </w:t>
      </w:r>
    </w:p>
    <w:p>
      <w:pPr>
        <w:pStyle w:val="TextBody"/>
        <w:bidi w:val="0"/>
        <w:spacing w:lineRule="auto" w:line="300" w:before="0" w:after="0"/>
        <w:jc w:val="left"/>
        <w:rPr>
          <w:rFonts w:ascii="Times New Roman;Times;serif" w:hAnsi="Times New Roman;Times;serif"/>
          <w:b/>
          <w:sz w:val="20"/>
        </w:rPr>
      </w:pPr>
      <w:r>
        <w:rPr>
          <w:rFonts w:ascii="Times New Roman;Times;serif" w:hAnsi="Times New Roman;Times;serif"/>
          <w:b/>
          <w:sz w:val="20"/>
        </w:rPr>
        <w:t>ITEM 3</w:t>
      </w:r>
      <w:bookmarkStart w:id="18" w:name="ITEM3p2"/>
      <w:bookmarkEnd w:id="18"/>
      <w:r>
        <w:rPr>
          <w:rFonts w:ascii="Times New Roman;Times;serif" w:hAnsi="Times New Roman;Times;serif"/>
          <w:b/>
          <w:sz w:val="20"/>
        </w:rPr>
        <w:t>.  Defaults upon Senior Securities.</w:t>
      </w:r>
    </w:p>
    <w:p>
      <w:pPr>
        <w:pStyle w:val="TextBody"/>
        <w:bidi w:val="0"/>
        <w:spacing w:lineRule="auto" w:line="300" w:before="0" w:after="0"/>
        <w:jc w:val="left"/>
        <w:rPr/>
      </w:pPr>
      <w:r>
        <w:rPr/>
        <w:t> </w:t>
      </w:r>
    </w:p>
    <w:p>
      <w:pPr>
        <w:pStyle w:val="TextBody"/>
        <w:bidi w:val="0"/>
        <w:spacing w:lineRule="auto" w:line="300" w:before="0" w:after="0"/>
        <w:ind w:left="0" w:right="0" w:firstLine="360"/>
        <w:jc w:val="both"/>
        <w:rPr>
          <w:rFonts w:ascii="Times New Roman;Times;serif" w:hAnsi="Times New Roman;Times;serif"/>
          <w:sz w:val="20"/>
        </w:rPr>
      </w:pPr>
      <w:r>
        <w:rPr>
          <w:rFonts w:ascii="Times New Roman;Times;serif" w:hAnsi="Times New Roman;Times;serif"/>
          <w:sz w:val="20"/>
        </w:rPr>
        <w:t>None</w:t>
      </w:r>
    </w:p>
    <w:p>
      <w:pPr>
        <w:pStyle w:val="TextBody"/>
        <w:bidi w:val="0"/>
        <w:spacing w:lineRule="auto" w:line="300" w:before="0" w:after="0"/>
        <w:jc w:val="left"/>
        <w:rPr/>
      </w:pPr>
      <w:r>
        <w:rPr/>
        <w:t> </w:t>
      </w:r>
    </w:p>
    <w:p>
      <w:pPr>
        <w:pStyle w:val="TextBody"/>
        <w:bidi w:val="0"/>
        <w:spacing w:lineRule="auto" w:line="300" w:before="0" w:after="0"/>
        <w:jc w:val="left"/>
        <w:rPr>
          <w:rFonts w:ascii="Times New Roman;Times;serif" w:hAnsi="Times New Roman;Times;serif"/>
          <w:b/>
          <w:sz w:val="20"/>
        </w:rPr>
      </w:pPr>
      <w:r>
        <w:rPr>
          <w:rFonts w:ascii="Times New Roman;Times;serif" w:hAnsi="Times New Roman;Times;serif"/>
          <w:b/>
          <w:sz w:val="20"/>
        </w:rPr>
        <w:t>ITEM 4</w:t>
      </w:r>
      <w:bookmarkStart w:id="19" w:name="ITEM4p2"/>
      <w:bookmarkEnd w:id="19"/>
      <w:r>
        <w:rPr>
          <w:rFonts w:ascii="Times New Roman;Times;serif" w:hAnsi="Times New Roman;Times;serif"/>
          <w:b/>
          <w:sz w:val="20"/>
        </w:rPr>
        <w:t>.  Mine Safety Disclosures</w:t>
      </w:r>
    </w:p>
    <w:p>
      <w:pPr>
        <w:pStyle w:val="TextBody"/>
        <w:bidi w:val="0"/>
        <w:spacing w:lineRule="auto" w:line="300" w:before="0" w:after="0"/>
        <w:jc w:val="left"/>
        <w:rPr/>
      </w:pPr>
      <w:r>
        <w:rPr/>
        <w:t> </w:t>
      </w:r>
    </w:p>
    <w:p>
      <w:pPr>
        <w:pStyle w:val="TextBody"/>
        <w:bidi w:val="0"/>
        <w:spacing w:lineRule="auto" w:line="300" w:before="0" w:after="0"/>
        <w:ind w:left="0" w:right="0" w:firstLine="360"/>
        <w:jc w:val="both"/>
        <w:rPr>
          <w:rFonts w:ascii="Times New Roman;Times;serif" w:hAnsi="Times New Roman;Times;serif"/>
          <w:sz w:val="20"/>
        </w:rPr>
      </w:pPr>
      <w:r>
        <w:rPr>
          <w:rFonts w:ascii="Times New Roman;Times;serif" w:hAnsi="Times New Roman;Times;serif"/>
          <w:sz w:val="20"/>
        </w:rPr>
        <w:t>Not applicable.</w:t>
      </w:r>
    </w:p>
    <w:p>
      <w:pPr>
        <w:pStyle w:val="TextBody"/>
        <w:bidi w:val="0"/>
        <w:spacing w:lineRule="auto" w:line="300" w:before="0" w:after="0"/>
        <w:jc w:val="left"/>
        <w:rPr/>
      </w:pPr>
      <w:r>
        <w:rPr/>
        <w:t> </w:t>
      </w:r>
    </w:p>
    <w:p>
      <w:pPr>
        <w:pStyle w:val="TextBody"/>
        <w:bidi w:val="0"/>
        <w:spacing w:lineRule="auto" w:line="300" w:before="0" w:after="0"/>
        <w:jc w:val="left"/>
        <w:rPr>
          <w:rFonts w:ascii="Times New Roman;Times;serif" w:hAnsi="Times New Roman;Times;serif"/>
          <w:b/>
          <w:sz w:val="20"/>
        </w:rPr>
      </w:pPr>
      <w:r>
        <w:rPr>
          <w:rFonts w:ascii="Times New Roman;Times;serif" w:hAnsi="Times New Roman;Times;serif"/>
          <w:b/>
          <w:sz w:val="20"/>
        </w:rPr>
        <w:t>ITEM 5</w:t>
      </w:r>
      <w:bookmarkStart w:id="20" w:name="ITEM5p2"/>
      <w:bookmarkEnd w:id="20"/>
      <w:r>
        <w:rPr>
          <w:rFonts w:ascii="Times New Roman;Times;serif" w:hAnsi="Times New Roman;Times;serif"/>
          <w:b/>
          <w:sz w:val="20"/>
        </w:rPr>
        <w:t>.  Other Information</w:t>
      </w:r>
    </w:p>
    <w:p>
      <w:pPr>
        <w:pStyle w:val="TextBody"/>
        <w:bidi w:val="0"/>
        <w:spacing w:lineRule="auto" w:line="300" w:before="0" w:after="0"/>
        <w:jc w:val="left"/>
        <w:rPr/>
      </w:pPr>
      <w:r>
        <w:rPr/>
        <w:t> </w:t>
      </w:r>
    </w:p>
    <w:p>
      <w:pPr>
        <w:pStyle w:val="TextBody"/>
        <w:bidi w:val="0"/>
        <w:spacing w:lineRule="auto" w:line="300" w:before="0" w:after="0"/>
        <w:ind w:left="0" w:right="0" w:firstLine="360"/>
        <w:jc w:val="left"/>
        <w:rPr>
          <w:rFonts w:ascii="Times New Roman;Times;serif" w:hAnsi="Times New Roman;Times;serif"/>
          <w:sz w:val="20"/>
        </w:rPr>
      </w:pPr>
      <w:r>
        <w:rPr>
          <w:rFonts w:ascii="Times New Roman;Times;serif" w:hAnsi="Times New Roman;Times;serif"/>
          <w:sz w:val="20"/>
        </w:rPr>
        <w:t>None.</w:t>
      </w:r>
    </w:p>
    <w:p>
      <w:pPr>
        <w:pStyle w:val="TextBody"/>
        <w:bidi w:val="0"/>
        <w:spacing w:lineRule="auto" w:line="300"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SOLAREDGE TECHNOLOGIES INC. | 2026 Form 10-Q | 23</w:t>
      </w:r>
    </w:p>
    <w:p>
      <w:pPr>
        <w:pStyle w:val="HorizontalLine"/>
        <w:bidi w:val="0"/>
        <w:spacing w:lineRule="auto" w:line="300" w:before="200" w:after="200"/>
        <w:jc w:val="left"/>
        <w:rPr/>
      </w:pPr>
      <w:r>
        <w:rPr/>
      </w:r>
    </w:p>
    <w:p>
      <w:pPr>
        <w:pStyle w:val="TextBody"/>
        <w:bidi w:val="0"/>
        <w:spacing w:lineRule="auto" w:line="300" w:before="0" w:after="0"/>
        <w:jc w:val="left"/>
        <w:rPr/>
      </w:pPr>
      <w:r>
        <w:rPr/>
        <w:t> </w:t>
      </w:r>
    </w:p>
    <w:p>
      <w:pPr>
        <w:pStyle w:val="TextBody"/>
        <w:bidi w:val="0"/>
        <w:spacing w:lineRule="auto" w:line="300" w:before="0" w:after="0"/>
        <w:jc w:val="left"/>
        <w:rPr>
          <w:rFonts w:ascii="Times New Roman;Times;serif" w:hAnsi="Times New Roman;Times;serif"/>
          <w:b/>
          <w:sz w:val="20"/>
        </w:rPr>
      </w:pPr>
      <w:r>
        <w:rPr>
          <w:rFonts w:ascii="Times New Roman;Times;serif" w:hAnsi="Times New Roman;Times;serif"/>
          <w:b/>
          <w:sz w:val="20"/>
        </w:rPr>
        <w:t>ITEM 6</w:t>
      </w:r>
      <w:bookmarkStart w:id="21" w:name="ITEM6p2"/>
      <w:bookmarkEnd w:id="21"/>
      <w:r>
        <w:rPr>
          <w:rFonts w:ascii="Times New Roman;Times;serif" w:hAnsi="Times New Roman;Times;serif"/>
          <w:b/>
          <w:sz w:val="20"/>
        </w:rPr>
        <w:t>.  Exhibits</w:t>
      </w:r>
    </w:p>
    <w:p>
      <w:pPr>
        <w:pStyle w:val="TextBody"/>
        <w:bidi w:val="0"/>
        <w:spacing w:lineRule="auto" w:line="300" w:before="0" w:after="0"/>
        <w:jc w:val="left"/>
        <w:rPr/>
      </w:pPr>
      <w:r>
        <w:rPr/>
        <w:t> </w:t>
      </w:r>
    </w:p>
    <w:p>
      <w:pPr>
        <w:pStyle w:val="TextBody"/>
        <w:bidi w:val="0"/>
        <w:spacing w:lineRule="auto" w:line="300" w:before="0" w:after="0"/>
        <w:ind w:left="0" w:right="0" w:firstLine="720"/>
        <w:jc w:val="left"/>
        <w:rPr>
          <w:rFonts w:ascii="Times New Roman;Times;serif" w:hAnsi="Times New Roman;Times;serif"/>
          <w:sz w:val="20"/>
        </w:rPr>
      </w:pPr>
      <w:r>
        <w:rPr>
          <w:rFonts w:ascii="Times New Roman;Times;serif" w:hAnsi="Times New Roman;Times;serif"/>
          <w:sz w:val="20"/>
        </w:rPr>
        <w:t>Index to Exhibits</w:t>
      </w:r>
    </w:p>
    <w:p>
      <w:pPr>
        <w:pStyle w:val="TextBody"/>
        <w:bidi w:val="0"/>
        <w:spacing w:lineRule="auto" w:line="300" w:before="0" w:after="0"/>
        <w:jc w:val="left"/>
        <w:rPr/>
      </w:pPr>
      <w:r>
        <w:rPr/>
        <w:t> </w:t>
      </w:r>
    </w:p>
    <w:tbl>
      <w:tblPr>
        <w:tblW w:w="10205" w:type="dxa"/>
        <w:jc w:val="left"/>
        <w:tblInd w:w="0" w:type="dxa"/>
        <w:tblLayout w:type="fixed"/>
        <w:tblCellMar>
          <w:top w:w="0" w:type="dxa"/>
          <w:left w:w="0" w:type="dxa"/>
          <w:bottom w:w="28" w:type="dxa"/>
          <w:right w:w="0" w:type="dxa"/>
        </w:tblCellMar>
      </w:tblPr>
      <w:tblGrid>
        <w:gridCol w:w="665"/>
        <w:gridCol w:w="60"/>
        <w:gridCol w:w="7998"/>
        <w:gridCol w:w="60"/>
        <w:gridCol w:w="1422"/>
      </w:tblGrid>
      <w:tr>
        <w:trPr/>
        <w:tc>
          <w:tcPr>
            <w:tcW w:w="665" w:type="dxa"/>
            <w:tcBorders>
              <w:bottom w:val="single" w:sz="12" w:space="0" w:color="000000"/>
            </w:tcBorders>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Exhibit</w:t>
            </w:r>
          </w:p>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No.</w:t>
            </w:r>
          </w:p>
        </w:tc>
        <w:tc>
          <w:tcPr>
            <w:tcW w:w="60" w:type="dxa"/>
            <w:tcBorders/>
            <w:tcMar>
              <w:bottom w:w="0" w:type="dxa"/>
            </w:tcMar>
            <w:vAlign w:val="center"/>
          </w:tcPr>
          <w:p>
            <w:pPr>
              <w:pStyle w:val="TableContents"/>
              <w:bidi w:val="0"/>
              <w:spacing w:lineRule="auto" w:line="300" w:before="0" w:after="0"/>
              <w:jc w:val="left"/>
              <w:rPr/>
            </w:pPr>
            <w:r>
              <w:rPr/>
              <w:t> </w:t>
            </w:r>
          </w:p>
        </w:tc>
        <w:tc>
          <w:tcPr>
            <w:tcW w:w="7998" w:type="dxa"/>
            <w:tcBorders>
              <w:bottom w:val="single" w:sz="12" w:space="0" w:color="000000"/>
            </w:tcBorders>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Description</w:t>
            </w:r>
          </w:p>
        </w:tc>
        <w:tc>
          <w:tcPr>
            <w:tcW w:w="60" w:type="dxa"/>
            <w:tcBorders/>
            <w:tcMar>
              <w:bottom w:w="0" w:type="dxa"/>
            </w:tcMar>
            <w:vAlign w:val="center"/>
          </w:tcPr>
          <w:p>
            <w:pPr>
              <w:pStyle w:val="TableContents"/>
              <w:bidi w:val="0"/>
              <w:spacing w:lineRule="auto" w:line="300" w:before="0" w:after="0"/>
              <w:jc w:val="left"/>
              <w:rPr/>
            </w:pPr>
            <w:r>
              <w:rPr/>
              <w:t> </w:t>
            </w:r>
          </w:p>
        </w:tc>
        <w:tc>
          <w:tcPr>
            <w:tcW w:w="1422" w:type="dxa"/>
            <w:tcBorders>
              <w:bottom w:val="single" w:sz="12" w:space="0" w:color="000000"/>
            </w:tcBorders>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Incorporation by Reference</w:t>
            </w:r>
          </w:p>
        </w:tc>
      </w:tr>
      <w:tr>
        <w:trPr/>
        <w:tc>
          <w:tcPr>
            <w:tcW w:w="665" w:type="dxa"/>
            <w:tcBorders/>
            <w:tcMar>
              <w:bottom w:w="0" w:type="dxa"/>
            </w:tcMar>
            <w:vAlign w:val="center"/>
          </w:tcPr>
          <w:p>
            <w:pPr>
              <w:pStyle w:val="TableContents"/>
              <w:bidi w:val="0"/>
              <w:spacing w:lineRule="auto" w:line="300" w:before="0" w:after="0"/>
              <w:jc w:val="left"/>
              <w:rPr/>
            </w:pPr>
            <w:hyperlink w:anchor="exhibit_10-1.htm">
              <w:r>
                <w:rPr>
                  <w:rStyle w:val="InternetLink"/>
                  <w:rFonts w:ascii="Times New Roman;Times;serif" w:hAnsi="Times New Roman;Times;serif"/>
                  <w:sz w:val="20"/>
                </w:rPr>
                <w:t>10.1</w:t>
              </w:r>
            </w:hyperlink>
          </w:p>
        </w:tc>
        <w:tc>
          <w:tcPr>
            <w:tcW w:w="60" w:type="dxa"/>
            <w:tcBorders/>
            <w:tcMar>
              <w:bottom w:w="0" w:type="dxa"/>
            </w:tcMar>
            <w:vAlign w:val="center"/>
          </w:tcPr>
          <w:p>
            <w:pPr>
              <w:pStyle w:val="TableContents"/>
              <w:bidi w:val="0"/>
              <w:spacing w:before="0" w:after="283"/>
              <w:jc w:val="left"/>
              <w:rPr/>
            </w:pPr>
            <w:r>
              <w:rPr/>
              <w:t> </w:t>
            </w:r>
          </w:p>
        </w:tc>
        <w:tc>
          <w:tcPr>
            <w:tcW w:w="7998" w:type="dxa"/>
            <w:tcBorders/>
            <w:tcMar>
              <w:bottom w:w="0" w:type="dxa"/>
            </w:tcMar>
            <w:vAlign w:val="center"/>
          </w:tcPr>
          <w:p>
            <w:pPr>
              <w:pStyle w:val="TableContents"/>
              <w:bidi w:val="0"/>
              <w:spacing w:lineRule="auto" w:line="300" w:before="0" w:after="0"/>
              <w:jc w:val="left"/>
              <w:rPr/>
            </w:pPr>
            <w:hyperlink w:anchor="exhibit_10-1.htm">
              <w:r>
                <w:rPr>
                  <w:rStyle w:val="InternetLink"/>
                  <w:rFonts w:ascii="Times New Roman;Times;serif" w:hAnsi="Times New Roman;Times;serif"/>
                  <w:sz w:val="20"/>
                </w:rPr>
                <w:t>Employment Agreement, dated May 10, 2026 by and between SolarEdge Technologies, Ltd. and Maoz Sigron</w:t>
              </w:r>
            </w:hyperlink>
          </w:p>
        </w:tc>
        <w:tc>
          <w:tcPr>
            <w:tcW w:w="60" w:type="dxa"/>
            <w:tcBorders/>
            <w:tcMar>
              <w:bottom w:w="0" w:type="dxa"/>
            </w:tcMar>
            <w:vAlign w:val="center"/>
          </w:tcPr>
          <w:p>
            <w:pPr>
              <w:pStyle w:val="TableContents"/>
              <w:bidi w:val="0"/>
              <w:spacing w:before="0" w:after="283"/>
              <w:jc w:val="left"/>
              <w:rPr/>
            </w:pPr>
            <w:r>
              <w:rPr/>
              <w:t> </w:t>
            </w:r>
          </w:p>
        </w:tc>
        <w:tc>
          <w:tcPr>
            <w:tcW w:w="1422" w:type="dxa"/>
            <w:tcBorders/>
            <w:tcMar>
              <w:bottom w:w="0" w:type="dxa"/>
            </w:tcM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Filed with this report.</w:t>
            </w:r>
          </w:p>
        </w:tc>
      </w:tr>
      <w:tr>
        <w:trPr/>
        <w:tc>
          <w:tcPr>
            <w:tcW w:w="665" w:type="dxa"/>
            <w:tcBorders/>
            <w:tcMar>
              <w:bottom w:w="0" w:type="dxa"/>
            </w:tcMar>
            <w:vAlign w:val="center"/>
          </w:tcPr>
          <w:p>
            <w:pPr>
              <w:pStyle w:val="TableContents"/>
              <w:bidi w:val="0"/>
              <w:spacing w:lineRule="auto" w:line="300" w:before="0" w:after="0"/>
              <w:jc w:val="left"/>
              <w:rPr/>
            </w:pPr>
            <w:hyperlink w:anchor="exhibit_31-1.htm">
              <w:r>
                <w:rPr>
                  <w:rStyle w:val="InternetLink"/>
                  <w:rFonts w:ascii="Times New Roman;Times;serif" w:hAnsi="Times New Roman;Times;serif"/>
                  <w:sz w:val="20"/>
                </w:rPr>
                <w:t>31.1</w:t>
              </w:r>
            </w:hyperlink>
          </w:p>
        </w:tc>
        <w:tc>
          <w:tcPr>
            <w:tcW w:w="60" w:type="dxa"/>
            <w:tcBorders/>
            <w:tcMar>
              <w:bottom w:w="0" w:type="dxa"/>
            </w:tcMar>
            <w:vAlign w:val="center"/>
          </w:tcPr>
          <w:p>
            <w:pPr>
              <w:pStyle w:val="TableContents"/>
              <w:bidi w:val="0"/>
              <w:spacing w:before="0" w:after="283"/>
              <w:jc w:val="left"/>
              <w:rPr/>
            </w:pPr>
            <w:r>
              <w:rPr/>
              <w:t> </w:t>
            </w:r>
          </w:p>
        </w:tc>
        <w:tc>
          <w:tcPr>
            <w:tcW w:w="7998" w:type="dxa"/>
            <w:tcBorders/>
            <w:tcMar>
              <w:bottom w:w="0" w:type="dxa"/>
            </w:tcMar>
            <w:vAlign w:val="center"/>
          </w:tcPr>
          <w:p>
            <w:pPr>
              <w:pStyle w:val="TableContents"/>
              <w:bidi w:val="0"/>
              <w:spacing w:lineRule="auto" w:line="300" w:before="0" w:after="0"/>
              <w:jc w:val="left"/>
              <w:rPr/>
            </w:pPr>
            <w:hyperlink w:anchor="exhibit_31-1.htm">
              <w:r>
                <w:rPr>
                  <w:rStyle w:val="InternetLink"/>
                  <w:rFonts w:ascii="Times New Roman;Times;serif" w:hAnsi="Times New Roman;Times;serif"/>
                  <w:sz w:val="20"/>
                </w:rPr>
                <w:t>Certification of Chief Executive Officer Pursuant to Rules 13a-14(a) and 15d-14(a) of the Securities Exchange Act of 1934, as amended</w:t>
              </w:r>
            </w:hyperlink>
          </w:p>
        </w:tc>
        <w:tc>
          <w:tcPr>
            <w:tcW w:w="60" w:type="dxa"/>
            <w:tcBorders/>
            <w:tcMar>
              <w:bottom w:w="0" w:type="dxa"/>
            </w:tcMar>
            <w:vAlign w:val="center"/>
          </w:tcPr>
          <w:p>
            <w:pPr>
              <w:pStyle w:val="TableContents"/>
              <w:bidi w:val="0"/>
              <w:spacing w:before="0" w:after="283"/>
              <w:jc w:val="left"/>
              <w:rPr/>
            </w:pPr>
            <w:r>
              <w:rPr/>
              <w:t> </w:t>
            </w:r>
          </w:p>
        </w:tc>
        <w:tc>
          <w:tcPr>
            <w:tcW w:w="1422" w:type="dxa"/>
            <w:tcBorders/>
            <w:tcMar>
              <w:bottom w:w="0" w:type="dxa"/>
            </w:tcM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Filed with this report.</w:t>
            </w:r>
          </w:p>
        </w:tc>
      </w:tr>
      <w:tr>
        <w:trPr/>
        <w:tc>
          <w:tcPr>
            <w:tcW w:w="665" w:type="dxa"/>
            <w:tcBorders/>
            <w:tcMar>
              <w:bottom w:w="0" w:type="dxa"/>
            </w:tcMar>
            <w:vAlign w:val="center"/>
          </w:tcPr>
          <w:p>
            <w:pPr>
              <w:pStyle w:val="TableContents"/>
              <w:bidi w:val="0"/>
              <w:spacing w:lineRule="auto" w:line="300" w:before="0" w:after="0"/>
              <w:jc w:val="left"/>
              <w:rPr/>
            </w:pPr>
            <w:hyperlink w:anchor="exhibit_31-2.htm">
              <w:r>
                <w:rPr>
                  <w:rStyle w:val="InternetLink"/>
                  <w:rFonts w:ascii="Times New Roman;Times;serif" w:hAnsi="Times New Roman;Times;serif"/>
                  <w:sz w:val="20"/>
                </w:rPr>
                <w:t>31.2</w:t>
              </w:r>
            </w:hyperlink>
          </w:p>
        </w:tc>
        <w:tc>
          <w:tcPr>
            <w:tcW w:w="60" w:type="dxa"/>
            <w:tcBorders/>
            <w:tcMar>
              <w:bottom w:w="0" w:type="dxa"/>
            </w:tcMar>
            <w:vAlign w:val="center"/>
          </w:tcPr>
          <w:p>
            <w:pPr>
              <w:pStyle w:val="TableContents"/>
              <w:bidi w:val="0"/>
              <w:spacing w:before="0" w:after="283"/>
              <w:jc w:val="left"/>
              <w:rPr/>
            </w:pPr>
            <w:r>
              <w:rPr/>
              <w:t> </w:t>
            </w:r>
          </w:p>
        </w:tc>
        <w:tc>
          <w:tcPr>
            <w:tcW w:w="7998" w:type="dxa"/>
            <w:tcBorders/>
            <w:tcMar>
              <w:bottom w:w="0" w:type="dxa"/>
            </w:tcMar>
            <w:vAlign w:val="center"/>
          </w:tcPr>
          <w:p>
            <w:pPr>
              <w:pStyle w:val="TableContents"/>
              <w:bidi w:val="0"/>
              <w:spacing w:lineRule="auto" w:line="300" w:before="0" w:after="0"/>
              <w:jc w:val="left"/>
              <w:rPr/>
            </w:pPr>
            <w:hyperlink w:anchor="exhibit_31-2.htm">
              <w:r>
                <w:rPr>
                  <w:rStyle w:val="InternetLink"/>
                  <w:rFonts w:ascii="Times New Roman;Times;serif" w:hAnsi="Times New Roman;Times;serif"/>
                  <w:sz w:val="20"/>
                </w:rPr>
                <w:t>Certification of Chief Financial Officer Pursuant to Rules 13a-14(a) and 15d-14(a) of the Securities Exchange Act of 1934, as amended</w:t>
              </w:r>
            </w:hyperlink>
          </w:p>
        </w:tc>
        <w:tc>
          <w:tcPr>
            <w:tcW w:w="60" w:type="dxa"/>
            <w:tcBorders/>
            <w:tcMar>
              <w:bottom w:w="0" w:type="dxa"/>
            </w:tcMar>
            <w:vAlign w:val="center"/>
          </w:tcPr>
          <w:p>
            <w:pPr>
              <w:pStyle w:val="TableContents"/>
              <w:bidi w:val="0"/>
              <w:spacing w:before="0" w:after="283"/>
              <w:jc w:val="left"/>
              <w:rPr/>
            </w:pPr>
            <w:r>
              <w:rPr/>
              <w:t> </w:t>
            </w:r>
          </w:p>
        </w:tc>
        <w:tc>
          <w:tcPr>
            <w:tcW w:w="1422" w:type="dxa"/>
            <w:tcBorders/>
            <w:tcMar>
              <w:bottom w:w="0" w:type="dxa"/>
            </w:tcM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Filed with this report.</w:t>
            </w:r>
          </w:p>
        </w:tc>
      </w:tr>
      <w:tr>
        <w:trPr/>
        <w:tc>
          <w:tcPr>
            <w:tcW w:w="665" w:type="dxa"/>
            <w:tcBorders/>
            <w:tcMar>
              <w:bottom w:w="0" w:type="dxa"/>
            </w:tcMar>
            <w:vAlign w:val="center"/>
          </w:tcPr>
          <w:p>
            <w:pPr>
              <w:pStyle w:val="TableContents"/>
              <w:bidi w:val="0"/>
              <w:spacing w:lineRule="auto" w:line="300" w:before="0" w:after="0"/>
              <w:jc w:val="left"/>
              <w:rPr/>
            </w:pPr>
            <w:hyperlink w:anchor="exhibit_32-1.htm">
              <w:r>
                <w:rPr>
                  <w:rStyle w:val="InternetLink"/>
                  <w:rFonts w:ascii="Times New Roman;Times;serif" w:hAnsi="Times New Roman;Times;serif"/>
                  <w:sz w:val="20"/>
                </w:rPr>
                <w:t>32.1</w:t>
              </w:r>
            </w:hyperlink>
          </w:p>
        </w:tc>
        <w:tc>
          <w:tcPr>
            <w:tcW w:w="60" w:type="dxa"/>
            <w:tcBorders/>
            <w:tcMar>
              <w:bottom w:w="0" w:type="dxa"/>
            </w:tcMar>
            <w:vAlign w:val="center"/>
          </w:tcPr>
          <w:p>
            <w:pPr>
              <w:pStyle w:val="TableContents"/>
              <w:bidi w:val="0"/>
              <w:spacing w:before="0" w:after="283"/>
              <w:jc w:val="left"/>
              <w:rPr/>
            </w:pPr>
            <w:r>
              <w:rPr/>
              <w:t> </w:t>
            </w:r>
          </w:p>
        </w:tc>
        <w:tc>
          <w:tcPr>
            <w:tcW w:w="7998" w:type="dxa"/>
            <w:tcBorders/>
            <w:tcMar>
              <w:bottom w:w="0" w:type="dxa"/>
            </w:tcMar>
            <w:vAlign w:val="center"/>
          </w:tcPr>
          <w:p>
            <w:pPr>
              <w:pStyle w:val="TableContents"/>
              <w:bidi w:val="0"/>
              <w:spacing w:lineRule="auto" w:line="300" w:before="0" w:after="0"/>
              <w:jc w:val="left"/>
              <w:rPr/>
            </w:pPr>
            <w:hyperlink w:anchor="exhibit_32-1.htm">
              <w:r>
                <w:rPr>
                  <w:rStyle w:val="InternetLink"/>
                  <w:rFonts w:ascii="Times New Roman;Times;serif" w:hAnsi="Times New Roman;Times;serif"/>
                  <w:sz w:val="20"/>
                </w:rPr>
                <w:t>Certification of Chief Executive Officer, pursuant to 18 U.S.C. Section 1350, as adopted pursuant to Section 906 of the Sarbanes-Oxley Act of 2002</w:t>
              </w:r>
            </w:hyperlink>
          </w:p>
        </w:tc>
        <w:tc>
          <w:tcPr>
            <w:tcW w:w="60" w:type="dxa"/>
            <w:tcBorders/>
            <w:tcMar>
              <w:bottom w:w="0" w:type="dxa"/>
            </w:tcMar>
            <w:vAlign w:val="center"/>
          </w:tcPr>
          <w:p>
            <w:pPr>
              <w:pStyle w:val="TableContents"/>
              <w:bidi w:val="0"/>
              <w:spacing w:before="0" w:after="283"/>
              <w:jc w:val="left"/>
              <w:rPr/>
            </w:pPr>
            <w:r>
              <w:rPr/>
              <w:t> </w:t>
            </w:r>
          </w:p>
        </w:tc>
        <w:tc>
          <w:tcPr>
            <w:tcW w:w="1422" w:type="dxa"/>
            <w:tcBorders/>
            <w:tcMar>
              <w:bottom w:w="0" w:type="dxa"/>
            </w:tcM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Furnished with this report.</w:t>
            </w:r>
          </w:p>
        </w:tc>
      </w:tr>
      <w:tr>
        <w:trPr/>
        <w:tc>
          <w:tcPr>
            <w:tcW w:w="665" w:type="dxa"/>
            <w:tcBorders/>
            <w:tcMar>
              <w:bottom w:w="0" w:type="dxa"/>
            </w:tcMar>
            <w:vAlign w:val="center"/>
          </w:tcPr>
          <w:p>
            <w:pPr>
              <w:pStyle w:val="TableContents"/>
              <w:bidi w:val="0"/>
              <w:spacing w:lineRule="auto" w:line="300" w:before="0" w:after="0"/>
              <w:jc w:val="left"/>
              <w:rPr/>
            </w:pPr>
            <w:hyperlink w:anchor="exhibit_32-2.htm">
              <w:r>
                <w:rPr>
                  <w:rStyle w:val="InternetLink"/>
                  <w:rFonts w:ascii="Times New Roman;Times;serif" w:hAnsi="Times New Roman;Times;serif"/>
                  <w:sz w:val="20"/>
                </w:rPr>
                <w:t>32.2</w:t>
              </w:r>
            </w:hyperlink>
          </w:p>
        </w:tc>
        <w:tc>
          <w:tcPr>
            <w:tcW w:w="60" w:type="dxa"/>
            <w:tcBorders/>
            <w:tcMar>
              <w:bottom w:w="0" w:type="dxa"/>
            </w:tcMar>
            <w:vAlign w:val="center"/>
          </w:tcPr>
          <w:p>
            <w:pPr>
              <w:pStyle w:val="TableContents"/>
              <w:bidi w:val="0"/>
              <w:spacing w:before="0" w:after="283"/>
              <w:jc w:val="left"/>
              <w:rPr/>
            </w:pPr>
            <w:r>
              <w:rPr/>
              <w:t> </w:t>
            </w:r>
          </w:p>
        </w:tc>
        <w:tc>
          <w:tcPr>
            <w:tcW w:w="7998" w:type="dxa"/>
            <w:tcBorders/>
            <w:tcMar>
              <w:bottom w:w="0" w:type="dxa"/>
            </w:tcMar>
            <w:vAlign w:val="center"/>
          </w:tcPr>
          <w:p>
            <w:pPr>
              <w:pStyle w:val="TableContents"/>
              <w:bidi w:val="0"/>
              <w:spacing w:lineRule="auto" w:line="300" w:before="0" w:after="0"/>
              <w:jc w:val="left"/>
              <w:rPr/>
            </w:pPr>
            <w:hyperlink w:anchor="exhibit_32-2.htm">
              <w:r>
                <w:rPr>
                  <w:rStyle w:val="InternetLink"/>
                  <w:rFonts w:ascii="Times New Roman;Times;serif" w:hAnsi="Times New Roman;Times;serif"/>
                  <w:sz w:val="20"/>
                </w:rPr>
                <w:t>Certification of Chief Financial Officer, pursuant to 18 U.S.C. Section 1350, as adopted pursuant to Section 906 of the Sarbanes-Oxley Act of 2002</w:t>
              </w:r>
            </w:hyperlink>
          </w:p>
        </w:tc>
        <w:tc>
          <w:tcPr>
            <w:tcW w:w="60" w:type="dxa"/>
            <w:tcBorders/>
            <w:tcMar>
              <w:bottom w:w="0" w:type="dxa"/>
            </w:tcMar>
            <w:vAlign w:val="center"/>
          </w:tcPr>
          <w:p>
            <w:pPr>
              <w:pStyle w:val="TableContents"/>
              <w:bidi w:val="0"/>
              <w:spacing w:before="0" w:after="283"/>
              <w:jc w:val="left"/>
              <w:rPr/>
            </w:pPr>
            <w:r>
              <w:rPr/>
              <w:t> </w:t>
            </w:r>
          </w:p>
        </w:tc>
        <w:tc>
          <w:tcPr>
            <w:tcW w:w="1422" w:type="dxa"/>
            <w:tcBorders/>
            <w:tcMar>
              <w:bottom w:w="0" w:type="dxa"/>
            </w:tcM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Furnished with this report.</w:t>
            </w:r>
          </w:p>
        </w:tc>
      </w:tr>
      <w:tr>
        <w:trPr/>
        <w:tc>
          <w:tcPr>
            <w:tcW w:w="665" w:type="dxa"/>
            <w:tcBorders/>
            <w:tcMar>
              <w:bottom w:w="0" w:type="dxa"/>
            </w:tcM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101</w:t>
            </w:r>
          </w:p>
        </w:tc>
        <w:tc>
          <w:tcPr>
            <w:tcW w:w="60" w:type="dxa"/>
            <w:tcBorders/>
            <w:tcMar>
              <w:bottom w:w="0" w:type="dxa"/>
            </w:tcMar>
            <w:vAlign w:val="center"/>
          </w:tcPr>
          <w:p>
            <w:pPr>
              <w:pStyle w:val="TableContents"/>
              <w:bidi w:val="0"/>
              <w:spacing w:before="0" w:after="283"/>
              <w:jc w:val="left"/>
              <w:rPr/>
            </w:pPr>
            <w:r>
              <w:rPr/>
              <w:t> </w:t>
            </w:r>
          </w:p>
        </w:tc>
        <w:tc>
          <w:tcPr>
            <w:tcW w:w="7998" w:type="dxa"/>
            <w:tcBorders/>
            <w:tcMar>
              <w:bottom w:w="0" w:type="dxa"/>
            </w:tcM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The following financial statements from the Company’s Quarterly Report on Form 10-Q for the quarter ended June 30, 2026, formatted in Inline XBRL: (i) Condensed Consolidated Balance Sheets, (ii) Condensed Consolidated Statements of Loss, (iii) Condensed Consolidated Statements of Comprehensive Loss, (iv) Condensed Consolidated Statements of Stockholders’ Equity, (v) Condensed Consolidated Statements of Cash Flows, (vi) Notes to Condensed Consolidated Financial Statements, and (vii) part II, Item 5(c)</w:t>
            </w:r>
          </w:p>
        </w:tc>
        <w:tc>
          <w:tcPr>
            <w:tcW w:w="60" w:type="dxa"/>
            <w:tcBorders/>
            <w:tcMar>
              <w:bottom w:w="0" w:type="dxa"/>
            </w:tcMar>
            <w:vAlign w:val="center"/>
          </w:tcPr>
          <w:p>
            <w:pPr>
              <w:pStyle w:val="TableContents"/>
              <w:bidi w:val="0"/>
              <w:spacing w:before="0" w:after="283"/>
              <w:jc w:val="left"/>
              <w:rPr/>
            </w:pPr>
            <w:r>
              <w:rPr/>
              <w:t> </w:t>
            </w:r>
          </w:p>
        </w:tc>
        <w:tc>
          <w:tcPr>
            <w:tcW w:w="1422" w:type="dxa"/>
            <w:tcBorders/>
            <w:tcMar>
              <w:bottom w:w="0" w:type="dxa"/>
            </w:tcMar>
            <w:vAlign w:val="center"/>
          </w:tcPr>
          <w:p>
            <w:pPr>
              <w:pStyle w:val="TableContents"/>
              <w:bidi w:val="0"/>
              <w:spacing w:before="0" w:after="283"/>
              <w:jc w:val="left"/>
              <w:rPr/>
            </w:pPr>
            <w:r>
              <w:rPr/>
              <w:t> </w:t>
            </w:r>
          </w:p>
        </w:tc>
      </w:tr>
      <w:tr>
        <w:trPr/>
        <w:tc>
          <w:tcPr>
            <w:tcW w:w="665" w:type="dxa"/>
            <w:tcBorders/>
            <w:tcMar>
              <w:bottom w:w="0" w:type="dxa"/>
            </w:tcM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104</w:t>
            </w:r>
          </w:p>
        </w:tc>
        <w:tc>
          <w:tcPr>
            <w:tcW w:w="60" w:type="dxa"/>
            <w:tcBorders/>
            <w:tcMar>
              <w:bottom w:w="0" w:type="dxa"/>
            </w:tcMar>
            <w:vAlign w:val="center"/>
          </w:tcPr>
          <w:p>
            <w:pPr>
              <w:pStyle w:val="TableContents"/>
              <w:bidi w:val="0"/>
              <w:spacing w:before="0" w:after="283"/>
              <w:jc w:val="left"/>
              <w:rPr/>
            </w:pPr>
            <w:r>
              <w:rPr/>
              <w:t> </w:t>
            </w:r>
          </w:p>
        </w:tc>
        <w:tc>
          <w:tcPr>
            <w:tcW w:w="7998" w:type="dxa"/>
            <w:tcBorders/>
            <w:tcMar>
              <w:bottom w:w="0" w:type="dxa"/>
            </w:tcM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The cover page from the Company’s Quarterly Report on Form 10-Q for the quarter ended June 30, 2026 formatted in Inline XBRL</w:t>
            </w:r>
          </w:p>
        </w:tc>
        <w:tc>
          <w:tcPr>
            <w:tcW w:w="60" w:type="dxa"/>
            <w:tcBorders/>
            <w:tcMar>
              <w:bottom w:w="0" w:type="dxa"/>
            </w:tcMar>
            <w:vAlign w:val="center"/>
          </w:tcPr>
          <w:p>
            <w:pPr>
              <w:pStyle w:val="TableContents"/>
              <w:bidi w:val="0"/>
              <w:spacing w:before="0" w:after="283"/>
              <w:jc w:val="left"/>
              <w:rPr/>
            </w:pPr>
            <w:r>
              <w:rPr/>
              <w:t> </w:t>
            </w:r>
          </w:p>
        </w:tc>
        <w:tc>
          <w:tcPr>
            <w:tcW w:w="1422" w:type="dxa"/>
            <w:tcBorders/>
            <w:tcMar>
              <w:bottom w:w="0" w:type="dxa"/>
            </w:tcMar>
            <w:vAlign w:val="center"/>
          </w:tcPr>
          <w:p>
            <w:pPr>
              <w:pStyle w:val="TableContents"/>
              <w:bidi w:val="0"/>
              <w:spacing w:lineRule="auto" w:line="300" w:before="0" w:after="0"/>
              <w:jc w:val="left"/>
              <w:rPr>
                <w:rFonts w:ascii="Times New Roman;Times;serif" w:hAnsi="Times New Roman;Times;serif"/>
                <w:i/>
                <w:sz w:val="20"/>
              </w:rPr>
            </w:pPr>
            <w:r>
              <w:rPr>
                <w:rFonts w:ascii="Times New Roman;Times;serif" w:hAnsi="Times New Roman;Times;serif"/>
                <w:i/>
                <w:sz w:val="20"/>
              </w:rPr>
              <w:t>Included in Exhibit 101</w:t>
            </w:r>
          </w:p>
          <w:p>
            <w:pPr>
              <w:pStyle w:val="TableContents"/>
              <w:bidi w:val="0"/>
              <w:spacing w:lineRule="auto" w:line="300" w:before="0" w:after="0"/>
              <w:jc w:val="left"/>
              <w:rPr/>
            </w:pPr>
            <w:r>
              <w:rPr/>
              <w:t> </w:t>
            </w:r>
          </w:p>
        </w:tc>
      </w:tr>
    </w:tbl>
    <w:p>
      <w:pPr>
        <w:pStyle w:val="TextBody"/>
        <w:bidi w:val="0"/>
        <w:spacing w:lineRule="auto" w:line="300" w:before="0" w:after="0"/>
        <w:jc w:val="left"/>
        <w:rPr/>
      </w:pPr>
      <w:r>
        <w:rPr/>
        <w:t> </w:t>
      </w:r>
    </w:p>
    <w:p>
      <w:pPr>
        <w:pStyle w:val="TextBody"/>
        <w:bidi w:val="0"/>
        <w:spacing w:lineRule="auto" w:line="300"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SOLAREDGE TECHNOLOGIES INC. | 2026 Form 10-Q | 24</w:t>
      </w:r>
    </w:p>
    <w:p>
      <w:pPr>
        <w:pStyle w:val="HorizontalLine"/>
        <w:bidi w:val="0"/>
        <w:spacing w:lineRule="auto" w:line="300" w:before="200" w:after="200"/>
        <w:jc w:val="left"/>
        <w:rPr/>
      </w:pPr>
      <w:r>
        <w:rPr/>
      </w:r>
    </w:p>
    <w:p>
      <w:pPr>
        <w:pStyle w:val="TextBody"/>
        <w:bidi w:val="0"/>
        <w:spacing w:lineRule="auto" w:line="300" w:before="0" w:after="0"/>
        <w:jc w:val="left"/>
        <w:rPr/>
      </w:pPr>
      <w:r>
        <w:rPr/>
        <w:t> </w:t>
      </w:r>
    </w:p>
    <w:p>
      <w:pPr>
        <w:pStyle w:val="TextBody"/>
        <w:bidi w:val="0"/>
        <w:spacing w:lineRule="auto" w:line="300" w:before="0" w:after="0"/>
        <w:jc w:val="center"/>
        <w:rPr>
          <w:rFonts w:ascii="Times New Roman;Times;serif" w:hAnsi="Times New Roman;Times;serif"/>
          <w:b/>
          <w:sz w:val="20"/>
        </w:rPr>
      </w:pPr>
      <w:r>
        <w:rPr>
          <w:rFonts w:ascii="Times New Roman;Times;serif" w:hAnsi="Times New Roman;Times;serif"/>
          <w:b/>
          <w:sz w:val="20"/>
        </w:rPr>
        <w:t>SIGNATURES</w:t>
      </w:r>
    </w:p>
    <w:p>
      <w:pPr>
        <w:pStyle w:val="TextBody"/>
        <w:bidi w:val="0"/>
        <w:spacing w:lineRule="auto" w:line="300" w:before="0" w:after="0"/>
        <w:jc w:val="left"/>
        <w:rPr/>
      </w:pPr>
      <w:r>
        <w:rPr/>
        <w:t> </w:t>
      </w:r>
    </w:p>
    <w:p>
      <w:pPr>
        <w:pStyle w:val="TextBody"/>
        <w:bidi w:val="0"/>
        <w:spacing w:lineRule="auto" w:line="300" w:before="0" w:after="0"/>
        <w:ind w:left="0" w:right="0" w:firstLine="495"/>
        <w:jc w:val="both"/>
        <w:rPr>
          <w:rFonts w:ascii="Times New Roman;Times;serif" w:hAnsi="Times New Roman;Times;serif"/>
          <w:sz w:val="20"/>
        </w:rPr>
      </w:pPr>
      <w:r>
        <w:rPr>
          <w:rFonts w:ascii="Times New Roman;Times;serif" w:hAnsi="Times New Roman;Times;serif"/>
          <w:sz w:val="20"/>
        </w:rPr>
        <w:t>Pursuant to the requirements of Section 13 or 15(d) of the Securities Exchange Act of 1934, as amended, the registrant has duly caused this report to be signed on its behalf by the undersigned, thereunto duly authorized.</w:t>
      </w:r>
    </w:p>
    <w:p>
      <w:pPr>
        <w:pStyle w:val="TextBody"/>
        <w:bidi w:val="0"/>
        <w:spacing w:lineRule="auto" w:line="300" w:before="0" w:after="0"/>
        <w:jc w:val="left"/>
        <w:rPr/>
      </w:pPr>
      <w:r>
        <w:rPr/>
        <w:t> </w:t>
      </w:r>
    </w:p>
    <w:p>
      <w:pPr>
        <w:pStyle w:val="TextBody"/>
        <w:bidi w:val="0"/>
        <w:spacing w:lineRule="auto" w:line="300" w:before="0" w:after="0"/>
        <w:jc w:val="left"/>
        <w:rPr>
          <w:rFonts w:ascii="Times New Roman;Times;serif" w:hAnsi="Times New Roman;Times;serif"/>
          <w:sz w:val="20"/>
        </w:rPr>
      </w:pPr>
      <w:r>
        <w:rPr>
          <w:rFonts w:ascii="Times New Roman;Times;serif" w:hAnsi="Times New Roman;Times;serif"/>
          <w:sz w:val="20"/>
        </w:rPr>
        <w:t>Date: August 5, 2026</w:t>
      </w:r>
    </w:p>
    <w:p>
      <w:pPr>
        <w:pStyle w:val="TextBody"/>
        <w:bidi w:val="0"/>
        <w:spacing w:lineRule="auto" w:line="300" w:before="0" w:after="0"/>
        <w:jc w:val="left"/>
        <w:rPr/>
      </w:pPr>
      <w:r>
        <w:rPr/>
        <w:t> </w:t>
      </w:r>
    </w:p>
    <w:tbl>
      <w:tblPr>
        <w:tblW w:w="2435" w:type="dxa"/>
        <w:jc w:val="left"/>
        <w:tblInd w:w="0" w:type="dxa"/>
        <w:tblLayout w:type="fixed"/>
        <w:tblCellMar>
          <w:top w:w="0" w:type="dxa"/>
          <w:left w:w="0" w:type="dxa"/>
          <w:bottom w:w="0" w:type="dxa"/>
          <w:right w:w="0" w:type="dxa"/>
        </w:tblCellMar>
      </w:tblPr>
      <w:tblGrid>
        <w:gridCol w:w="60"/>
        <w:gridCol w:w="2375"/>
      </w:tblGrid>
      <w:tr>
        <w:trPr/>
        <w:tc>
          <w:tcPr>
            <w:tcW w:w="60" w:type="dxa"/>
            <w:tcBorders/>
            <w:vAlign w:val="center"/>
          </w:tcPr>
          <w:p>
            <w:pPr>
              <w:pStyle w:val="TableContents"/>
              <w:bidi w:val="0"/>
              <w:spacing w:before="0" w:after="0"/>
              <w:jc w:val="left"/>
              <w:rPr/>
            </w:pPr>
            <w:r>
              <w:rPr/>
              <w:t> </w:t>
            </w:r>
          </w:p>
        </w:tc>
        <w:tc>
          <w:tcPr>
            <w:tcW w:w="2375"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u w:val="single"/>
              </w:rPr>
              <w:t>/s/ Shuki Nir</w:t>
            </w:r>
            <w:r>
              <w:rPr>
                <w:rFonts w:ascii="Times New Roman;Times;serif" w:hAnsi="Times New Roman;Times;serif"/>
                <w:sz w:val="20"/>
              </w:rPr>
              <w:br/>
              <w:t>Shuki Nir</w:t>
            </w:r>
          </w:p>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Chief Executive Officer</w:t>
            </w:r>
          </w:p>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r>
              <w:rPr>
                <w:rFonts w:ascii="Times New Roman;Times;serif" w:hAnsi="Times New Roman;Times;serif"/>
                <w:i/>
                <w:sz w:val="20"/>
              </w:rPr>
              <w:t>Principal Executive Officer</w:t>
            </w:r>
            <w:r>
              <w:rPr>
                <w:rFonts w:ascii="Times New Roman;Times;serif" w:hAnsi="Times New Roman;Times;serif"/>
                <w:sz w:val="20"/>
              </w:rPr>
              <w:t>)</w:t>
            </w:r>
          </w:p>
        </w:tc>
      </w:tr>
    </w:tbl>
    <w:p>
      <w:pPr>
        <w:pStyle w:val="TextBody"/>
        <w:bidi w:val="0"/>
        <w:spacing w:lineRule="auto" w:line="300" w:before="0" w:after="0"/>
        <w:jc w:val="left"/>
        <w:rPr/>
      </w:pPr>
      <w:r>
        <w:rPr/>
        <w:t> </w:t>
      </w:r>
    </w:p>
    <w:p>
      <w:pPr>
        <w:pStyle w:val="TextBody"/>
        <w:bidi w:val="0"/>
        <w:spacing w:lineRule="auto" w:line="300" w:before="0" w:after="0"/>
        <w:jc w:val="left"/>
        <w:rPr>
          <w:rFonts w:ascii="Times New Roman;Times;serif" w:hAnsi="Times New Roman;Times;serif"/>
          <w:sz w:val="20"/>
        </w:rPr>
      </w:pPr>
      <w:r>
        <w:rPr>
          <w:rFonts w:ascii="Times New Roman;Times;serif" w:hAnsi="Times New Roman;Times;serif"/>
          <w:sz w:val="20"/>
        </w:rPr>
        <w:t>Date: August 5, 2026</w:t>
      </w:r>
    </w:p>
    <w:p>
      <w:pPr>
        <w:pStyle w:val="TextBody"/>
        <w:bidi w:val="0"/>
        <w:spacing w:lineRule="auto" w:line="300" w:before="0" w:after="0"/>
        <w:ind w:left="6480" w:right="0" w:firstLine="720"/>
        <w:jc w:val="both"/>
        <w:rPr/>
      </w:pPr>
      <w:r>
        <w:rPr/>
        <w:t> </w:t>
      </w:r>
    </w:p>
    <w:tbl>
      <w:tblPr>
        <w:tblW w:w="2450" w:type="dxa"/>
        <w:jc w:val="left"/>
        <w:tblInd w:w="0" w:type="dxa"/>
        <w:tblLayout w:type="fixed"/>
        <w:tblCellMar>
          <w:top w:w="0" w:type="dxa"/>
          <w:left w:w="0" w:type="dxa"/>
          <w:bottom w:w="0" w:type="dxa"/>
          <w:right w:w="0" w:type="dxa"/>
        </w:tblCellMar>
      </w:tblPr>
      <w:tblGrid>
        <w:gridCol w:w="60"/>
        <w:gridCol w:w="2390"/>
      </w:tblGrid>
      <w:tr>
        <w:trPr/>
        <w:tc>
          <w:tcPr>
            <w:tcW w:w="60" w:type="dxa"/>
            <w:tcBorders/>
            <w:vAlign w:val="center"/>
          </w:tcPr>
          <w:p>
            <w:pPr>
              <w:pStyle w:val="TableContents"/>
              <w:bidi w:val="0"/>
              <w:spacing w:before="0" w:after="0"/>
              <w:jc w:val="left"/>
              <w:rPr/>
            </w:pPr>
            <w:r>
              <w:rPr/>
              <w:t> </w:t>
            </w:r>
          </w:p>
        </w:tc>
        <w:tc>
          <w:tcPr>
            <w:tcW w:w="2390"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u w:val="single"/>
              </w:rPr>
              <w:t>/s/ Maoz Sigron</w:t>
            </w:r>
            <w:r>
              <w:rPr>
                <w:rFonts w:ascii="Times New Roman;Times;serif" w:hAnsi="Times New Roman;Times;serif"/>
                <w:sz w:val="20"/>
              </w:rPr>
              <w:br/>
              <w:t>Maoz Sigron</w:t>
            </w:r>
          </w:p>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Chief Financial Officer</w:t>
            </w:r>
          </w:p>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r>
              <w:rPr>
                <w:rFonts w:ascii="Times New Roman;Times;serif" w:hAnsi="Times New Roman;Times;serif"/>
                <w:i/>
                <w:sz w:val="20"/>
              </w:rPr>
              <w:t>Principal Financial Officer</w:t>
            </w:r>
            <w:r>
              <w:rPr>
                <w:rFonts w:ascii="Times New Roman;Times;serif" w:hAnsi="Times New Roman;Times;serif"/>
                <w:sz w:val="20"/>
              </w:rPr>
              <w:t>)</w:t>
            </w:r>
          </w:p>
        </w:tc>
      </w:tr>
    </w:tbl>
    <w:p>
      <w:pPr>
        <w:pStyle w:val="TextBody"/>
        <w:bidi w:val="0"/>
        <w:spacing w:lineRule="auto" w:line="300" w:before="0" w:after="0"/>
        <w:jc w:val="left"/>
        <w:rPr/>
      </w:pPr>
      <w:r>
        <w:rPr/>
        <w:t> </w:t>
      </w:r>
    </w:p>
    <w:p>
      <w:pPr>
        <w:pStyle w:val="TextBody"/>
        <w:bidi w:val="0"/>
        <w:spacing w:before="0" w:after="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SOLAREDGE TECHNOLOGIES INC. | 2026 Form 10-Q | 25</w:t>
      </w:r>
    </w:p>
    <w:p>
      <w:pPr>
        <w:pStyle w:val="HorizontalLine"/>
        <w:bidi w:val="0"/>
        <w:jc w:val="center"/>
        <w:rPr/>
      </w:pPr>
      <w:r>
        <w:rPr/>
      </w:r>
    </w:p>
    <w:p>
      <w:pPr>
        <w:pStyle w:val="HorizontalLine"/>
        <w:bidi w:val="0"/>
        <w:spacing w:lineRule="auto" w:line="300"/>
        <w:jc w:val="right"/>
        <w:rPr/>
      </w:pPr>
      <w:r>
        <w:rPr/>
      </w:r>
      <w:bookmarkStart w:id="22" w:name="exhibit_10-1.htm"/>
      <w:bookmarkStart w:id="23" w:name="ksexhibit_101"/>
      <w:bookmarkStart w:id="24" w:name="exhibit_10-1.htm"/>
      <w:bookmarkStart w:id="25" w:name="ksexhibit_101"/>
      <w:bookmarkEnd w:id="24"/>
      <w:bookmarkEnd w:id="25"/>
      <w:r>
        <w:br w:type="page"/>
      </w:r>
    </w:p>
    <w:p>
      <w:pPr>
        <w:pStyle w:val="TextBody"/>
        <w:bidi w:val="0"/>
        <w:spacing w:lineRule="auto" w:line="300" w:before="0" w:after="0"/>
        <w:jc w:val="right"/>
        <w:rPr>
          <w:rFonts w:ascii="Times New Roman;Times;serif" w:hAnsi="Times New Roman;Times;serif"/>
          <w:b/>
          <w:color w:val="000000"/>
          <w:sz w:val="20"/>
          <w:u w:val="single"/>
        </w:rPr>
      </w:pPr>
      <w:r>
        <w:rPr>
          <w:rFonts w:ascii="Times New Roman;Times;serif" w:hAnsi="Times New Roman;Times;serif"/>
          <w:b/>
          <w:color w:val="000000"/>
          <w:sz w:val="20"/>
          <w:u w:val="single"/>
        </w:rPr>
        <w:t>Exhibit 10.1</w:t>
      </w:r>
    </w:p>
    <w:p>
      <w:pPr>
        <w:pStyle w:val="TextBody"/>
        <w:bidi w:val="0"/>
        <w:spacing w:lineRule="auto" w:line="300" w:before="0" w:after="0"/>
        <w:jc w:val="left"/>
        <w:rPr/>
      </w:pPr>
      <w:r>
        <w:rPr/>
      </w:r>
    </w:p>
    <w:p>
      <w:pPr>
        <w:pStyle w:val="TextBody"/>
        <w:bidi w:val="0"/>
        <w:spacing w:lineRule="auto" w:line="300" w:before="0" w:after="0"/>
        <w:jc w:val="center"/>
        <w:rPr>
          <w:color w:val="000000"/>
        </w:rPr>
      </w:pPr>
      <w:r>
        <w:rPr>
          <w:color w:val="000000"/>
        </w:rPr>
        <w:drawing>
          <wp:inline distT="0" distB="0" distL="0" distR="0">
            <wp:extent cx="1895475" cy="3810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895475" cy="381000"/>
                    </a:xfrm>
                    <a:prstGeom prst="rect">
                      <a:avLst/>
                    </a:prstGeom>
                  </pic:spPr>
                </pic:pic>
              </a:graphicData>
            </a:graphic>
          </wp:inline>
        </w:drawing>
      </w:r>
    </w:p>
    <w:p>
      <w:pPr>
        <w:pStyle w:val="TextBody"/>
        <w:bidi w:val="0"/>
        <w:spacing w:lineRule="auto" w:line="300" w:before="0" w:after="0"/>
        <w:jc w:val="left"/>
        <w:rPr>
          <w:color w:val="000000"/>
        </w:rPr>
      </w:pPr>
      <w:r>
        <w:rPr>
          <w:color w:val="000000"/>
        </w:rPr>
        <w:t> </w:t>
      </w:r>
    </w:p>
    <w:p>
      <w:pPr>
        <w:pStyle w:val="TextBody"/>
        <w:bidi w:val="0"/>
        <w:spacing w:lineRule="auto" w:line="300" w:before="0" w:after="0"/>
        <w:jc w:val="center"/>
        <w:rPr>
          <w:rFonts w:ascii="Times New Roman;Times;serif" w:hAnsi="Times New Roman;Times;serif"/>
          <w:b/>
          <w:color w:val="000000"/>
          <w:sz w:val="20"/>
          <w:u w:val="single"/>
        </w:rPr>
      </w:pPr>
      <w:r>
        <w:rPr>
          <w:rFonts w:ascii="Times New Roman;Times;serif" w:hAnsi="Times New Roman;Times;serif"/>
          <w:b/>
          <w:color w:val="000000"/>
          <w:sz w:val="20"/>
          <w:u w:val="single"/>
        </w:rPr>
        <w:t>EMPLOYMENT AGREEMENT</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72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THIS AGREEMENT is entered into as of , by and between </w:t>
      </w:r>
      <w:r>
        <w:rPr>
          <w:rFonts w:ascii="Times New Roman;Times;serif" w:hAnsi="Times New Roman;Times;serif"/>
          <w:b/>
          <w:color w:val="000000"/>
          <w:sz w:val="20"/>
        </w:rPr>
        <w:t xml:space="preserve">SolarEdge Technologies Ltd. </w:t>
      </w:r>
      <w:r>
        <w:rPr>
          <w:rFonts w:ascii="Times New Roman;Times;serif" w:hAnsi="Times New Roman;Times;serif"/>
          <w:color w:val="000000"/>
          <w:sz w:val="20"/>
        </w:rPr>
        <w:t>(the“</w:t>
      </w:r>
      <w:r>
        <w:rPr>
          <w:rFonts w:ascii="Times New Roman;Times;serif" w:hAnsi="Times New Roman;Times;serif"/>
          <w:b/>
          <w:color w:val="000000"/>
          <w:sz w:val="20"/>
        </w:rPr>
        <w:t>Company</w:t>
      </w:r>
      <w:r>
        <w:rPr>
          <w:rFonts w:ascii="Times New Roman;Times;serif" w:hAnsi="Times New Roman;Times;serif"/>
          <w:color w:val="000000"/>
          <w:sz w:val="20"/>
        </w:rPr>
        <w:t xml:space="preserve">”) having an address at 1 HaMada Street, Herzliya, Israel and </w:t>
      </w:r>
      <w:r>
        <w:rPr>
          <w:rFonts w:ascii="Times New Roman;Times;serif" w:hAnsi="Times New Roman;Times;serif"/>
          <w:b/>
          <w:color w:val="000000"/>
          <w:sz w:val="20"/>
        </w:rPr>
        <w:t>Maoz Sigron, Israeli ID No. </w:t>
      </w:r>
      <w:r>
        <w:rPr>
          <w:rFonts w:ascii="Times New Roman;Times;serif" w:hAnsi="Times New Roman;Times;serif"/>
          <w:b/>
          <w:color w:val="000000"/>
          <w:sz w:val="20"/>
          <w:shd w:fill="000000" w:val="clear"/>
        </w:rPr>
        <w:t xml:space="preserve">                </w:t>
      </w:r>
      <w:r>
        <w:rPr>
          <w:rFonts w:ascii="Times New Roman;Times;serif" w:hAnsi="Times New Roman;Times;serif"/>
          <w:b/>
          <w:color w:val="000000"/>
          <w:sz w:val="20"/>
        </w:rPr>
        <w:t>of</w:t>
      </w:r>
      <w:r>
        <w:rPr>
          <w:rFonts w:ascii="Times New Roman;Times;serif" w:hAnsi="Times New Roman;Times;serif"/>
          <w:color w:val="000000"/>
          <w:sz w:val="20"/>
        </w:rPr>
        <w:t xml:space="preserve"> </w:t>
      </w:r>
      <w:r>
        <w:rPr>
          <w:rFonts w:ascii="Times New Roman;Times;serif" w:hAnsi="Times New Roman;Times;serif"/>
          <w:color w:val="000000"/>
          <w:sz w:val="20"/>
          <w:shd w:fill="000000" w:val="clear"/>
        </w:rPr>
        <w:t>                        </w:t>
      </w:r>
      <w:r>
        <w:rPr>
          <w:rFonts w:ascii="Times New Roman;Times;serif" w:hAnsi="Times New Roman;Times;serif"/>
          <w:color w:val="000000"/>
          <w:sz w:val="20"/>
        </w:rPr>
        <w:t xml:space="preserve"> </w:t>
      </w:r>
      <w:r>
        <w:rPr>
          <w:rFonts w:ascii="Times New Roman;Times;serif" w:hAnsi="Times New Roman;Times;serif"/>
          <w:b/>
          <w:color w:val="000000"/>
          <w:sz w:val="20"/>
        </w:rPr>
        <w:t xml:space="preserve">(the </w:t>
      </w:r>
      <w:r>
        <w:rPr>
          <w:rFonts w:ascii="Times New Roman;Times;serif" w:hAnsi="Times New Roman;Times;serif"/>
          <w:color w:val="000000"/>
          <w:sz w:val="20"/>
        </w:rPr>
        <w:t>“</w:t>
      </w:r>
      <w:r>
        <w:rPr>
          <w:rFonts w:ascii="Times New Roman;Times;serif" w:hAnsi="Times New Roman;Times;serif"/>
          <w:b/>
          <w:color w:val="000000"/>
          <w:sz w:val="20"/>
        </w:rPr>
        <w:t>Employee</w:t>
      </w:r>
      <w:r>
        <w:rPr>
          <w:rFonts w:ascii="Times New Roman;Times;serif" w:hAnsi="Times New Roman;Times;serif"/>
          <w:color w:val="000000"/>
          <w:sz w:val="20"/>
        </w:rPr>
        <w:t>”</w:t>
      </w:r>
      <w:r>
        <w:rPr>
          <w:rFonts w:ascii="Times New Roman;Times;serif" w:hAnsi="Times New Roman;Times;serif"/>
          <w:b/>
          <w:color w:val="000000"/>
          <w:sz w:val="20"/>
        </w:rPr>
        <w:t>).</w:t>
      </w:r>
      <w:r>
        <w:rPr>
          <w:rFonts w:ascii="Times New Roman;Times;serif" w:hAnsi="Times New Roman;Times;serif"/>
          <w:color w:val="000000"/>
          <w:sz w:val="20"/>
        </w:rPr>
        <w:t xml:space="preserve"> </w:t>
      </w:r>
    </w:p>
    <w:p>
      <w:pPr>
        <w:pStyle w:val="TextBody"/>
        <w:bidi w:val="0"/>
        <w:spacing w:lineRule="auto" w:line="300" w:before="0" w:after="0"/>
        <w:jc w:val="left"/>
        <w:rPr>
          <w:color w:val="000000"/>
        </w:rPr>
      </w:pPr>
      <w:r>
        <w:rPr>
          <w:color w:val="000000"/>
        </w:rPr>
        <w:t xml:space="preserve">  </w:t>
      </w:r>
    </w:p>
    <w:tbl>
      <w:tblPr>
        <w:tblW w:w="10205" w:type="dxa"/>
        <w:jc w:val="left"/>
        <w:tblInd w:w="0" w:type="dxa"/>
        <w:tblLayout w:type="fixed"/>
        <w:tblCellMar>
          <w:top w:w="0" w:type="dxa"/>
          <w:left w:w="0" w:type="dxa"/>
          <w:bottom w:w="0" w:type="dxa"/>
          <w:right w:w="0" w:type="dxa"/>
        </w:tblCellMar>
      </w:tblPr>
      <w:tblGrid>
        <w:gridCol w:w="75"/>
        <w:gridCol w:w="1298"/>
        <w:gridCol w:w="8832"/>
      </w:tblGrid>
      <w:tr>
        <w:trPr/>
        <w:tc>
          <w:tcPr>
            <w:tcW w:w="75" w:type="dxa"/>
            <w:tcBorders/>
            <w:vAlign w:val="center"/>
          </w:tcPr>
          <w:p>
            <w:pPr>
              <w:pStyle w:val="TableContents"/>
              <w:bidi w:val="0"/>
              <w:spacing w:before="0" w:after="283"/>
              <w:jc w:val="left"/>
              <w:rPr/>
            </w:pPr>
            <w:r>
              <w:rPr/>
              <w:t> </w:t>
            </w:r>
          </w:p>
        </w:tc>
        <w:tc>
          <w:tcPr>
            <w:tcW w:w="1298" w:type="dxa"/>
            <w:tcBorders/>
            <w:vAlign w:val="center"/>
          </w:tcPr>
          <w:p>
            <w:pPr>
              <w:pStyle w:val="TableContents"/>
              <w:bidi w:val="0"/>
              <w:spacing w:before="0" w:after="283"/>
              <w:jc w:val="left"/>
              <w:rPr>
                <w:b/>
              </w:rPr>
            </w:pPr>
            <w:r>
              <w:rPr>
                <w:b/>
              </w:rPr>
              <w:t>WHEREAS:</w:t>
            </w:r>
          </w:p>
        </w:tc>
        <w:tc>
          <w:tcPr>
            <w:tcW w:w="8832" w:type="dxa"/>
            <w:tcBorders/>
            <w:vAlign w:val="center"/>
          </w:tcPr>
          <w:p>
            <w:pPr>
              <w:pStyle w:val="TableContents"/>
              <w:bidi w:val="0"/>
              <w:spacing w:lineRule="auto" w:line="300" w:before="0" w:after="0"/>
              <w:jc w:val="both"/>
              <w:rPr>
                <w:b w:val="false"/>
              </w:rPr>
            </w:pPr>
            <w:r>
              <w:rPr>
                <w:b w:val="false"/>
              </w:rPr>
              <w:t>The Company desires to employ the Employee in the position of CFO (the “Position”) and the Employee desires to enter into such employment, on the terms and conditions hereinafter set forth.</w:t>
            </w:r>
          </w:p>
        </w:tc>
      </w:tr>
    </w:tbl>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720" w:right="0" w:hanging="0"/>
        <w:jc w:val="left"/>
        <w:rPr>
          <w:rFonts w:ascii="Times New Roman;Times;serif" w:hAnsi="Times New Roman;Times;serif"/>
          <w:color w:val="000000"/>
          <w:sz w:val="20"/>
        </w:rPr>
      </w:pPr>
      <w:r>
        <w:rPr>
          <w:rFonts w:ascii="Times New Roman;Times;serif" w:hAnsi="Times New Roman;Times;serif"/>
          <w:b/>
          <w:color w:val="000000"/>
          <w:sz w:val="20"/>
        </w:rPr>
        <w:t>NOW, THEREFORE</w:t>
      </w:r>
      <w:r>
        <w:rPr>
          <w:rFonts w:ascii="Times New Roman;Times;serif" w:hAnsi="Times New Roman;Times;serif"/>
          <w:color w:val="000000"/>
          <w:sz w:val="20"/>
        </w:rPr>
        <w:t>, in consideration of the respective agreements of the parties contained herein, the parties agree as follows:</w:t>
      </w:r>
    </w:p>
    <w:p>
      <w:pPr>
        <w:pStyle w:val="TextBody"/>
        <w:bidi w:val="0"/>
        <w:spacing w:lineRule="auto" w:line="300" w:before="0" w:after="0"/>
        <w:jc w:val="left"/>
        <w:rPr>
          <w:color w:val="000000"/>
        </w:rPr>
      </w:pPr>
      <w:r>
        <w:rPr>
          <w:color w:val="000000"/>
        </w:rPr>
        <w:t> </w:t>
      </w:r>
    </w:p>
    <w:p>
      <w:pPr>
        <w:pStyle w:val="Normal"/>
        <w:bidi w:val="0"/>
        <w:spacing w:before="0" w:after="0"/>
        <w:jc w:val="left"/>
        <w:rPr>
          <w:sz w:val="4"/>
          <w:szCs w:val="4"/>
        </w:rPr>
      </w:pPr>
      <w:r>
        <w:rPr>
          <w:sz w:val="4"/>
          <w:szCs w:val="4"/>
        </w:rPr>
      </w:r>
      <w:bookmarkStart w:id="26" w:name="z89ef9f7d6e374030b1c9af9a24c9a82a"/>
      <w:bookmarkStart w:id="27" w:name="z89ef9f7d6e374030b1c9af9a24c9a82a"/>
      <w:bookmarkEnd w:id="27"/>
    </w:p>
    <w:tbl>
      <w:tblPr>
        <w:tblW w:w="3708" w:type="dxa"/>
        <w:jc w:val="left"/>
        <w:tblInd w:w="0" w:type="dxa"/>
        <w:tblLayout w:type="fixed"/>
        <w:tblCellMar>
          <w:top w:w="0" w:type="dxa"/>
          <w:left w:w="0" w:type="dxa"/>
          <w:bottom w:w="0" w:type="dxa"/>
          <w:right w:w="0" w:type="dxa"/>
        </w:tblCellMar>
      </w:tblPr>
      <w:tblGrid>
        <w:gridCol w:w="38"/>
        <w:gridCol w:w="200"/>
        <w:gridCol w:w="3470"/>
      </w:tblGrid>
      <w:tr>
        <w:trPr/>
        <w:tc>
          <w:tcPr>
            <w:tcW w:w="38" w:type="dxa"/>
            <w:tcBorders/>
            <w:vAlign w:val="center"/>
          </w:tcPr>
          <w:p>
            <w:pPr>
              <w:pStyle w:val="TableContents"/>
              <w:bidi w:val="0"/>
              <w:spacing w:before="0" w:after="283"/>
              <w:jc w:val="left"/>
              <w:rPr/>
            </w:pPr>
            <w:r>
              <w:rPr/>
            </w:r>
          </w:p>
        </w:tc>
        <w:tc>
          <w:tcPr>
            <w:tcW w:w="200" w:type="dxa"/>
            <w:tcBorders/>
            <w:vAlign w:val="center"/>
          </w:tcPr>
          <w:p>
            <w:pPr>
              <w:pStyle w:val="TableContents"/>
              <w:bidi w:val="0"/>
              <w:spacing w:before="0" w:after="283"/>
              <w:jc w:val="left"/>
              <w:rPr>
                <w:b/>
              </w:rPr>
            </w:pPr>
            <w:r>
              <w:rPr>
                <w:b/>
              </w:rPr>
              <w:t>1.</w:t>
            </w:r>
          </w:p>
        </w:tc>
        <w:tc>
          <w:tcPr>
            <w:tcW w:w="3470" w:type="dxa"/>
            <w:tcBorders/>
            <w:vAlign w:val="center"/>
          </w:tcPr>
          <w:p>
            <w:pPr>
              <w:pStyle w:val="TableContents"/>
              <w:bidi w:val="0"/>
              <w:spacing w:before="0" w:after="0"/>
              <w:jc w:val="left"/>
              <w:rPr>
                <w:b/>
                <w:u w:val="single"/>
              </w:rPr>
            </w:pPr>
            <w:r>
              <w:rPr>
                <w:b/>
                <w:u w:val="single"/>
              </w:rPr>
              <w:t>Personal Employment Agreement</w:t>
            </w:r>
          </w:p>
        </w:tc>
      </w:tr>
    </w:tbl>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720" w:right="359" w:hanging="0"/>
        <w:jc w:val="both"/>
        <w:rPr>
          <w:rFonts w:ascii="Times New Roman;Times;serif" w:hAnsi="Times New Roman;Times;serif"/>
          <w:color w:val="000000"/>
          <w:sz w:val="20"/>
        </w:rPr>
      </w:pPr>
      <w:r>
        <w:rPr>
          <w:rFonts w:ascii="Times New Roman;Times;serif" w:hAnsi="Times New Roman;Times;serif"/>
          <w:color w:val="000000"/>
          <w:sz w:val="20"/>
        </w:rPr>
        <w:t>This Agreement sets forth the entire relationship between the Company and the Employee, includes all of the Employee’s terms of employment by the Company and is the sole expression of the Employee’s terms of employment by the Company. The terms set forth in this Agreement shall be binding on the parties. Any other agreement and/or collective arrangement, whether individual or general, and/or any other practice or custom of any kind and/or any other agreement shall not apply to the employment relationship between the parties, even if applicable to any of the Company’s other employees that were or will be employed by the Company in the future, unless otherwise agreed by the parties in writing.</w:t>
      </w:r>
    </w:p>
    <w:p>
      <w:pPr>
        <w:pStyle w:val="TextBody"/>
        <w:bidi w:val="0"/>
        <w:spacing w:lineRule="auto" w:line="300" w:before="0" w:after="0"/>
        <w:jc w:val="left"/>
        <w:rPr>
          <w:color w:val="000000"/>
        </w:rPr>
      </w:pPr>
      <w:r>
        <w:rPr>
          <w:color w:val="000000"/>
        </w:rPr>
        <w:t> </w:t>
      </w:r>
    </w:p>
    <w:p>
      <w:pPr>
        <w:pStyle w:val="Normal"/>
        <w:bidi w:val="0"/>
        <w:spacing w:before="0" w:after="0"/>
        <w:jc w:val="left"/>
        <w:rPr>
          <w:sz w:val="4"/>
          <w:szCs w:val="4"/>
        </w:rPr>
      </w:pPr>
      <w:r>
        <w:rPr>
          <w:sz w:val="4"/>
          <w:szCs w:val="4"/>
        </w:rPr>
      </w:r>
      <w:bookmarkStart w:id="28" w:name="zfbd6a6691aea4790b07a0f338f9f73de"/>
      <w:bookmarkStart w:id="29" w:name="zfbd6a6691aea4790b07a0f338f9f73de"/>
      <w:bookmarkEnd w:id="29"/>
    </w:p>
    <w:tbl>
      <w:tblPr>
        <w:tblW w:w="1578" w:type="dxa"/>
        <w:jc w:val="left"/>
        <w:tblInd w:w="0" w:type="dxa"/>
        <w:tblLayout w:type="fixed"/>
        <w:tblCellMar>
          <w:top w:w="0" w:type="dxa"/>
          <w:left w:w="0" w:type="dxa"/>
          <w:bottom w:w="0" w:type="dxa"/>
          <w:right w:w="0" w:type="dxa"/>
        </w:tblCellMar>
      </w:tblPr>
      <w:tblGrid>
        <w:gridCol w:w="38"/>
        <w:gridCol w:w="200"/>
        <w:gridCol w:w="1340"/>
      </w:tblGrid>
      <w:tr>
        <w:trPr/>
        <w:tc>
          <w:tcPr>
            <w:tcW w:w="38" w:type="dxa"/>
            <w:tcBorders/>
            <w:vAlign w:val="center"/>
          </w:tcPr>
          <w:p>
            <w:pPr>
              <w:pStyle w:val="TableContents"/>
              <w:bidi w:val="0"/>
              <w:spacing w:before="0" w:after="283"/>
              <w:jc w:val="left"/>
              <w:rPr/>
            </w:pPr>
            <w:r>
              <w:rPr/>
            </w:r>
          </w:p>
        </w:tc>
        <w:tc>
          <w:tcPr>
            <w:tcW w:w="200" w:type="dxa"/>
            <w:tcBorders/>
            <w:vAlign w:val="center"/>
          </w:tcPr>
          <w:p>
            <w:pPr>
              <w:pStyle w:val="TableContents"/>
              <w:bidi w:val="0"/>
              <w:spacing w:before="0" w:after="283"/>
              <w:jc w:val="left"/>
              <w:rPr>
                <w:b/>
              </w:rPr>
            </w:pPr>
            <w:r>
              <w:rPr>
                <w:b/>
              </w:rPr>
              <w:t>2.</w:t>
            </w:r>
          </w:p>
        </w:tc>
        <w:tc>
          <w:tcPr>
            <w:tcW w:w="1340" w:type="dxa"/>
            <w:tcBorders/>
            <w:vAlign w:val="center"/>
          </w:tcPr>
          <w:p>
            <w:pPr>
              <w:pStyle w:val="TableContents"/>
              <w:bidi w:val="0"/>
              <w:spacing w:before="0" w:after="0"/>
              <w:jc w:val="both"/>
              <w:rPr>
                <w:b/>
                <w:u w:val="single"/>
              </w:rPr>
            </w:pPr>
            <w:r>
              <w:rPr>
                <w:b/>
                <w:u w:val="single"/>
              </w:rPr>
              <w:t>Employment</w:t>
            </w:r>
          </w:p>
        </w:tc>
      </w:tr>
    </w:tbl>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720" w:right="354" w:hanging="0"/>
        <w:jc w:val="both"/>
        <w:rPr>
          <w:rFonts w:ascii="Times New Roman;Times;serif" w:hAnsi="Times New Roman;Times;serif"/>
          <w:color w:val="000000"/>
          <w:sz w:val="20"/>
        </w:rPr>
      </w:pPr>
      <w:r>
        <w:rPr>
          <w:rFonts w:ascii="Times New Roman;Times;serif" w:hAnsi="Times New Roman;Times;serif"/>
          <w:color w:val="000000"/>
          <w:sz w:val="20"/>
        </w:rPr>
        <w:t xml:space="preserve">The Employee shall be employed by the Company in the Position commencing as of </w:t>
      </w:r>
      <w:r>
        <w:rPr>
          <w:rFonts w:ascii="Times New Roman;Times;serif" w:hAnsi="Times New Roman;Times;serif"/>
          <w:b/>
          <w:color w:val="000000"/>
          <w:sz w:val="20"/>
        </w:rPr>
        <w:t xml:space="preserve">May 30, 2026 </w:t>
      </w:r>
      <w:r>
        <w:rPr>
          <w:rFonts w:ascii="Times New Roman;Times;serif" w:hAnsi="Times New Roman;Times;serif"/>
          <w:color w:val="000000"/>
          <w:sz w:val="20"/>
        </w:rPr>
        <w:t>(the “</w:t>
      </w:r>
      <w:r>
        <w:rPr>
          <w:rFonts w:ascii="Times New Roman;Times;serif" w:hAnsi="Times New Roman;Times;serif"/>
          <w:b/>
          <w:color w:val="000000"/>
          <w:sz w:val="20"/>
        </w:rPr>
        <w:t>Commencement Date</w:t>
      </w:r>
      <w:r>
        <w:rPr>
          <w:rFonts w:ascii="Times New Roman;Times;serif" w:hAnsi="Times New Roman;Times;serif"/>
          <w:color w:val="000000"/>
          <w:sz w:val="20"/>
        </w:rPr>
        <w:t xml:space="preserve">”) in accordance with the terms and conditions of this Agreement as summarized in </w:t>
      </w:r>
      <w:r>
        <w:rPr>
          <w:rFonts w:ascii="Times New Roman;Times;serif" w:hAnsi="Times New Roman;Times;serif"/>
          <w:color w:val="000000"/>
          <w:sz w:val="20"/>
          <w:u w:val="single"/>
        </w:rPr>
        <w:t>Exhibit A</w:t>
      </w:r>
      <w:r>
        <w:rPr>
          <w:rFonts w:ascii="Times New Roman;Times;serif" w:hAnsi="Times New Roman;Times;serif"/>
          <w:color w:val="000000"/>
          <w:sz w:val="20"/>
        </w:rPr>
        <w:t xml:space="preserve"> herein. The Employee shall be under the direct supervision of and comply with the directives of the Chief Executive Officer of the Company and/or any such individual designated by the Company at its sole discretion (the “</w:t>
      </w:r>
      <w:r>
        <w:rPr>
          <w:rFonts w:ascii="Times New Roman;Times;serif" w:hAnsi="Times New Roman;Times;serif"/>
          <w:b/>
          <w:color w:val="000000"/>
          <w:sz w:val="20"/>
        </w:rPr>
        <w:t>Supervisor</w:t>
      </w:r>
      <w:r>
        <w:rPr>
          <w:rFonts w:ascii="Times New Roman;Times;serif" w:hAnsi="Times New Roman;Times;serif"/>
          <w:color w:val="000000"/>
          <w:sz w:val="20"/>
        </w:rPr>
        <w:t>”). The Employee shall perform the duties, undertake the responsibilities and exercise the authority as determined from time to time by the Supervisor and as customarily performed, undertaken and exercised by persons situated in a similar capacity. The Employee’s duties and responsibilities hereunder may also include other services performed for subsidiaries and affiliates of the Company.</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720" w:right="358" w:hanging="0"/>
        <w:jc w:val="both"/>
        <w:rPr>
          <w:rFonts w:ascii="Times New Roman;Times;serif" w:hAnsi="Times New Roman;Times;serif"/>
          <w:color w:val="000000"/>
          <w:sz w:val="20"/>
        </w:rPr>
      </w:pPr>
      <w:r>
        <w:rPr>
          <w:rFonts w:ascii="Times New Roman;Times;serif" w:hAnsi="Times New Roman;Times;serif"/>
          <w:color w:val="000000"/>
          <w:sz w:val="20"/>
        </w:rPr>
        <w:t>During the course of his employment with the Company, the Employee shall honestly, diligently, skillfully and faithfully serve the Company. The Employee undertakes to devote all his efforts and the best of his qualifications and skills to promoting the business and affairs of the Company, and further undertakes to loyally and fully comply with the decisions of the Board of Directors. The Employee shall at all times act in a manner suitable of his position and status in the Company.</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720" w:right="363" w:hanging="0"/>
        <w:jc w:val="both"/>
        <w:rPr>
          <w:rFonts w:ascii="Times New Roman;Times;serif" w:hAnsi="Times New Roman;Times;serif"/>
          <w:color w:val="000000"/>
          <w:sz w:val="20"/>
        </w:rPr>
      </w:pPr>
      <w:r>
        <w:rPr>
          <w:rFonts w:ascii="Times New Roman;Times;serif" w:hAnsi="Times New Roman;Times;serif"/>
          <w:color w:val="000000"/>
          <w:sz w:val="20"/>
        </w:rPr>
        <w:t>The Employee undertakes to promptly notify the Company regarding any matter or subject in respect of which he has a personal interest and/or which might create a conflict of interest with his position in the Company.</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720" w:right="355" w:hanging="0"/>
        <w:jc w:val="both"/>
        <w:rPr>
          <w:rFonts w:ascii="Times New Roman;Times;serif" w:hAnsi="Times New Roman;Times;serif"/>
          <w:color w:val="000000"/>
          <w:sz w:val="20"/>
        </w:rPr>
      </w:pPr>
      <w:r>
        <w:rPr>
          <w:rFonts w:ascii="Times New Roman;Times;serif" w:hAnsi="Times New Roman;Times;serif"/>
          <w:color w:val="000000"/>
          <w:sz w:val="20"/>
        </w:rPr>
        <w:t>The Employee agrees to devote total attention and full time (during working hours) to the business and affairs of the Company as required to discharge the responsibilities assigned to the Employee hereunder. During the term of this Agreement the Employee shall not be engaged in any other employment nor directly or indirectly engage in any other business activities in any capacity for any other person, firm or company whether or not for consideration, without the express prior written consent of the Company.</w:t>
      </w:r>
    </w:p>
    <w:p>
      <w:pPr>
        <w:pStyle w:val="TextBody"/>
        <w:bidi w:val="0"/>
        <w:spacing w:lineRule="auto" w:line="300" w:before="0" w:after="0"/>
        <w:ind w:left="720" w:right="355" w:hanging="0"/>
        <w:jc w:val="both"/>
        <w:rPr/>
      </w:pPr>
      <w:r>
        <w:rPr/>
      </w:r>
    </w:p>
    <w:p>
      <w:pPr>
        <w:pStyle w:val="HorizontalLine"/>
        <w:pBdr>
          <w:bottom w:val="single" w:sz="12" w:space="0" w:color="808080"/>
        </w:pBdr>
        <w:bidi w:val="0"/>
        <w:spacing w:before="200" w:after="200"/>
        <w:jc w:val="left"/>
        <w:rPr/>
      </w:pPr>
      <w:r>
        <w:rPr/>
      </w:r>
    </w:p>
    <w:p>
      <w:pPr>
        <w:pStyle w:val="TextBody"/>
        <w:bidi w:val="0"/>
        <w:spacing w:lineRule="auto" w:line="300" w:before="0" w:after="0"/>
        <w:jc w:val="left"/>
        <w:rPr>
          <w:color w:val="000000"/>
        </w:rPr>
      </w:pPr>
      <w:r>
        <w:rPr>
          <w:color w:val="000000"/>
        </w:rPr>
        <w:t> </w:t>
      </w:r>
    </w:p>
    <w:p>
      <w:pPr>
        <w:pStyle w:val="Normal"/>
        <w:bidi w:val="0"/>
        <w:spacing w:before="0" w:after="0"/>
        <w:jc w:val="left"/>
        <w:rPr>
          <w:sz w:val="4"/>
          <w:szCs w:val="4"/>
        </w:rPr>
      </w:pPr>
      <w:r>
        <w:rPr>
          <w:sz w:val="4"/>
          <w:szCs w:val="4"/>
        </w:rPr>
      </w:r>
      <w:bookmarkStart w:id="30" w:name="z9b5b6056c9834277ab4eeba2d4788aac"/>
      <w:bookmarkStart w:id="31" w:name="z9b5b6056c9834277ab4eeba2d4788aac"/>
      <w:bookmarkEnd w:id="31"/>
    </w:p>
    <w:tbl>
      <w:tblPr>
        <w:tblW w:w="10205" w:type="dxa"/>
        <w:jc w:val="left"/>
        <w:tblInd w:w="0" w:type="dxa"/>
        <w:tblLayout w:type="fixed"/>
        <w:tblCellMar>
          <w:top w:w="0" w:type="dxa"/>
          <w:left w:w="0" w:type="dxa"/>
          <w:bottom w:w="0" w:type="dxa"/>
          <w:right w:w="0" w:type="dxa"/>
        </w:tblCellMar>
      </w:tblPr>
      <w:tblGrid>
        <w:gridCol w:w="38"/>
        <w:gridCol w:w="155"/>
        <w:gridCol w:w="10012"/>
      </w:tblGrid>
      <w:tr>
        <w:trPr/>
        <w:tc>
          <w:tcPr>
            <w:tcW w:w="38" w:type="dxa"/>
            <w:tcBorders/>
            <w:vAlign w:val="center"/>
          </w:tcPr>
          <w:p>
            <w:pPr>
              <w:pStyle w:val="TableContents"/>
              <w:bidi w:val="0"/>
              <w:spacing w:before="0" w:after="283"/>
              <w:jc w:val="left"/>
              <w:rPr/>
            </w:pPr>
            <w:r>
              <w:rPr/>
            </w:r>
          </w:p>
        </w:tc>
        <w:tc>
          <w:tcPr>
            <w:tcW w:w="155" w:type="dxa"/>
            <w:tcBorders/>
            <w:vAlign w:val="center"/>
          </w:tcPr>
          <w:p>
            <w:pPr>
              <w:pStyle w:val="TableContents"/>
              <w:bidi w:val="0"/>
              <w:spacing w:before="0" w:after="283"/>
              <w:jc w:val="left"/>
              <w:rPr/>
            </w:pPr>
            <w:r>
              <w:rPr/>
              <w:t>I.</w:t>
            </w:r>
          </w:p>
        </w:tc>
        <w:tc>
          <w:tcPr>
            <w:tcW w:w="10012" w:type="dxa"/>
            <w:tcBorders/>
            <w:vAlign w:val="center"/>
          </w:tcPr>
          <w:p>
            <w:pPr>
              <w:pStyle w:val="TableContents"/>
              <w:bidi w:val="0"/>
              <w:spacing w:before="0" w:after="0"/>
              <w:jc w:val="both"/>
              <w:rPr/>
            </w:pPr>
            <w:r>
              <w:rPr/>
              <w:t>The Employee shall work no less than 42 hours per week. The Employee shall work no less than 8.6 hours per day Sunday through Wednesday and no less than 7.6 hours per day on Thursdays. The Employee will also work outside of regular working hours and outside of regular working days, as may be required by the Company from time to time. Since the Employee is employed in position of trust, the nature of the work precludes supervision of the Employee’s work hours, and in light of the Company’s anticipation that the Employee will be working overtime hours, the Employee will be entitled to the Overtime Payment, as defined below, for up sixty four (64) global work hours per month. The Employee’s day of rest shall be Saturday.</w:t>
            </w:r>
          </w:p>
        </w:tc>
      </w:tr>
    </w:tbl>
    <w:p>
      <w:pPr>
        <w:pStyle w:val="TextBody"/>
        <w:bidi w:val="0"/>
        <w:spacing w:lineRule="auto" w:line="300" w:before="0" w:after="0"/>
        <w:ind w:left="1711" w:right="353" w:hanging="0"/>
        <w:jc w:val="both"/>
        <w:rPr/>
      </w:pPr>
      <w:r>
        <w:rPr/>
      </w:r>
    </w:p>
    <w:p>
      <w:pPr>
        <w:pStyle w:val="Normal"/>
        <w:bidi w:val="0"/>
        <w:spacing w:before="0" w:after="0"/>
        <w:jc w:val="left"/>
        <w:rPr>
          <w:sz w:val="4"/>
          <w:szCs w:val="4"/>
        </w:rPr>
      </w:pPr>
      <w:r>
        <w:rPr>
          <w:sz w:val="4"/>
          <w:szCs w:val="4"/>
        </w:rPr>
      </w:r>
      <w:bookmarkStart w:id="32" w:name="z13bfbb1bce514f0f8f320aea1ff8e876"/>
      <w:bookmarkStart w:id="33" w:name="z13bfbb1bce514f0f8f320aea1ff8e876"/>
      <w:bookmarkEnd w:id="33"/>
    </w:p>
    <w:tbl>
      <w:tblPr>
        <w:tblW w:w="10205" w:type="dxa"/>
        <w:jc w:val="left"/>
        <w:tblInd w:w="0" w:type="dxa"/>
        <w:tblLayout w:type="fixed"/>
        <w:tblCellMar>
          <w:top w:w="0" w:type="dxa"/>
          <w:left w:w="0" w:type="dxa"/>
          <w:bottom w:w="0" w:type="dxa"/>
          <w:right w:w="0" w:type="dxa"/>
        </w:tblCellMar>
      </w:tblPr>
      <w:tblGrid>
        <w:gridCol w:w="38"/>
        <w:gridCol w:w="230"/>
        <w:gridCol w:w="9937"/>
      </w:tblGrid>
      <w:tr>
        <w:trPr/>
        <w:tc>
          <w:tcPr>
            <w:tcW w:w="38" w:type="dxa"/>
            <w:tcBorders/>
            <w:vAlign w:val="center"/>
          </w:tcPr>
          <w:p>
            <w:pPr>
              <w:pStyle w:val="TableContents"/>
              <w:bidi w:val="0"/>
              <w:spacing w:before="0" w:after="283"/>
              <w:jc w:val="left"/>
              <w:rPr/>
            </w:pPr>
            <w:r>
              <w:rPr/>
            </w:r>
          </w:p>
        </w:tc>
        <w:tc>
          <w:tcPr>
            <w:tcW w:w="230" w:type="dxa"/>
            <w:tcBorders/>
            <w:vAlign w:val="center"/>
          </w:tcPr>
          <w:p>
            <w:pPr>
              <w:pStyle w:val="TableContents"/>
              <w:bidi w:val="0"/>
              <w:spacing w:before="0" w:after="283"/>
              <w:jc w:val="left"/>
              <w:rPr/>
            </w:pPr>
            <w:r>
              <w:rPr/>
              <w:t>II.</w:t>
            </w:r>
          </w:p>
        </w:tc>
        <w:tc>
          <w:tcPr>
            <w:tcW w:w="9937" w:type="dxa"/>
            <w:tcBorders/>
            <w:vAlign w:val="center"/>
          </w:tcPr>
          <w:p>
            <w:pPr>
              <w:pStyle w:val="TableContents"/>
              <w:bidi w:val="0"/>
              <w:spacing w:before="0" w:after="0"/>
              <w:jc w:val="both"/>
              <w:rPr/>
            </w:pPr>
            <w:r>
              <w:rPr/>
              <w:t xml:space="preserve">The Employee agrees to receive his monthly </w:t>
            </w:r>
            <w:r>
              <w:rPr>
                <w:i/>
              </w:rPr>
              <w:t xml:space="preserve">salary slip </w:t>
            </w:r>
            <w:r>
              <w:rPr/>
              <w:t>electronically and through his Company’s mailbox.</w:t>
            </w:r>
          </w:p>
        </w:tc>
      </w:tr>
    </w:tbl>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720" w:right="358" w:hanging="0"/>
        <w:jc w:val="both"/>
        <w:rPr>
          <w:rFonts w:ascii="Times New Roman;Times;serif" w:hAnsi="Times New Roman;Times;serif"/>
          <w:color w:val="000000"/>
          <w:sz w:val="20"/>
        </w:rPr>
      </w:pPr>
      <w:r>
        <w:rPr>
          <w:rFonts w:ascii="Times New Roman;Times;serif" w:hAnsi="Times New Roman;Times;serif"/>
          <w:color w:val="000000"/>
          <w:sz w:val="20"/>
        </w:rPr>
        <w:t>For the avoidance of doubt, the Employee shall not be entitled to work additional hours beyond those set forth in sub-section (e) above without obtaining the prior written approval from the Employee’s managers. It is clarified that any additional work hour (or a part thereof) that the Employee works without obtaining his managers’ approval as aforesaid shall not be deemed a work hour for any purpose</w:t>
      </w:r>
    </w:p>
    <w:p>
      <w:pPr>
        <w:pStyle w:val="TextBody"/>
        <w:bidi w:val="0"/>
        <w:spacing w:lineRule="auto" w:line="300" w:before="0" w:after="0"/>
        <w:jc w:val="left"/>
        <w:rPr/>
      </w:pPr>
      <w:r>
        <w:rPr/>
      </w:r>
    </w:p>
    <w:p>
      <w:pPr>
        <w:pStyle w:val="TextBody"/>
        <w:bidi w:val="0"/>
        <w:spacing w:lineRule="auto" w:line="300"/>
        <w:ind w:left="720" w:right="0" w:hanging="0"/>
        <w:jc w:val="left"/>
        <w:rPr>
          <w:rFonts w:ascii="Times New Roman;Times;serif" w:hAnsi="Times New Roman;Times;serif"/>
          <w:color w:val="000000"/>
          <w:sz w:val="20"/>
        </w:rPr>
      </w:pPr>
      <w:r>
        <w:rPr>
          <w:rFonts w:ascii="Times New Roman;Times;serif" w:hAnsi="Times New Roman;Times;serif"/>
          <w:color w:val="000000"/>
          <w:sz w:val="20"/>
        </w:rPr>
        <w:t>The Employee hereby represents and undertakes to the Company all of the following:</w:t>
      </w:r>
    </w:p>
    <w:p>
      <w:pPr>
        <w:pStyle w:val="Normal"/>
        <w:bidi w:val="0"/>
        <w:spacing w:before="0" w:after="0"/>
        <w:jc w:val="left"/>
        <w:rPr>
          <w:sz w:val="4"/>
          <w:szCs w:val="4"/>
        </w:rPr>
      </w:pPr>
      <w:r>
        <w:rPr>
          <w:sz w:val="4"/>
          <w:szCs w:val="4"/>
        </w:rPr>
      </w:r>
      <w:bookmarkStart w:id="34" w:name="z961f8fba474643ef94b8bc7929b4522f"/>
      <w:bookmarkStart w:id="35" w:name="z961f8fba474643ef94b8bc7929b4522f"/>
      <w:bookmarkEnd w:id="35"/>
    </w:p>
    <w:tbl>
      <w:tblPr>
        <w:tblW w:w="9768" w:type="dxa"/>
        <w:jc w:val="left"/>
        <w:tblInd w:w="0" w:type="dxa"/>
        <w:tblLayout w:type="fixed"/>
        <w:tblCellMar>
          <w:top w:w="0" w:type="dxa"/>
          <w:left w:w="0" w:type="dxa"/>
          <w:bottom w:w="0" w:type="dxa"/>
          <w:right w:w="0" w:type="dxa"/>
        </w:tblCellMar>
      </w:tblPr>
      <w:tblGrid>
        <w:gridCol w:w="38"/>
        <w:gridCol w:w="230"/>
        <w:gridCol w:w="9500"/>
      </w:tblGrid>
      <w:tr>
        <w:trPr/>
        <w:tc>
          <w:tcPr>
            <w:tcW w:w="38" w:type="dxa"/>
            <w:tcBorders/>
            <w:vAlign w:val="center"/>
          </w:tcPr>
          <w:p>
            <w:pPr>
              <w:pStyle w:val="TableContents"/>
              <w:bidi w:val="0"/>
              <w:spacing w:before="0" w:after="283"/>
              <w:jc w:val="left"/>
              <w:rPr/>
            </w:pPr>
            <w:r>
              <w:rPr/>
            </w:r>
          </w:p>
        </w:tc>
        <w:tc>
          <w:tcPr>
            <w:tcW w:w="230" w:type="dxa"/>
            <w:tcBorders/>
            <w:vAlign w:val="center"/>
          </w:tcPr>
          <w:p>
            <w:pPr>
              <w:pStyle w:val="TableContents"/>
              <w:bidi w:val="0"/>
              <w:spacing w:before="0" w:after="283"/>
              <w:jc w:val="left"/>
              <w:rPr/>
            </w:pPr>
            <w:r>
              <w:rPr/>
              <w:t>(i)</w:t>
            </w:r>
          </w:p>
        </w:tc>
        <w:tc>
          <w:tcPr>
            <w:tcW w:w="9500" w:type="dxa"/>
            <w:tcBorders/>
            <w:vAlign w:val="center"/>
          </w:tcPr>
          <w:p>
            <w:pPr>
              <w:pStyle w:val="TableContents"/>
              <w:bidi w:val="0"/>
              <w:spacing w:before="0" w:after="0"/>
              <w:jc w:val="left"/>
              <w:rPr/>
            </w:pPr>
            <w:r>
              <w:rPr/>
              <w:t>All information supplied on the Employee’s employment application or resume is true and complete.</w:t>
            </w:r>
          </w:p>
        </w:tc>
      </w:tr>
    </w:tbl>
    <w:p>
      <w:pPr>
        <w:pStyle w:val="TextBody"/>
        <w:bidi w:val="0"/>
        <w:spacing w:lineRule="auto" w:line="300" w:before="0" w:after="0"/>
        <w:ind w:left="720" w:right="0" w:hanging="0"/>
        <w:jc w:val="left"/>
        <w:rPr/>
      </w:pPr>
      <w:r>
        <w:rPr/>
      </w:r>
    </w:p>
    <w:tbl>
      <w:tblPr>
        <w:tblW w:w="10205" w:type="dxa"/>
        <w:jc w:val="left"/>
        <w:tblInd w:w="0" w:type="dxa"/>
        <w:tblLayout w:type="fixed"/>
        <w:tblCellMar>
          <w:top w:w="0" w:type="dxa"/>
          <w:left w:w="0" w:type="dxa"/>
          <w:bottom w:w="0" w:type="dxa"/>
          <w:right w:w="0" w:type="dxa"/>
        </w:tblCellMar>
      </w:tblPr>
      <w:tblGrid>
        <w:gridCol w:w="38"/>
        <w:gridCol w:w="257"/>
        <w:gridCol w:w="9910"/>
      </w:tblGrid>
      <w:tr>
        <w:trPr/>
        <w:tc>
          <w:tcPr>
            <w:tcW w:w="38" w:type="dxa"/>
            <w:tcBorders/>
            <w:vAlign w:val="center"/>
          </w:tcPr>
          <w:p>
            <w:pPr>
              <w:pStyle w:val="TableContents"/>
              <w:bidi w:val="0"/>
              <w:spacing w:before="0" w:after="283"/>
              <w:jc w:val="left"/>
              <w:rPr/>
            </w:pPr>
            <w:r>
              <w:rPr/>
            </w:r>
          </w:p>
        </w:tc>
        <w:tc>
          <w:tcPr>
            <w:tcW w:w="257" w:type="dxa"/>
            <w:tcBorders/>
            <w:vAlign w:val="center"/>
          </w:tcPr>
          <w:p>
            <w:pPr>
              <w:pStyle w:val="TableContents"/>
              <w:bidi w:val="0"/>
              <w:spacing w:before="0" w:after="283"/>
              <w:jc w:val="left"/>
              <w:rPr/>
            </w:pPr>
            <w:r>
              <w:rPr/>
              <w:t>(ii)</w:t>
            </w:r>
          </w:p>
        </w:tc>
        <w:tc>
          <w:tcPr>
            <w:tcW w:w="9910" w:type="dxa"/>
            <w:tcBorders/>
            <w:vAlign w:val="center"/>
          </w:tcPr>
          <w:p>
            <w:pPr>
              <w:pStyle w:val="TableContents"/>
              <w:bidi w:val="0"/>
              <w:spacing w:before="0" w:after="0"/>
              <w:jc w:val="left"/>
              <w:rPr/>
            </w:pPr>
            <w:r>
              <w:rPr/>
              <w:t>There are no other undertakings or agreements preventing the Employee from making the commitments described herein and performing his obligations under this Agreement.</w:t>
            </w:r>
          </w:p>
        </w:tc>
      </w:tr>
    </w:tbl>
    <w:p>
      <w:pPr>
        <w:pStyle w:val="TextBody"/>
        <w:bidi w:val="0"/>
        <w:spacing w:lineRule="auto" w:line="300" w:before="0" w:after="0"/>
        <w:ind w:left="720" w:right="0" w:hanging="0"/>
        <w:jc w:val="left"/>
        <w:rPr/>
      </w:pPr>
      <w:r>
        <w:rPr/>
      </w:r>
    </w:p>
    <w:tbl>
      <w:tblPr>
        <w:tblW w:w="10205" w:type="dxa"/>
        <w:jc w:val="left"/>
        <w:tblInd w:w="0" w:type="dxa"/>
        <w:tblLayout w:type="fixed"/>
        <w:tblCellMar>
          <w:top w:w="0" w:type="dxa"/>
          <w:left w:w="0" w:type="dxa"/>
          <w:bottom w:w="0" w:type="dxa"/>
          <w:right w:w="0" w:type="dxa"/>
        </w:tblCellMar>
      </w:tblPr>
      <w:tblGrid>
        <w:gridCol w:w="38"/>
        <w:gridCol w:w="298"/>
        <w:gridCol w:w="9869"/>
      </w:tblGrid>
      <w:tr>
        <w:trPr/>
        <w:tc>
          <w:tcPr>
            <w:tcW w:w="38" w:type="dxa"/>
            <w:tcBorders/>
            <w:vAlign w:val="center"/>
          </w:tcPr>
          <w:p>
            <w:pPr>
              <w:pStyle w:val="TableContents"/>
              <w:bidi w:val="0"/>
              <w:spacing w:before="0" w:after="283"/>
              <w:jc w:val="left"/>
              <w:rPr/>
            </w:pPr>
            <w:r>
              <w:rPr/>
            </w:r>
          </w:p>
        </w:tc>
        <w:tc>
          <w:tcPr>
            <w:tcW w:w="298" w:type="dxa"/>
            <w:tcBorders/>
            <w:vAlign w:val="center"/>
          </w:tcPr>
          <w:p>
            <w:pPr>
              <w:pStyle w:val="TableContents"/>
              <w:bidi w:val="0"/>
              <w:spacing w:before="0" w:after="283"/>
              <w:jc w:val="left"/>
              <w:rPr/>
            </w:pPr>
            <w:r>
              <w:rPr/>
              <w:t>(iii)</w:t>
            </w:r>
          </w:p>
        </w:tc>
        <w:tc>
          <w:tcPr>
            <w:tcW w:w="9869" w:type="dxa"/>
            <w:tcBorders/>
            <w:vAlign w:val="center"/>
          </w:tcPr>
          <w:p>
            <w:pPr>
              <w:pStyle w:val="TableContents"/>
              <w:bidi w:val="0"/>
              <w:spacing w:before="0" w:after="0"/>
              <w:jc w:val="left"/>
              <w:rPr/>
            </w:pPr>
            <w:r>
              <w:rPr/>
              <w:t>To the best of the Employee’s knowledge, the Employee is not currently, nor will by entering into this agreement be deemed to be, in breach of any of the Employee’s obligations towards any former employer, including without limitation, any non-competition or confidentiality undertakings.</w:t>
            </w:r>
          </w:p>
        </w:tc>
      </w:tr>
    </w:tbl>
    <w:p>
      <w:pPr>
        <w:pStyle w:val="TextBody"/>
        <w:bidi w:val="0"/>
        <w:spacing w:lineRule="auto" w:line="300" w:before="0" w:after="0"/>
        <w:ind w:left="720" w:right="0" w:hanging="0"/>
        <w:jc w:val="left"/>
        <w:rPr/>
      </w:pPr>
      <w:r>
        <w:rPr/>
      </w:r>
    </w:p>
    <w:tbl>
      <w:tblPr>
        <w:tblW w:w="10205" w:type="dxa"/>
        <w:jc w:val="left"/>
        <w:tblInd w:w="0" w:type="dxa"/>
        <w:tblLayout w:type="fixed"/>
        <w:tblCellMar>
          <w:top w:w="0" w:type="dxa"/>
          <w:left w:w="0" w:type="dxa"/>
          <w:bottom w:w="0" w:type="dxa"/>
          <w:right w:w="0" w:type="dxa"/>
        </w:tblCellMar>
      </w:tblPr>
      <w:tblGrid>
        <w:gridCol w:w="38"/>
        <w:gridCol w:w="307"/>
        <w:gridCol w:w="9860"/>
      </w:tblGrid>
      <w:tr>
        <w:trPr/>
        <w:tc>
          <w:tcPr>
            <w:tcW w:w="38" w:type="dxa"/>
            <w:tcBorders/>
            <w:vAlign w:val="center"/>
          </w:tcPr>
          <w:p>
            <w:pPr>
              <w:pStyle w:val="TableContents"/>
              <w:bidi w:val="0"/>
              <w:spacing w:before="0" w:after="283"/>
              <w:jc w:val="left"/>
              <w:rPr/>
            </w:pPr>
            <w:r>
              <w:rPr/>
            </w:r>
          </w:p>
        </w:tc>
        <w:tc>
          <w:tcPr>
            <w:tcW w:w="307" w:type="dxa"/>
            <w:tcBorders/>
            <w:vAlign w:val="center"/>
          </w:tcPr>
          <w:p>
            <w:pPr>
              <w:pStyle w:val="TableContents"/>
              <w:bidi w:val="0"/>
              <w:spacing w:before="0" w:after="283"/>
              <w:jc w:val="left"/>
              <w:rPr/>
            </w:pPr>
            <w:r>
              <w:rPr/>
              <w:t>(iv)</w:t>
            </w:r>
          </w:p>
        </w:tc>
        <w:tc>
          <w:tcPr>
            <w:tcW w:w="9860" w:type="dxa"/>
            <w:tcBorders/>
            <w:vAlign w:val="center"/>
          </w:tcPr>
          <w:p>
            <w:pPr>
              <w:pStyle w:val="TableContents"/>
              <w:bidi w:val="0"/>
              <w:spacing w:before="0" w:after="0"/>
              <w:jc w:val="left"/>
              <w:rPr/>
            </w:pPr>
            <w:r>
              <w:rPr/>
              <w:t>In carrying out the Employee’s duties under this agreement, the Employee shall not make any representations or make any commitments on behalf of the Company, except as expressly and in advance authorized so to do.</w:t>
            </w:r>
          </w:p>
        </w:tc>
      </w:tr>
    </w:tbl>
    <w:p>
      <w:pPr>
        <w:pStyle w:val="TextBody"/>
        <w:bidi w:val="0"/>
        <w:spacing w:lineRule="auto" w:line="300" w:before="0" w:after="0"/>
        <w:ind w:left="720" w:right="0" w:hanging="0"/>
        <w:jc w:val="left"/>
        <w:rPr/>
      </w:pPr>
      <w:r>
        <w:rPr/>
      </w:r>
    </w:p>
    <w:tbl>
      <w:tblPr>
        <w:tblW w:w="10205" w:type="dxa"/>
        <w:jc w:val="left"/>
        <w:tblInd w:w="0" w:type="dxa"/>
        <w:tblLayout w:type="fixed"/>
        <w:tblCellMar>
          <w:top w:w="0" w:type="dxa"/>
          <w:left w:w="0" w:type="dxa"/>
          <w:bottom w:w="0" w:type="dxa"/>
          <w:right w:w="0" w:type="dxa"/>
        </w:tblCellMar>
      </w:tblPr>
      <w:tblGrid>
        <w:gridCol w:w="38"/>
        <w:gridCol w:w="225"/>
        <w:gridCol w:w="9942"/>
      </w:tblGrid>
      <w:tr>
        <w:trPr/>
        <w:tc>
          <w:tcPr>
            <w:tcW w:w="38" w:type="dxa"/>
            <w:tcBorders/>
            <w:vAlign w:val="center"/>
          </w:tcPr>
          <w:p>
            <w:pPr>
              <w:pStyle w:val="TableContents"/>
              <w:bidi w:val="0"/>
              <w:spacing w:before="0" w:after="283"/>
              <w:jc w:val="left"/>
              <w:rPr/>
            </w:pPr>
            <w:r>
              <w:rPr/>
            </w:r>
          </w:p>
        </w:tc>
        <w:tc>
          <w:tcPr>
            <w:tcW w:w="225" w:type="dxa"/>
            <w:tcBorders/>
            <w:vAlign w:val="center"/>
          </w:tcPr>
          <w:p>
            <w:pPr>
              <w:pStyle w:val="TableContents"/>
              <w:bidi w:val="0"/>
              <w:spacing w:before="0" w:after="283"/>
              <w:jc w:val="left"/>
              <w:rPr/>
            </w:pPr>
            <w:r>
              <w:rPr/>
              <w:t>(v)</w:t>
            </w:r>
          </w:p>
        </w:tc>
        <w:tc>
          <w:tcPr>
            <w:tcW w:w="9942" w:type="dxa"/>
            <w:tcBorders/>
            <w:vAlign w:val="center"/>
          </w:tcPr>
          <w:p>
            <w:pPr>
              <w:pStyle w:val="TableContents"/>
              <w:bidi w:val="0"/>
              <w:spacing w:before="0" w:after="0"/>
              <w:jc w:val="left"/>
              <w:rPr/>
            </w:pPr>
            <w:r>
              <w:rPr/>
              <w:t>The Employee grants consent to the Company and its affiliates, and its/their employees, wherever they may be located, to utilize and process the Employee’s personal information, including data collected by the Company for purposes related to the Employee’s employment. This may include transfer of the Employee’s personnel records outside of Israel and further transfers thereafter. All personnel records are considered confidential and access will be limited and restricted to individuals with need to know or process that information for purposes relating to your employment, or for Company’s legitimate business purposes, such as management teams and human resource personnel.</w:t>
            </w:r>
          </w:p>
        </w:tc>
      </w:tr>
    </w:tbl>
    <w:p>
      <w:pPr>
        <w:pStyle w:val="TextBody"/>
        <w:bidi w:val="0"/>
        <w:spacing w:lineRule="auto" w:line="300" w:before="0" w:after="0"/>
        <w:ind w:left="720" w:right="0" w:hanging="0"/>
        <w:jc w:val="left"/>
        <w:rPr>
          <w:color w:val="000000"/>
        </w:rPr>
      </w:pPr>
      <w:r>
        <w:rPr>
          <w:color w:val="000000"/>
        </w:rPr>
        <w:t xml:space="preserve">  </w:t>
      </w:r>
    </w:p>
    <w:p>
      <w:pPr>
        <w:pStyle w:val="Normal"/>
        <w:bidi w:val="0"/>
        <w:spacing w:before="0" w:after="0"/>
        <w:jc w:val="left"/>
        <w:rPr>
          <w:sz w:val="4"/>
          <w:szCs w:val="4"/>
        </w:rPr>
      </w:pPr>
      <w:r>
        <w:rPr>
          <w:sz w:val="4"/>
          <w:szCs w:val="4"/>
        </w:rPr>
      </w:r>
      <w:bookmarkStart w:id="36" w:name="zcd6d5301242f4500848f3bc3153910fa"/>
      <w:bookmarkStart w:id="37" w:name="zcd6d5301242f4500848f3bc3153910fa"/>
      <w:bookmarkEnd w:id="37"/>
    </w:p>
    <w:tbl>
      <w:tblPr>
        <w:tblW w:w="7563" w:type="dxa"/>
        <w:jc w:val="left"/>
        <w:tblInd w:w="0" w:type="dxa"/>
        <w:tblLayout w:type="fixed"/>
        <w:tblCellMar>
          <w:top w:w="0" w:type="dxa"/>
          <w:left w:w="0" w:type="dxa"/>
          <w:bottom w:w="0" w:type="dxa"/>
          <w:right w:w="0" w:type="dxa"/>
        </w:tblCellMar>
      </w:tblPr>
      <w:tblGrid>
        <w:gridCol w:w="38"/>
        <w:gridCol w:w="200"/>
        <w:gridCol w:w="7325"/>
      </w:tblGrid>
      <w:tr>
        <w:trPr/>
        <w:tc>
          <w:tcPr>
            <w:tcW w:w="38" w:type="dxa"/>
            <w:tcBorders/>
            <w:vAlign w:val="center"/>
          </w:tcPr>
          <w:p>
            <w:pPr>
              <w:pStyle w:val="TableContents"/>
              <w:bidi w:val="0"/>
              <w:spacing w:before="0" w:after="283"/>
              <w:jc w:val="left"/>
              <w:rPr/>
            </w:pPr>
            <w:r>
              <w:rPr/>
            </w:r>
          </w:p>
        </w:tc>
        <w:tc>
          <w:tcPr>
            <w:tcW w:w="200" w:type="dxa"/>
            <w:tcBorders/>
            <w:vAlign w:val="center"/>
          </w:tcPr>
          <w:p>
            <w:pPr>
              <w:pStyle w:val="TableContents"/>
              <w:bidi w:val="0"/>
              <w:spacing w:before="0" w:after="283"/>
              <w:jc w:val="left"/>
              <w:rPr>
                <w:b/>
              </w:rPr>
            </w:pPr>
            <w:r>
              <w:rPr>
                <w:b/>
              </w:rPr>
              <w:t>3.</w:t>
            </w:r>
          </w:p>
        </w:tc>
        <w:tc>
          <w:tcPr>
            <w:tcW w:w="7325" w:type="dxa"/>
            <w:tcBorders/>
            <w:vAlign w:val="center"/>
          </w:tcPr>
          <w:p>
            <w:pPr>
              <w:pStyle w:val="TableContents"/>
              <w:bidi w:val="0"/>
              <w:spacing w:before="0" w:after="0"/>
              <w:jc w:val="left"/>
              <w:rPr>
                <w:b/>
                <w:u w:val="single"/>
              </w:rPr>
            </w:pPr>
            <w:r>
              <w:rPr>
                <w:b/>
                <w:u w:val="single"/>
              </w:rPr>
              <w:t>Employee’s Obligations Regarding the Use of the Company’s Resources</w:t>
            </w:r>
          </w:p>
        </w:tc>
      </w:tr>
    </w:tbl>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720" w:right="0" w:hanging="0"/>
        <w:jc w:val="both"/>
        <w:rPr>
          <w:rFonts w:ascii="Times New Roman;Times;serif" w:hAnsi="Times New Roman;Times;serif"/>
          <w:color w:val="000000"/>
          <w:sz w:val="20"/>
        </w:rPr>
      </w:pPr>
      <w:r>
        <w:rPr>
          <w:rFonts w:ascii="Times New Roman;Times;serif" w:hAnsi="Times New Roman;Times;serif"/>
          <w:color w:val="000000"/>
          <w:sz w:val="20"/>
        </w:rPr>
        <w:t>Without derogating from the Employee’s obligations under the Company’s Code of Conduct:</w:t>
      </w:r>
    </w:p>
    <w:p>
      <w:pPr>
        <w:pStyle w:val="TextBody"/>
        <w:bidi w:val="0"/>
        <w:spacing w:lineRule="auto" w:line="300" w:before="0" w:after="0"/>
        <w:jc w:val="left"/>
        <w:rPr>
          <w:color w:val="000000"/>
        </w:rPr>
      </w:pPr>
      <w:r>
        <w:rPr>
          <w:color w:val="000000"/>
        </w:rPr>
        <w:t> </w:t>
      </w:r>
    </w:p>
    <w:p>
      <w:pPr>
        <w:pStyle w:val="Normal"/>
        <w:bidi w:val="0"/>
        <w:spacing w:before="0" w:after="0"/>
        <w:jc w:val="left"/>
        <w:rPr>
          <w:sz w:val="4"/>
          <w:szCs w:val="4"/>
        </w:rPr>
      </w:pPr>
      <w:r>
        <w:rPr>
          <w:sz w:val="4"/>
          <w:szCs w:val="4"/>
        </w:rPr>
      </w:r>
      <w:bookmarkStart w:id="38" w:name="za63f6ce48f584e28849013e293427466"/>
      <w:bookmarkStart w:id="39" w:name="za63f6ce48f584e28849013e293427466"/>
      <w:bookmarkEnd w:id="39"/>
    </w:p>
    <w:tbl>
      <w:tblPr>
        <w:tblW w:w="10205" w:type="dxa"/>
        <w:jc w:val="left"/>
        <w:tblInd w:w="0" w:type="dxa"/>
        <w:tblLayout w:type="fixed"/>
        <w:tblCellMar>
          <w:top w:w="0" w:type="dxa"/>
          <w:left w:w="0" w:type="dxa"/>
          <w:bottom w:w="0" w:type="dxa"/>
          <w:right w:w="0" w:type="dxa"/>
        </w:tblCellMar>
      </w:tblPr>
      <w:tblGrid>
        <w:gridCol w:w="38"/>
        <w:gridCol w:w="155"/>
        <w:gridCol w:w="10012"/>
      </w:tblGrid>
      <w:tr>
        <w:trPr/>
        <w:tc>
          <w:tcPr>
            <w:tcW w:w="38" w:type="dxa"/>
            <w:tcBorders/>
            <w:vAlign w:val="center"/>
          </w:tcPr>
          <w:p>
            <w:pPr>
              <w:pStyle w:val="TableContents"/>
              <w:bidi w:val="0"/>
              <w:spacing w:before="0" w:after="283"/>
              <w:jc w:val="left"/>
              <w:rPr/>
            </w:pPr>
            <w:r>
              <w:rPr/>
            </w:r>
          </w:p>
        </w:tc>
        <w:tc>
          <w:tcPr>
            <w:tcW w:w="155" w:type="dxa"/>
            <w:tcBorders/>
            <w:vAlign w:val="center"/>
          </w:tcPr>
          <w:p>
            <w:pPr>
              <w:pStyle w:val="TableContents"/>
              <w:bidi w:val="0"/>
              <w:spacing w:before="0" w:after="283"/>
              <w:jc w:val="left"/>
              <w:rPr/>
            </w:pPr>
            <w:r>
              <w:rPr/>
              <w:t>I.</w:t>
            </w:r>
          </w:p>
        </w:tc>
        <w:tc>
          <w:tcPr>
            <w:tcW w:w="10012" w:type="dxa"/>
            <w:tcBorders/>
            <w:vAlign w:val="center"/>
          </w:tcPr>
          <w:p>
            <w:pPr>
              <w:pStyle w:val="TableContents"/>
              <w:bidi w:val="0"/>
              <w:spacing w:before="0" w:after="0"/>
              <w:jc w:val="both"/>
              <w:rPr/>
            </w:pPr>
            <w:r>
              <w:rPr/>
              <w:t>The Employee undertakes to use the resources that the Company has and will put at his disposal exclusively for the purpose of performing his duties and carrying out his responsibilities within the scope of his Position. Without derogating from the generality of the foregoing sentence, the access given to the Employee to the Company’s electronic mail system, as well as its intranet systems, is solely for business purposes. Thus, the Employee shall not use the Company's e-mail system for personal purposes and shall not store any private material on Company's computer/laptop.</w:t>
            </w:r>
          </w:p>
        </w:tc>
      </w:tr>
    </w:tbl>
    <w:p>
      <w:pPr>
        <w:pStyle w:val="TextBody"/>
        <w:bidi w:val="0"/>
        <w:spacing w:lineRule="auto" w:line="300" w:before="0" w:after="0"/>
        <w:jc w:val="left"/>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lineRule="auto" w:line="300" w:before="0" w:after="0"/>
        <w:jc w:val="left"/>
        <w:rPr/>
      </w:pPr>
      <w:r>
        <w:rPr/>
      </w:r>
    </w:p>
    <w:p>
      <w:pPr>
        <w:pStyle w:val="Normal"/>
        <w:bidi w:val="0"/>
        <w:spacing w:before="0" w:after="0"/>
        <w:jc w:val="left"/>
        <w:rPr>
          <w:sz w:val="4"/>
          <w:szCs w:val="4"/>
        </w:rPr>
      </w:pPr>
      <w:r>
        <w:rPr>
          <w:sz w:val="4"/>
          <w:szCs w:val="4"/>
        </w:rPr>
      </w:r>
      <w:bookmarkStart w:id="40" w:name="z503ae7ba1f22463c8a4aa474d6be436d"/>
      <w:bookmarkStart w:id="41" w:name="z503ae7ba1f22463c8a4aa474d6be436d"/>
      <w:bookmarkEnd w:id="41"/>
    </w:p>
    <w:tbl>
      <w:tblPr>
        <w:tblW w:w="10205" w:type="dxa"/>
        <w:jc w:val="left"/>
        <w:tblInd w:w="0" w:type="dxa"/>
        <w:tblLayout w:type="fixed"/>
        <w:tblCellMar>
          <w:top w:w="0" w:type="dxa"/>
          <w:left w:w="0" w:type="dxa"/>
          <w:bottom w:w="0" w:type="dxa"/>
          <w:right w:w="0" w:type="dxa"/>
        </w:tblCellMar>
      </w:tblPr>
      <w:tblGrid>
        <w:gridCol w:w="38"/>
        <w:gridCol w:w="230"/>
        <w:gridCol w:w="9937"/>
      </w:tblGrid>
      <w:tr>
        <w:trPr/>
        <w:tc>
          <w:tcPr>
            <w:tcW w:w="38" w:type="dxa"/>
            <w:tcBorders/>
            <w:vAlign w:val="center"/>
          </w:tcPr>
          <w:p>
            <w:pPr>
              <w:pStyle w:val="TableContents"/>
              <w:bidi w:val="0"/>
              <w:spacing w:before="0" w:after="283"/>
              <w:jc w:val="left"/>
              <w:rPr/>
            </w:pPr>
            <w:r>
              <w:rPr/>
            </w:r>
          </w:p>
        </w:tc>
        <w:tc>
          <w:tcPr>
            <w:tcW w:w="230" w:type="dxa"/>
            <w:tcBorders/>
            <w:vAlign w:val="center"/>
          </w:tcPr>
          <w:p>
            <w:pPr>
              <w:pStyle w:val="TableContents"/>
              <w:bidi w:val="0"/>
              <w:spacing w:before="0" w:after="283"/>
              <w:jc w:val="left"/>
              <w:rPr/>
            </w:pPr>
            <w:r>
              <w:rPr/>
              <w:t>II.</w:t>
            </w:r>
          </w:p>
        </w:tc>
        <w:tc>
          <w:tcPr>
            <w:tcW w:w="9937" w:type="dxa"/>
            <w:tcBorders/>
            <w:vAlign w:val="center"/>
          </w:tcPr>
          <w:p>
            <w:pPr>
              <w:pStyle w:val="TableContents"/>
              <w:bidi w:val="0"/>
              <w:spacing w:before="0" w:after="0"/>
              <w:jc w:val="both"/>
              <w:rPr/>
            </w:pPr>
            <w:r>
              <w:rPr/>
              <w:t>Without derogating from the generality of the above, the Employee undertakes not to use the property of the Company and the resources it has or will put at his disposal, including email and Internet access, for illegitimate purposes or uses that may adversely affect the Company and/or any third parties and/or in breach of any intellectual property or other laws and/or that may expose the Company to a lawsuit by third parties.</w:t>
            </w:r>
          </w:p>
        </w:tc>
      </w:tr>
    </w:tbl>
    <w:p>
      <w:pPr>
        <w:pStyle w:val="TextBody"/>
        <w:bidi w:val="0"/>
        <w:spacing w:lineRule="auto" w:line="300" w:before="0" w:after="0"/>
        <w:jc w:val="left"/>
        <w:rPr>
          <w:color w:val="000000"/>
        </w:rPr>
      </w:pPr>
      <w:r>
        <w:rPr>
          <w:color w:val="000000"/>
        </w:rPr>
        <w:t> </w:t>
      </w:r>
    </w:p>
    <w:p>
      <w:pPr>
        <w:pStyle w:val="Normal"/>
        <w:bidi w:val="0"/>
        <w:spacing w:before="0" w:after="0"/>
        <w:jc w:val="left"/>
        <w:rPr>
          <w:sz w:val="4"/>
          <w:szCs w:val="4"/>
        </w:rPr>
      </w:pPr>
      <w:r>
        <w:rPr>
          <w:sz w:val="4"/>
          <w:szCs w:val="4"/>
        </w:rPr>
      </w:r>
      <w:bookmarkStart w:id="42" w:name="zdba2fec993104986bbe278ee601aecfd"/>
      <w:bookmarkStart w:id="43" w:name="zdba2fec993104986bbe278ee601aecfd"/>
      <w:bookmarkEnd w:id="43"/>
    </w:p>
    <w:tbl>
      <w:tblPr>
        <w:tblW w:w="10205" w:type="dxa"/>
        <w:jc w:val="left"/>
        <w:tblInd w:w="0" w:type="dxa"/>
        <w:tblLayout w:type="fixed"/>
        <w:tblCellMar>
          <w:top w:w="0" w:type="dxa"/>
          <w:left w:w="0" w:type="dxa"/>
          <w:bottom w:w="0" w:type="dxa"/>
          <w:right w:w="0" w:type="dxa"/>
        </w:tblCellMar>
      </w:tblPr>
      <w:tblGrid>
        <w:gridCol w:w="38"/>
        <w:gridCol w:w="305"/>
        <w:gridCol w:w="9862"/>
      </w:tblGrid>
      <w:tr>
        <w:trPr/>
        <w:tc>
          <w:tcPr>
            <w:tcW w:w="38" w:type="dxa"/>
            <w:tcBorders/>
            <w:vAlign w:val="center"/>
          </w:tcPr>
          <w:p>
            <w:pPr>
              <w:pStyle w:val="TableContents"/>
              <w:bidi w:val="0"/>
              <w:spacing w:before="0" w:after="283"/>
              <w:jc w:val="left"/>
              <w:rPr/>
            </w:pPr>
            <w:r>
              <w:rPr/>
            </w:r>
          </w:p>
        </w:tc>
        <w:tc>
          <w:tcPr>
            <w:tcW w:w="305" w:type="dxa"/>
            <w:tcBorders/>
            <w:vAlign w:val="center"/>
          </w:tcPr>
          <w:p>
            <w:pPr>
              <w:pStyle w:val="TableContents"/>
              <w:bidi w:val="0"/>
              <w:spacing w:before="0" w:after="283"/>
              <w:jc w:val="left"/>
              <w:rPr/>
            </w:pPr>
            <w:r>
              <w:rPr/>
              <w:t>III.</w:t>
            </w:r>
          </w:p>
        </w:tc>
        <w:tc>
          <w:tcPr>
            <w:tcW w:w="9862" w:type="dxa"/>
            <w:tcBorders/>
            <w:vAlign w:val="center"/>
          </w:tcPr>
          <w:p>
            <w:pPr>
              <w:pStyle w:val="TableContents"/>
              <w:bidi w:val="0"/>
              <w:spacing w:before="0" w:after="0"/>
              <w:jc w:val="both"/>
              <w:rPr/>
            </w:pPr>
            <w:r>
              <w:rPr/>
              <w:t>The Employee declares and confirms that he knows and agrees that (i) the Company may from time to time inspect the use he has made of the resources it has or will put at his disposal, including email and Internet access, including, without limitation, by way of monitoring, reading email messages and inspecting the Internet addresses and sites accessed by the Employee, subject to applicable law, (ii) the Company shall have the right to allow other employees and other third parties to use/access the Company's computer/laptop used by the Employee, (iii) the Company shall have the right to conduct inspections on any and all of the Company's computers, including inspections of electronic mail transmissions, internet usage and inspections of their content and shall have the right to use the findings of such inspections for Company's purposes, and (iv) in light of Employee's undertaking that the sole use of Company's computers/laptops and e-mail shall be for business purposes, Employee has no right to privacy in any and all computer and e-mail material.</w:t>
            </w:r>
          </w:p>
        </w:tc>
      </w:tr>
    </w:tbl>
    <w:p>
      <w:pPr>
        <w:pStyle w:val="TextBody"/>
        <w:bidi w:val="0"/>
        <w:spacing w:lineRule="auto" w:line="300" w:before="0" w:after="0"/>
        <w:jc w:val="left"/>
        <w:rPr/>
      </w:pPr>
      <w:r>
        <w:rPr/>
      </w:r>
    </w:p>
    <w:p>
      <w:pPr>
        <w:pStyle w:val="Normal"/>
        <w:bidi w:val="0"/>
        <w:spacing w:before="0" w:after="0"/>
        <w:jc w:val="left"/>
        <w:rPr>
          <w:sz w:val="4"/>
          <w:szCs w:val="4"/>
        </w:rPr>
      </w:pPr>
      <w:r>
        <w:rPr>
          <w:sz w:val="4"/>
          <w:szCs w:val="4"/>
        </w:rPr>
      </w:r>
      <w:bookmarkStart w:id="44" w:name="zdf5d0cffc82946eb86603006bd0c3b75"/>
      <w:bookmarkStart w:id="45" w:name="zdf5d0cffc82946eb86603006bd0c3b75"/>
      <w:bookmarkEnd w:id="45"/>
    </w:p>
    <w:tbl>
      <w:tblPr>
        <w:tblW w:w="10205" w:type="dxa"/>
        <w:jc w:val="left"/>
        <w:tblInd w:w="0" w:type="dxa"/>
        <w:tblLayout w:type="fixed"/>
        <w:tblCellMar>
          <w:top w:w="0" w:type="dxa"/>
          <w:left w:w="0" w:type="dxa"/>
          <w:bottom w:w="0" w:type="dxa"/>
          <w:right w:w="0" w:type="dxa"/>
        </w:tblCellMar>
      </w:tblPr>
      <w:tblGrid>
        <w:gridCol w:w="38"/>
        <w:gridCol w:w="335"/>
        <w:gridCol w:w="9832"/>
      </w:tblGrid>
      <w:tr>
        <w:trPr/>
        <w:tc>
          <w:tcPr>
            <w:tcW w:w="38" w:type="dxa"/>
            <w:tcBorders/>
            <w:vAlign w:val="center"/>
          </w:tcPr>
          <w:p>
            <w:pPr>
              <w:pStyle w:val="TableContents"/>
              <w:bidi w:val="0"/>
              <w:spacing w:before="0" w:after="283"/>
              <w:jc w:val="left"/>
              <w:rPr/>
            </w:pPr>
            <w:r>
              <w:rPr/>
            </w:r>
          </w:p>
        </w:tc>
        <w:tc>
          <w:tcPr>
            <w:tcW w:w="335" w:type="dxa"/>
            <w:tcBorders/>
            <w:vAlign w:val="center"/>
          </w:tcPr>
          <w:p>
            <w:pPr>
              <w:pStyle w:val="TableContents"/>
              <w:bidi w:val="0"/>
              <w:spacing w:before="0" w:after="283"/>
              <w:jc w:val="left"/>
              <w:rPr/>
            </w:pPr>
            <w:r>
              <w:rPr/>
              <w:t>IV.</w:t>
            </w:r>
          </w:p>
        </w:tc>
        <w:tc>
          <w:tcPr>
            <w:tcW w:w="9832" w:type="dxa"/>
            <w:tcBorders/>
            <w:vAlign w:val="center"/>
          </w:tcPr>
          <w:p>
            <w:pPr>
              <w:pStyle w:val="TableContents"/>
              <w:bidi w:val="0"/>
              <w:spacing w:before="0" w:after="0"/>
              <w:jc w:val="both"/>
              <w:rPr/>
            </w:pPr>
            <w:r>
              <w:rPr/>
              <w:t>The Employee hereby expressly consents that, if, following provision of an invitation to termination hearing to the Employee, the Employee’s submission of a letter of resignation, and/or during notice period, the Company suspects that the Employee’s access to the Company's resources may cause damages to the Company, the Company may terminate the Employee’s access to the Company’s systems without providing the Employee with any prior notice and without being required to obtain the further consent of the Employee.</w:t>
            </w:r>
          </w:p>
        </w:tc>
      </w:tr>
    </w:tbl>
    <w:p>
      <w:pPr>
        <w:pStyle w:val="TextBody"/>
        <w:bidi w:val="0"/>
        <w:spacing w:lineRule="auto" w:line="300" w:before="0" w:after="0"/>
        <w:jc w:val="left"/>
        <w:rPr>
          <w:color w:val="000000"/>
        </w:rPr>
      </w:pPr>
      <w:r>
        <w:rPr>
          <w:color w:val="000000"/>
        </w:rPr>
        <w:t> </w:t>
      </w:r>
    </w:p>
    <w:p>
      <w:pPr>
        <w:pStyle w:val="Normal"/>
        <w:bidi w:val="0"/>
        <w:spacing w:before="0" w:after="0"/>
        <w:jc w:val="left"/>
        <w:rPr>
          <w:sz w:val="4"/>
          <w:szCs w:val="4"/>
        </w:rPr>
      </w:pPr>
      <w:r>
        <w:rPr>
          <w:sz w:val="4"/>
          <w:szCs w:val="4"/>
        </w:rPr>
      </w:r>
      <w:bookmarkStart w:id="46" w:name="z983b0285aa9f4f9bb4ec5a6a8effd852"/>
      <w:bookmarkStart w:id="47" w:name="z983b0285aa9f4f9bb4ec5a6a8effd852"/>
      <w:bookmarkEnd w:id="47"/>
    </w:p>
    <w:tbl>
      <w:tblPr>
        <w:tblW w:w="933" w:type="dxa"/>
        <w:jc w:val="left"/>
        <w:tblInd w:w="0" w:type="dxa"/>
        <w:tblLayout w:type="fixed"/>
        <w:tblCellMar>
          <w:top w:w="0" w:type="dxa"/>
          <w:left w:w="0" w:type="dxa"/>
          <w:bottom w:w="0" w:type="dxa"/>
          <w:right w:w="0" w:type="dxa"/>
        </w:tblCellMar>
      </w:tblPr>
      <w:tblGrid>
        <w:gridCol w:w="38"/>
        <w:gridCol w:w="200"/>
        <w:gridCol w:w="695"/>
      </w:tblGrid>
      <w:tr>
        <w:trPr/>
        <w:tc>
          <w:tcPr>
            <w:tcW w:w="38" w:type="dxa"/>
            <w:tcBorders/>
            <w:vAlign w:val="center"/>
          </w:tcPr>
          <w:p>
            <w:pPr>
              <w:pStyle w:val="TableContents"/>
              <w:bidi w:val="0"/>
              <w:spacing w:before="0" w:after="283"/>
              <w:jc w:val="left"/>
              <w:rPr/>
            </w:pPr>
            <w:r>
              <w:rPr/>
            </w:r>
          </w:p>
        </w:tc>
        <w:tc>
          <w:tcPr>
            <w:tcW w:w="200" w:type="dxa"/>
            <w:tcBorders/>
            <w:vAlign w:val="center"/>
          </w:tcPr>
          <w:p>
            <w:pPr>
              <w:pStyle w:val="TableContents"/>
              <w:bidi w:val="0"/>
              <w:spacing w:before="0" w:after="283"/>
              <w:jc w:val="left"/>
              <w:rPr>
                <w:b/>
              </w:rPr>
            </w:pPr>
            <w:r>
              <w:rPr>
                <w:b/>
              </w:rPr>
              <w:t>4.</w:t>
            </w:r>
          </w:p>
        </w:tc>
        <w:tc>
          <w:tcPr>
            <w:tcW w:w="695" w:type="dxa"/>
            <w:tcBorders/>
            <w:vAlign w:val="center"/>
          </w:tcPr>
          <w:p>
            <w:pPr>
              <w:pStyle w:val="TableContents"/>
              <w:bidi w:val="0"/>
              <w:spacing w:before="0" w:after="0"/>
              <w:jc w:val="both"/>
              <w:rPr>
                <w:b/>
                <w:u w:val="single"/>
              </w:rPr>
            </w:pPr>
            <w:r>
              <w:rPr>
                <w:b/>
                <w:u w:val="single"/>
              </w:rPr>
              <w:t>Salary</w:t>
            </w:r>
          </w:p>
        </w:tc>
      </w:tr>
    </w:tbl>
    <w:p>
      <w:pPr>
        <w:pStyle w:val="TextBody"/>
        <w:bidi w:val="0"/>
        <w:spacing w:lineRule="auto" w:line="300" w:before="0" w:after="0"/>
        <w:jc w:val="left"/>
        <w:rPr>
          <w:color w:val="000000"/>
        </w:rPr>
      </w:pPr>
      <w:r>
        <w:rPr>
          <w:color w:val="000000"/>
        </w:rPr>
        <w:t> </w:t>
      </w:r>
    </w:p>
    <w:p>
      <w:pPr>
        <w:pStyle w:val="Normal"/>
        <w:bidi w:val="0"/>
        <w:spacing w:before="0" w:after="0"/>
        <w:jc w:val="left"/>
        <w:rPr>
          <w:sz w:val="4"/>
          <w:szCs w:val="4"/>
        </w:rPr>
      </w:pPr>
      <w:r>
        <w:rPr>
          <w:sz w:val="4"/>
          <w:szCs w:val="4"/>
        </w:rPr>
      </w:r>
      <w:bookmarkStart w:id="48" w:name="zfe1f7922e6944c00aea4dab1cbe97774"/>
      <w:bookmarkStart w:id="49" w:name="zfe1f7922e6944c00aea4dab1cbe97774"/>
      <w:bookmarkEnd w:id="49"/>
    </w:p>
    <w:tbl>
      <w:tblPr>
        <w:tblW w:w="10205" w:type="dxa"/>
        <w:jc w:val="left"/>
        <w:tblInd w:w="0" w:type="dxa"/>
        <w:tblLayout w:type="fixed"/>
        <w:tblCellMar>
          <w:top w:w="0" w:type="dxa"/>
          <w:left w:w="0" w:type="dxa"/>
          <w:bottom w:w="0" w:type="dxa"/>
          <w:right w:w="0" w:type="dxa"/>
        </w:tblCellMar>
      </w:tblPr>
      <w:tblGrid>
        <w:gridCol w:w="38"/>
        <w:gridCol w:w="155"/>
        <w:gridCol w:w="10012"/>
      </w:tblGrid>
      <w:tr>
        <w:trPr/>
        <w:tc>
          <w:tcPr>
            <w:tcW w:w="38" w:type="dxa"/>
            <w:tcBorders/>
            <w:vAlign w:val="center"/>
          </w:tcPr>
          <w:p>
            <w:pPr>
              <w:pStyle w:val="TableContents"/>
              <w:bidi w:val="0"/>
              <w:spacing w:before="0" w:after="283"/>
              <w:jc w:val="left"/>
              <w:rPr/>
            </w:pPr>
            <w:r>
              <w:rPr/>
            </w:r>
          </w:p>
        </w:tc>
        <w:tc>
          <w:tcPr>
            <w:tcW w:w="155" w:type="dxa"/>
            <w:tcBorders/>
            <w:vAlign w:val="center"/>
          </w:tcPr>
          <w:p>
            <w:pPr>
              <w:pStyle w:val="TableContents"/>
              <w:bidi w:val="0"/>
              <w:spacing w:before="0" w:after="283"/>
              <w:jc w:val="left"/>
              <w:rPr>
                <w:i/>
              </w:rPr>
            </w:pPr>
            <w:r>
              <w:rPr>
                <w:i/>
              </w:rPr>
              <w:t>I.</w:t>
            </w:r>
          </w:p>
        </w:tc>
        <w:tc>
          <w:tcPr>
            <w:tcW w:w="10012" w:type="dxa"/>
            <w:tcBorders/>
            <w:vAlign w:val="center"/>
          </w:tcPr>
          <w:p>
            <w:pPr>
              <w:pStyle w:val="TableContents"/>
              <w:bidi w:val="0"/>
              <w:spacing w:before="0" w:after="0"/>
              <w:jc w:val="both"/>
              <w:rPr/>
            </w:pPr>
            <w:r>
              <w:rPr/>
              <w:t xml:space="preserve">The Company agrees to pay or cause to be paid to the Employee during the term of this Agreement a gross salary of </w:t>
            </w:r>
            <w:r>
              <w:rPr>
                <w:b/>
              </w:rPr>
              <w:t xml:space="preserve">91,000 </w:t>
            </w:r>
            <w:r>
              <w:rPr/>
              <w:t>NIS per month (the “</w:t>
            </w:r>
            <w:r>
              <w:rPr>
                <w:b/>
              </w:rPr>
              <w:t>Base Salary</w:t>
            </w:r>
            <w:r>
              <w:rPr/>
              <w:t>”). Because the Employee may be required to work outside of regular working hours and outside of regular working days as stated above in Section 2(e), the Company agrees to pay to the Employee during the term of this Agreement a gross payment of 39,000 NIS per month (the “</w:t>
            </w:r>
            <w:r>
              <w:rPr>
                <w:b/>
              </w:rPr>
              <w:t>Overtime Payment</w:t>
            </w:r>
            <w:r>
              <w:rPr/>
              <w:t>”) on account of all such hours. The Base Salary and the Overtime Payment together shall constitute the “</w:t>
            </w:r>
            <w:r>
              <w:rPr>
                <w:b/>
              </w:rPr>
              <w:t>Salary</w:t>
            </w:r>
            <w:r>
              <w:rPr/>
              <w:t>” for purposes of this Agreement. The Salary shall be payable monthly in arrears. The salary will be reduced by 10% until the Company reaches profitability, similar to other executives.</w:t>
            </w:r>
          </w:p>
        </w:tc>
      </w:tr>
    </w:tbl>
    <w:p>
      <w:pPr>
        <w:pStyle w:val="TextBody"/>
        <w:bidi w:val="0"/>
        <w:spacing w:lineRule="auto" w:line="300" w:before="0" w:after="0"/>
        <w:jc w:val="left"/>
        <w:rPr/>
      </w:pPr>
      <w:r>
        <w:rPr/>
      </w:r>
    </w:p>
    <w:p>
      <w:pPr>
        <w:pStyle w:val="Normal"/>
        <w:bidi w:val="0"/>
        <w:spacing w:before="0" w:after="0"/>
        <w:jc w:val="left"/>
        <w:rPr>
          <w:sz w:val="4"/>
          <w:szCs w:val="4"/>
        </w:rPr>
      </w:pPr>
      <w:r>
        <w:rPr>
          <w:sz w:val="4"/>
          <w:szCs w:val="4"/>
        </w:rPr>
      </w:r>
      <w:bookmarkStart w:id="50" w:name="z2a389eff5ad0495dbb11d652c41750c9"/>
      <w:bookmarkStart w:id="51" w:name="z2a389eff5ad0495dbb11d652c41750c9"/>
      <w:bookmarkEnd w:id="51"/>
    </w:p>
    <w:tbl>
      <w:tblPr>
        <w:tblW w:w="10205" w:type="dxa"/>
        <w:jc w:val="left"/>
        <w:tblInd w:w="0" w:type="dxa"/>
        <w:tblLayout w:type="fixed"/>
        <w:tblCellMar>
          <w:top w:w="0" w:type="dxa"/>
          <w:left w:w="0" w:type="dxa"/>
          <w:bottom w:w="0" w:type="dxa"/>
          <w:right w:w="0" w:type="dxa"/>
        </w:tblCellMar>
      </w:tblPr>
      <w:tblGrid>
        <w:gridCol w:w="38"/>
        <w:gridCol w:w="230"/>
        <w:gridCol w:w="9937"/>
      </w:tblGrid>
      <w:tr>
        <w:trPr/>
        <w:tc>
          <w:tcPr>
            <w:tcW w:w="38" w:type="dxa"/>
            <w:tcBorders/>
            <w:vAlign w:val="center"/>
          </w:tcPr>
          <w:p>
            <w:pPr>
              <w:pStyle w:val="TableContents"/>
              <w:bidi w:val="0"/>
              <w:spacing w:before="0" w:after="283"/>
              <w:jc w:val="left"/>
              <w:rPr/>
            </w:pPr>
            <w:r>
              <w:rPr/>
            </w:r>
          </w:p>
        </w:tc>
        <w:tc>
          <w:tcPr>
            <w:tcW w:w="230" w:type="dxa"/>
            <w:tcBorders/>
            <w:vAlign w:val="center"/>
          </w:tcPr>
          <w:p>
            <w:pPr>
              <w:pStyle w:val="TableContents"/>
              <w:bidi w:val="0"/>
              <w:spacing w:before="0" w:after="283"/>
              <w:jc w:val="left"/>
              <w:rPr/>
            </w:pPr>
            <w:r>
              <w:rPr/>
              <w:t>II.</w:t>
            </w:r>
          </w:p>
        </w:tc>
        <w:tc>
          <w:tcPr>
            <w:tcW w:w="9937" w:type="dxa"/>
            <w:tcBorders/>
            <w:vAlign w:val="center"/>
          </w:tcPr>
          <w:p>
            <w:pPr>
              <w:pStyle w:val="TableContents"/>
              <w:bidi w:val="0"/>
              <w:spacing w:before="0" w:after="0"/>
              <w:jc w:val="both"/>
              <w:rPr/>
            </w:pPr>
            <w:r>
              <w:rPr/>
              <w:t>In addition, so long as the Employee does not lease a motor vehicle from the Company, the Employee shall be entitled to an additional NIS 700 per month to cover Employee's transportation costs. For avoidance of doubt the transportation cost shall not be considered as part of the Employee’s Salary for purpose of calculation of social benefits.</w:t>
            </w:r>
          </w:p>
        </w:tc>
      </w:tr>
    </w:tbl>
    <w:p>
      <w:pPr>
        <w:pStyle w:val="TextBody"/>
        <w:bidi w:val="0"/>
        <w:spacing w:lineRule="auto" w:line="300" w:before="0" w:after="0"/>
        <w:jc w:val="left"/>
        <w:rPr/>
      </w:pPr>
      <w:r>
        <w:rPr/>
      </w:r>
    </w:p>
    <w:p>
      <w:pPr>
        <w:pStyle w:val="Normal"/>
        <w:bidi w:val="0"/>
        <w:spacing w:before="0" w:after="0"/>
        <w:jc w:val="left"/>
        <w:rPr>
          <w:sz w:val="4"/>
          <w:szCs w:val="4"/>
        </w:rPr>
      </w:pPr>
      <w:r>
        <w:rPr>
          <w:sz w:val="4"/>
          <w:szCs w:val="4"/>
        </w:rPr>
      </w:r>
      <w:bookmarkStart w:id="52" w:name="ze9ecff8c2be2461d904d294d1fbc7bc8"/>
      <w:bookmarkStart w:id="53" w:name="ze9ecff8c2be2461d904d294d1fbc7bc8"/>
      <w:bookmarkEnd w:id="53"/>
    </w:p>
    <w:tbl>
      <w:tblPr>
        <w:tblW w:w="10205" w:type="dxa"/>
        <w:jc w:val="left"/>
        <w:tblInd w:w="0" w:type="dxa"/>
        <w:tblLayout w:type="fixed"/>
        <w:tblCellMar>
          <w:top w:w="0" w:type="dxa"/>
          <w:left w:w="0" w:type="dxa"/>
          <w:bottom w:w="0" w:type="dxa"/>
          <w:right w:w="0" w:type="dxa"/>
        </w:tblCellMar>
      </w:tblPr>
      <w:tblGrid>
        <w:gridCol w:w="38"/>
        <w:gridCol w:w="305"/>
        <w:gridCol w:w="9862"/>
      </w:tblGrid>
      <w:tr>
        <w:trPr/>
        <w:tc>
          <w:tcPr>
            <w:tcW w:w="38" w:type="dxa"/>
            <w:tcBorders/>
            <w:vAlign w:val="center"/>
          </w:tcPr>
          <w:p>
            <w:pPr>
              <w:pStyle w:val="TableContents"/>
              <w:bidi w:val="0"/>
              <w:spacing w:before="0" w:after="283"/>
              <w:jc w:val="left"/>
              <w:rPr/>
            </w:pPr>
            <w:r>
              <w:rPr/>
            </w:r>
          </w:p>
        </w:tc>
        <w:tc>
          <w:tcPr>
            <w:tcW w:w="305" w:type="dxa"/>
            <w:tcBorders/>
            <w:vAlign w:val="center"/>
          </w:tcPr>
          <w:p>
            <w:pPr>
              <w:pStyle w:val="TableContents"/>
              <w:bidi w:val="0"/>
              <w:spacing w:before="0" w:after="283"/>
              <w:jc w:val="left"/>
              <w:rPr/>
            </w:pPr>
            <w:r>
              <w:rPr/>
              <w:t>III.</w:t>
            </w:r>
          </w:p>
        </w:tc>
        <w:tc>
          <w:tcPr>
            <w:tcW w:w="9862" w:type="dxa"/>
            <w:tcBorders/>
            <w:vAlign w:val="center"/>
          </w:tcPr>
          <w:p>
            <w:pPr>
              <w:pStyle w:val="TableContents"/>
              <w:bidi w:val="0"/>
              <w:spacing w:lineRule="auto" w:line="240" w:before="0" w:after="0"/>
              <w:jc w:val="both"/>
              <w:rPr/>
            </w:pPr>
            <w:r>
              <w:rPr/>
              <w:t>The Salary will be paid no later than the 9th day of each month, one month in arrears, after deduction of any and all taxes and charges applicable to Employee as may be in effect or which may hereafter be enacted or required by law. Employee shall notify the Company of any change which may affect Employee’s tax liability.</w:t>
            </w:r>
          </w:p>
        </w:tc>
      </w:tr>
    </w:tbl>
    <w:p>
      <w:pPr>
        <w:pStyle w:val="HorizontalLine"/>
        <w:pBdr>
          <w:bottom w:val="single" w:sz="12" w:space="0" w:color="808080"/>
        </w:pBdr>
        <w:bidi w:val="0"/>
        <w:spacing w:before="200" w:after="200"/>
        <w:jc w:val="left"/>
        <w:rPr/>
      </w:pPr>
      <w:r>
        <w:rPr/>
      </w:r>
    </w:p>
    <w:p>
      <w:pPr>
        <w:pStyle w:val="Normal"/>
        <w:bidi w:val="0"/>
        <w:spacing w:before="0" w:after="0"/>
        <w:jc w:val="left"/>
        <w:rPr>
          <w:sz w:val="4"/>
          <w:szCs w:val="4"/>
        </w:rPr>
      </w:pPr>
      <w:r>
        <w:rPr>
          <w:sz w:val="4"/>
          <w:szCs w:val="4"/>
        </w:rPr>
      </w:r>
      <w:bookmarkStart w:id="54" w:name="z4097bf12ff0e411aa3cf8cc912be757c"/>
      <w:bookmarkStart w:id="55" w:name="z4097bf12ff0e411aa3cf8cc912be757c"/>
      <w:bookmarkEnd w:id="55"/>
    </w:p>
    <w:tbl>
      <w:tblPr>
        <w:tblW w:w="2148" w:type="dxa"/>
        <w:jc w:val="left"/>
        <w:tblInd w:w="0" w:type="dxa"/>
        <w:tblLayout w:type="fixed"/>
        <w:tblCellMar>
          <w:top w:w="0" w:type="dxa"/>
          <w:left w:w="0" w:type="dxa"/>
          <w:bottom w:w="0" w:type="dxa"/>
          <w:right w:w="0" w:type="dxa"/>
        </w:tblCellMar>
      </w:tblPr>
      <w:tblGrid>
        <w:gridCol w:w="38"/>
        <w:gridCol w:w="200"/>
        <w:gridCol w:w="1910"/>
      </w:tblGrid>
      <w:tr>
        <w:trPr/>
        <w:tc>
          <w:tcPr>
            <w:tcW w:w="38" w:type="dxa"/>
            <w:tcBorders/>
            <w:vAlign w:val="center"/>
          </w:tcPr>
          <w:p>
            <w:pPr>
              <w:pStyle w:val="TableContents"/>
              <w:bidi w:val="0"/>
              <w:spacing w:before="0" w:after="283"/>
              <w:jc w:val="left"/>
              <w:rPr/>
            </w:pPr>
            <w:r>
              <w:rPr/>
            </w:r>
          </w:p>
        </w:tc>
        <w:tc>
          <w:tcPr>
            <w:tcW w:w="200" w:type="dxa"/>
            <w:tcBorders/>
            <w:vAlign w:val="center"/>
          </w:tcPr>
          <w:p>
            <w:pPr>
              <w:pStyle w:val="TableContents"/>
              <w:bidi w:val="0"/>
              <w:spacing w:before="0" w:after="283"/>
              <w:jc w:val="left"/>
              <w:rPr>
                <w:b/>
              </w:rPr>
            </w:pPr>
            <w:r>
              <w:rPr>
                <w:b/>
              </w:rPr>
              <w:t>5.</w:t>
            </w:r>
          </w:p>
        </w:tc>
        <w:tc>
          <w:tcPr>
            <w:tcW w:w="1910" w:type="dxa"/>
            <w:tcBorders/>
            <w:vAlign w:val="center"/>
          </w:tcPr>
          <w:p>
            <w:pPr>
              <w:pStyle w:val="TableContents"/>
              <w:bidi w:val="0"/>
              <w:spacing w:before="0" w:after="0"/>
              <w:jc w:val="left"/>
              <w:rPr>
                <w:b/>
                <w:u w:val="single"/>
              </w:rPr>
            </w:pPr>
            <w:r>
              <w:rPr>
                <w:b/>
                <w:u w:val="single"/>
              </w:rPr>
              <w:t>Employee Benefits</w:t>
            </w:r>
          </w:p>
        </w:tc>
      </w:tr>
    </w:tbl>
    <w:p>
      <w:pPr>
        <w:pStyle w:val="TextBody"/>
        <w:bidi w:val="0"/>
        <w:spacing w:lineRule="auto" w:line="300" w:before="0" w:after="0"/>
        <w:jc w:val="left"/>
        <w:rPr>
          <w:color w:val="000000"/>
        </w:rPr>
      </w:pPr>
      <w:r>
        <w:rPr>
          <w:color w:val="000000"/>
        </w:rPr>
        <w:t> </w:t>
      </w:r>
    </w:p>
    <w:p>
      <w:pPr>
        <w:pStyle w:val="Normal"/>
        <w:bidi w:val="0"/>
        <w:spacing w:before="0" w:after="0"/>
        <w:jc w:val="left"/>
        <w:rPr>
          <w:sz w:val="4"/>
          <w:szCs w:val="4"/>
        </w:rPr>
      </w:pPr>
      <w:r>
        <w:rPr>
          <w:sz w:val="4"/>
          <w:szCs w:val="4"/>
        </w:rPr>
      </w:r>
      <w:bookmarkStart w:id="56" w:name="z0f7a5a4abc3d4ff7b484c8516727a588"/>
      <w:bookmarkStart w:id="57" w:name="z0f7a5a4abc3d4ff7b484c8516727a588"/>
      <w:bookmarkEnd w:id="57"/>
    </w:p>
    <w:tbl>
      <w:tblPr>
        <w:tblW w:w="7353" w:type="dxa"/>
        <w:jc w:val="left"/>
        <w:tblInd w:w="0" w:type="dxa"/>
        <w:tblLayout w:type="fixed"/>
        <w:tblCellMar>
          <w:top w:w="0" w:type="dxa"/>
          <w:left w:w="0" w:type="dxa"/>
          <w:bottom w:w="0" w:type="dxa"/>
          <w:right w:w="0" w:type="dxa"/>
        </w:tblCellMar>
      </w:tblPr>
      <w:tblGrid>
        <w:gridCol w:w="38"/>
        <w:gridCol w:w="155"/>
        <w:gridCol w:w="7160"/>
      </w:tblGrid>
      <w:tr>
        <w:trPr/>
        <w:tc>
          <w:tcPr>
            <w:tcW w:w="38" w:type="dxa"/>
            <w:tcBorders/>
            <w:vAlign w:val="center"/>
          </w:tcPr>
          <w:p>
            <w:pPr>
              <w:pStyle w:val="TableContents"/>
              <w:bidi w:val="0"/>
              <w:spacing w:before="0" w:after="283"/>
              <w:jc w:val="left"/>
              <w:rPr/>
            </w:pPr>
            <w:r>
              <w:rPr/>
            </w:r>
          </w:p>
        </w:tc>
        <w:tc>
          <w:tcPr>
            <w:tcW w:w="155" w:type="dxa"/>
            <w:tcBorders/>
            <w:vAlign w:val="center"/>
          </w:tcPr>
          <w:p>
            <w:pPr>
              <w:pStyle w:val="TableContents"/>
              <w:bidi w:val="0"/>
              <w:spacing w:before="0" w:after="283"/>
              <w:jc w:val="left"/>
              <w:rPr/>
            </w:pPr>
            <w:r>
              <w:rPr/>
              <w:t>I.</w:t>
            </w:r>
          </w:p>
        </w:tc>
        <w:tc>
          <w:tcPr>
            <w:tcW w:w="7160" w:type="dxa"/>
            <w:tcBorders/>
            <w:vAlign w:val="center"/>
          </w:tcPr>
          <w:p>
            <w:pPr>
              <w:pStyle w:val="TableContents"/>
              <w:bidi w:val="0"/>
              <w:spacing w:before="0" w:after="0"/>
              <w:jc w:val="left"/>
              <w:rPr/>
            </w:pPr>
            <w:r>
              <w:rPr/>
              <w:t>The Employee shall be entitled to the following benefits per applicable law.</w:t>
            </w:r>
          </w:p>
        </w:tc>
      </w:tr>
    </w:tbl>
    <w:p>
      <w:pPr>
        <w:pStyle w:val="TextBody"/>
        <w:bidi w:val="0"/>
        <w:spacing w:lineRule="auto" w:line="300" w:before="0" w:after="0"/>
        <w:jc w:val="left"/>
        <w:rPr/>
      </w:pPr>
      <w:r>
        <w:rPr/>
      </w:r>
    </w:p>
    <w:p>
      <w:pPr>
        <w:pStyle w:val="TextBody"/>
        <w:bidi w:val="0"/>
        <w:spacing w:lineRule="auto" w:line="300" w:before="0" w:after="0"/>
        <w:ind w:left="720" w:right="356" w:firstLine="1132"/>
        <w:jc w:val="both"/>
        <w:rPr>
          <w:rFonts w:ascii="Times New Roman;Times;serif" w:hAnsi="Times New Roman;Times;serif"/>
          <w:color w:val="000000"/>
          <w:sz w:val="20"/>
        </w:rPr>
      </w:pPr>
      <w:r>
        <w:rPr>
          <w:rFonts w:ascii="Times New Roman;Times;serif" w:hAnsi="Times New Roman;Times;serif"/>
          <w:color w:val="000000"/>
          <w:sz w:val="20"/>
        </w:rPr>
        <w:t xml:space="preserve">(i)     </w:t>
      </w:r>
      <w:r>
        <w:rPr>
          <w:rFonts w:ascii="Times New Roman;Times;serif" w:hAnsi="Times New Roman;Times;serif"/>
          <w:color w:val="000000"/>
          <w:sz w:val="20"/>
          <w:u w:val="single"/>
        </w:rPr>
        <w:t>Pension Plan</w:t>
      </w:r>
      <w:r>
        <w:rPr>
          <w:rFonts w:ascii="Times New Roman;Times;serif" w:hAnsi="Times New Roman;Times;serif"/>
          <w:color w:val="000000"/>
          <w:sz w:val="20"/>
        </w:rPr>
        <w:t>. The Company will allocate to a managers' insurance policy or a pension fund (individually and collectively in this clause referred to as the “</w:t>
      </w:r>
      <w:r>
        <w:rPr>
          <w:rFonts w:ascii="Times New Roman;Times;serif" w:hAnsi="Times New Roman;Times;serif"/>
          <w:b/>
          <w:color w:val="000000"/>
          <w:sz w:val="20"/>
        </w:rPr>
        <w:t>Policy</w:t>
      </w:r>
      <w:r>
        <w:rPr>
          <w:rFonts w:ascii="Times New Roman;Times;serif" w:hAnsi="Times New Roman;Times;serif"/>
          <w:color w:val="000000"/>
          <w:sz w:val="20"/>
        </w:rPr>
        <w:t>”), or a combination of both (whereby each will apply partially), the following:</w:t>
      </w:r>
    </w:p>
    <w:p>
      <w:pPr>
        <w:pStyle w:val="TextBody"/>
        <w:bidi w:val="0"/>
        <w:spacing w:lineRule="auto" w:line="300" w:before="0" w:after="0"/>
        <w:jc w:val="left"/>
        <w:rPr>
          <w:color w:val="000000"/>
        </w:rPr>
      </w:pPr>
      <w:r>
        <w:rPr>
          <w:color w:val="000000"/>
        </w:rPr>
        <w:t> </w:t>
      </w:r>
    </w:p>
    <w:p>
      <w:pPr>
        <w:pStyle w:val="Normal"/>
        <w:bidi w:val="0"/>
        <w:spacing w:before="0" w:after="0"/>
        <w:jc w:val="left"/>
        <w:rPr>
          <w:sz w:val="4"/>
          <w:szCs w:val="4"/>
        </w:rPr>
      </w:pPr>
      <w:r>
        <w:rPr>
          <w:sz w:val="4"/>
          <w:szCs w:val="4"/>
        </w:rPr>
      </w:r>
      <w:bookmarkStart w:id="58" w:name="z33e3ec4eaa45486cbb994ed5ea9ec4cc"/>
      <w:bookmarkStart w:id="59" w:name="z33e3ec4eaa45486cbb994ed5ea9ec4cc"/>
      <w:bookmarkEnd w:id="59"/>
    </w:p>
    <w:tbl>
      <w:tblPr>
        <w:tblW w:w="4938" w:type="dxa"/>
        <w:jc w:val="left"/>
        <w:tblInd w:w="0" w:type="dxa"/>
        <w:tblLayout w:type="fixed"/>
        <w:tblCellMar>
          <w:top w:w="0" w:type="dxa"/>
          <w:left w:w="0" w:type="dxa"/>
          <w:bottom w:w="0" w:type="dxa"/>
          <w:right w:w="0" w:type="dxa"/>
        </w:tblCellMar>
      </w:tblPr>
      <w:tblGrid>
        <w:gridCol w:w="38"/>
        <w:gridCol w:w="200"/>
        <w:gridCol w:w="4700"/>
      </w:tblGrid>
      <w:tr>
        <w:trPr/>
        <w:tc>
          <w:tcPr>
            <w:tcW w:w="38" w:type="dxa"/>
            <w:tcBorders/>
            <w:vAlign w:val="center"/>
          </w:tcPr>
          <w:p>
            <w:pPr>
              <w:pStyle w:val="TableContents"/>
              <w:bidi w:val="0"/>
              <w:spacing w:before="0" w:after="283"/>
              <w:jc w:val="left"/>
              <w:rPr/>
            </w:pPr>
            <w:r>
              <w:rPr/>
            </w:r>
          </w:p>
        </w:tc>
        <w:tc>
          <w:tcPr>
            <w:tcW w:w="200" w:type="dxa"/>
            <w:tcBorders/>
            <w:vAlign w:val="center"/>
          </w:tcPr>
          <w:p>
            <w:pPr>
              <w:pStyle w:val="TableContents"/>
              <w:bidi w:val="0"/>
              <w:spacing w:before="0" w:after="283"/>
              <w:jc w:val="left"/>
              <w:rPr/>
            </w:pPr>
            <w:r>
              <w:rPr/>
              <w:t>1.</w:t>
            </w:r>
          </w:p>
        </w:tc>
        <w:tc>
          <w:tcPr>
            <w:tcW w:w="4700" w:type="dxa"/>
            <w:tcBorders/>
            <w:vAlign w:val="center"/>
          </w:tcPr>
          <w:p>
            <w:pPr>
              <w:pStyle w:val="TableContents"/>
              <w:bidi w:val="0"/>
              <w:spacing w:before="0" w:after="0"/>
              <w:jc w:val="both"/>
              <w:rPr/>
            </w:pPr>
            <w:r>
              <w:rPr/>
              <w:t>In the event the Employee selects a pension fund:</w:t>
            </w:r>
          </w:p>
        </w:tc>
      </w:tr>
    </w:tbl>
    <w:p>
      <w:pPr>
        <w:pStyle w:val="TextBody"/>
        <w:bidi w:val="0"/>
        <w:spacing w:lineRule="auto" w:line="300" w:before="0" w:after="0"/>
        <w:jc w:val="left"/>
        <w:rPr>
          <w:color w:val="000000"/>
        </w:rPr>
      </w:pPr>
      <w:r>
        <w:rPr>
          <w:color w:val="000000"/>
        </w:rPr>
        <w:t> </w:t>
      </w:r>
    </w:p>
    <w:p>
      <w:pPr>
        <w:pStyle w:val="Normal"/>
        <w:bidi w:val="0"/>
        <w:spacing w:before="0" w:after="0"/>
        <w:jc w:val="left"/>
        <w:rPr>
          <w:sz w:val="4"/>
          <w:szCs w:val="4"/>
        </w:rPr>
      </w:pPr>
      <w:r>
        <w:rPr>
          <w:sz w:val="4"/>
          <w:szCs w:val="4"/>
        </w:rPr>
      </w:r>
      <w:bookmarkStart w:id="60" w:name="z491a6b804fc0436e912f69a6cfa6178b"/>
      <w:bookmarkStart w:id="61" w:name="z491a6b804fc0436e912f69a6cfa6178b"/>
      <w:bookmarkEnd w:id="61"/>
    </w:p>
    <w:tbl>
      <w:tblPr>
        <w:tblW w:w="9003" w:type="dxa"/>
        <w:jc w:val="left"/>
        <w:tblInd w:w="0" w:type="dxa"/>
        <w:tblLayout w:type="fixed"/>
        <w:tblCellMar>
          <w:top w:w="0" w:type="dxa"/>
          <w:left w:w="0" w:type="dxa"/>
          <w:bottom w:w="0" w:type="dxa"/>
          <w:right w:w="0" w:type="dxa"/>
        </w:tblCellMar>
      </w:tblPr>
      <w:tblGrid>
        <w:gridCol w:w="38"/>
        <w:gridCol w:w="110"/>
        <w:gridCol w:w="8855"/>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8855" w:type="dxa"/>
            <w:tcBorders/>
            <w:vAlign w:val="center"/>
          </w:tcPr>
          <w:p>
            <w:pPr>
              <w:pStyle w:val="TableContents"/>
              <w:bidi w:val="0"/>
              <w:spacing w:before="0" w:after="0"/>
              <w:jc w:val="left"/>
              <w:rPr/>
            </w:pPr>
            <w:r>
              <w:rPr/>
              <w:t>An amount equal to 8.33% of the Salary which shall be allocated to a fund for severance pay.</w:t>
            </w:r>
          </w:p>
        </w:tc>
      </w:tr>
    </w:tbl>
    <w:p>
      <w:pPr>
        <w:pStyle w:val="TextBody"/>
        <w:bidi w:val="0"/>
        <w:spacing w:lineRule="auto" w:line="300" w:before="0" w:after="0"/>
        <w:jc w:val="left"/>
        <w:rPr>
          <w:color w:val="000000"/>
        </w:rPr>
      </w:pPr>
      <w:r>
        <w:rPr>
          <w:color w:val="000000"/>
        </w:rPr>
        <w:t> </w:t>
      </w:r>
    </w:p>
    <w:p>
      <w:pPr>
        <w:pStyle w:val="Normal"/>
        <w:bidi w:val="0"/>
        <w:spacing w:before="0" w:after="0"/>
        <w:jc w:val="left"/>
        <w:rPr>
          <w:sz w:val="4"/>
          <w:szCs w:val="4"/>
        </w:rPr>
      </w:pPr>
      <w:r>
        <w:rPr>
          <w:sz w:val="4"/>
          <w:szCs w:val="4"/>
        </w:rPr>
      </w:r>
      <w:bookmarkStart w:id="62" w:name="zbe3e8f56973d4529973cb49f54e65813"/>
      <w:bookmarkStart w:id="63" w:name="zbe3e8f56973d4529973cb49f54e65813"/>
      <w:bookmarkEnd w:id="63"/>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pPr>
            <w:r>
              <w:rPr/>
              <w:t>The Company shall pay into the pension fund an additional amount equal to 6.5% of the Salary which shall be allocated to a provident fund including disability insurance (so long as such insurance can reasonably be obtained) and life/survivors insurance.</w:t>
            </w:r>
          </w:p>
        </w:tc>
      </w:tr>
    </w:tbl>
    <w:p>
      <w:pPr>
        <w:pStyle w:val="TextBody"/>
        <w:bidi w:val="0"/>
        <w:spacing w:lineRule="auto" w:line="300" w:before="0" w:after="0"/>
        <w:jc w:val="left"/>
        <w:rPr>
          <w:color w:val="000000"/>
        </w:rPr>
      </w:pPr>
      <w:r>
        <w:rPr>
          <w:color w:val="000000"/>
        </w:rPr>
        <w:t> </w:t>
      </w:r>
    </w:p>
    <w:p>
      <w:pPr>
        <w:pStyle w:val="Normal"/>
        <w:bidi w:val="0"/>
        <w:spacing w:before="0" w:after="0"/>
        <w:jc w:val="left"/>
        <w:rPr>
          <w:sz w:val="4"/>
          <w:szCs w:val="4"/>
        </w:rPr>
      </w:pPr>
      <w:r>
        <w:rPr>
          <w:sz w:val="4"/>
          <w:szCs w:val="4"/>
        </w:rPr>
      </w:r>
      <w:bookmarkStart w:id="64" w:name="z21052e87cb4043909a6073005b0f5914"/>
      <w:bookmarkStart w:id="65" w:name="z21052e87cb4043909a6073005b0f5914"/>
      <w:bookmarkEnd w:id="65"/>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pPr>
            <w:r>
              <w:rPr/>
              <w:t>In addition, the Company will deduct from the Salary an amount equal to 6% of the Salary, which shall constitute Employee's contribution to the provident fund.</w:t>
            </w:r>
          </w:p>
        </w:tc>
      </w:tr>
    </w:tbl>
    <w:p>
      <w:pPr>
        <w:pStyle w:val="TextBody"/>
        <w:bidi w:val="0"/>
        <w:spacing w:lineRule="auto" w:line="300" w:before="0" w:after="0"/>
        <w:jc w:val="left"/>
        <w:rPr>
          <w:color w:val="000000"/>
        </w:rPr>
      </w:pPr>
      <w:r>
        <w:rPr>
          <w:color w:val="000000"/>
        </w:rPr>
        <w:t> </w:t>
      </w:r>
    </w:p>
    <w:p>
      <w:pPr>
        <w:pStyle w:val="Normal"/>
        <w:bidi w:val="0"/>
        <w:spacing w:before="0" w:after="0"/>
        <w:jc w:val="left"/>
        <w:rPr>
          <w:sz w:val="4"/>
          <w:szCs w:val="4"/>
        </w:rPr>
      </w:pPr>
      <w:r>
        <w:rPr>
          <w:sz w:val="4"/>
          <w:szCs w:val="4"/>
        </w:rPr>
      </w:r>
      <w:bookmarkStart w:id="66" w:name="zcf553fdda8cf4c0e97cc7ea6e6c5ae1f"/>
      <w:bookmarkStart w:id="67" w:name="zcf553fdda8cf4c0e97cc7ea6e6c5ae1f"/>
      <w:bookmarkEnd w:id="67"/>
    </w:p>
    <w:tbl>
      <w:tblPr>
        <w:tblW w:w="6273" w:type="dxa"/>
        <w:jc w:val="left"/>
        <w:tblInd w:w="0" w:type="dxa"/>
        <w:tblLayout w:type="fixed"/>
        <w:tblCellMar>
          <w:top w:w="0" w:type="dxa"/>
          <w:left w:w="0" w:type="dxa"/>
          <w:bottom w:w="0" w:type="dxa"/>
          <w:right w:w="0" w:type="dxa"/>
        </w:tblCellMar>
      </w:tblPr>
      <w:tblGrid>
        <w:gridCol w:w="38"/>
        <w:gridCol w:w="200"/>
        <w:gridCol w:w="6035"/>
      </w:tblGrid>
      <w:tr>
        <w:trPr/>
        <w:tc>
          <w:tcPr>
            <w:tcW w:w="38" w:type="dxa"/>
            <w:tcBorders/>
            <w:vAlign w:val="center"/>
          </w:tcPr>
          <w:p>
            <w:pPr>
              <w:pStyle w:val="TableContents"/>
              <w:bidi w:val="0"/>
              <w:spacing w:before="0" w:after="283"/>
              <w:jc w:val="left"/>
              <w:rPr/>
            </w:pPr>
            <w:r>
              <w:rPr/>
            </w:r>
          </w:p>
        </w:tc>
        <w:tc>
          <w:tcPr>
            <w:tcW w:w="200" w:type="dxa"/>
            <w:tcBorders/>
            <w:vAlign w:val="center"/>
          </w:tcPr>
          <w:p>
            <w:pPr>
              <w:pStyle w:val="TableContents"/>
              <w:bidi w:val="0"/>
              <w:spacing w:before="0" w:after="283"/>
              <w:jc w:val="left"/>
              <w:rPr/>
            </w:pPr>
            <w:r>
              <w:rPr/>
              <w:t>2.</w:t>
            </w:r>
          </w:p>
        </w:tc>
        <w:tc>
          <w:tcPr>
            <w:tcW w:w="6035" w:type="dxa"/>
            <w:tcBorders/>
            <w:vAlign w:val="center"/>
          </w:tcPr>
          <w:p>
            <w:pPr>
              <w:pStyle w:val="TableContents"/>
              <w:bidi w:val="0"/>
              <w:spacing w:before="0" w:after="0"/>
              <w:jc w:val="both"/>
              <w:rPr/>
            </w:pPr>
            <w:r>
              <w:rPr/>
              <w:t>In case the Employee will choose a managers' insurance policy:</w:t>
            </w:r>
          </w:p>
        </w:tc>
      </w:tr>
    </w:tbl>
    <w:p>
      <w:pPr>
        <w:pStyle w:val="TextBody"/>
        <w:bidi w:val="0"/>
        <w:spacing w:lineRule="auto" w:line="300" w:before="0" w:after="0"/>
        <w:jc w:val="left"/>
        <w:rPr>
          <w:color w:val="000000"/>
        </w:rPr>
      </w:pPr>
      <w:r>
        <w:rPr>
          <w:color w:val="000000"/>
        </w:rPr>
        <w:t> </w:t>
      </w:r>
    </w:p>
    <w:p>
      <w:pPr>
        <w:pStyle w:val="Normal"/>
        <w:bidi w:val="0"/>
        <w:spacing w:before="0" w:after="0"/>
        <w:jc w:val="left"/>
        <w:rPr>
          <w:sz w:val="4"/>
          <w:szCs w:val="4"/>
        </w:rPr>
      </w:pPr>
      <w:r>
        <w:rPr>
          <w:sz w:val="4"/>
          <w:szCs w:val="4"/>
        </w:rPr>
      </w:r>
      <w:bookmarkStart w:id="68" w:name="z44cb757955da45b7854c4697237aa1b9"/>
      <w:bookmarkStart w:id="69" w:name="z44cb757955da45b7854c4697237aa1b9"/>
      <w:bookmarkEnd w:id="69"/>
    </w:p>
    <w:tbl>
      <w:tblPr>
        <w:tblW w:w="9003" w:type="dxa"/>
        <w:jc w:val="left"/>
        <w:tblInd w:w="0" w:type="dxa"/>
        <w:tblLayout w:type="fixed"/>
        <w:tblCellMar>
          <w:top w:w="0" w:type="dxa"/>
          <w:left w:w="0" w:type="dxa"/>
          <w:bottom w:w="0" w:type="dxa"/>
          <w:right w:w="0" w:type="dxa"/>
        </w:tblCellMar>
      </w:tblPr>
      <w:tblGrid>
        <w:gridCol w:w="38"/>
        <w:gridCol w:w="110"/>
        <w:gridCol w:w="8855"/>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8855" w:type="dxa"/>
            <w:tcBorders/>
            <w:vAlign w:val="center"/>
          </w:tcPr>
          <w:p>
            <w:pPr>
              <w:pStyle w:val="TableContents"/>
              <w:bidi w:val="0"/>
              <w:spacing w:before="0" w:after="0"/>
              <w:jc w:val="left"/>
              <w:rPr/>
            </w:pPr>
            <w:r>
              <w:rPr/>
              <w:t>An amount equal to 8.33% of the Salary which shall be allocated to a fund for severance pay.</w:t>
            </w:r>
          </w:p>
        </w:tc>
      </w:tr>
    </w:tbl>
    <w:p>
      <w:pPr>
        <w:pStyle w:val="TextBody"/>
        <w:bidi w:val="0"/>
        <w:spacing w:lineRule="auto" w:line="300" w:before="0" w:after="0"/>
        <w:jc w:val="left"/>
        <w:rPr>
          <w:color w:val="000000"/>
        </w:rPr>
      </w:pPr>
      <w:r>
        <w:rPr>
          <w:color w:val="000000"/>
        </w:rPr>
        <w:t> </w:t>
      </w:r>
    </w:p>
    <w:p>
      <w:pPr>
        <w:pStyle w:val="Normal"/>
        <w:bidi w:val="0"/>
        <w:spacing w:before="0" w:after="0"/>
        <w:jc w:val="left"/>
        <w:rPr>
          <w:sz w:val="4"/>
          <w:szCs w:val="4"/>
        </w:rPr>
      </w:pPr>
      <w:r>
        <w:rPr>
          <w:sz w:val="4"/>
          <w:szCs w:val="4"/>
        </w:rPr>
      </w:r>
      <w:bookmarkStart w:id="70" w:name="z111541c0587c4481bbca4c9a1fd26c04"/>
      <w:bookmarkStart w:id="71" w:name="z111541c0587c4481bbca4c9a1fd26c04"/>
      <w:bookmarkEnd w:id="71"/>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pPr>
            <w:r>
              <w:rPr/>
              <w:t>The Company shall pay into the manager’s insurance policy an amount equal to 6.5% of the Salary for the employer's share of the payment for benefits (Tagmulim) under the manager’s insurance policy. Such contribution includes contribution to a disability insurance policy on the Employee's behalf which would insure 75% of the Salary. To the extent necessary, such amount shall be increased to a total maximum of 7.5% of the Salary if such increase is required for purchasing an insurance premium insuring 75% of the Salary. At any rate, the portion of the Company’s contributions towards pension will not be less than 5%</w:t>
            </w:r>
          </w:p>
        </w:tc>
      </w:tr>
    </w:tbl>
    <w:p>
      <w:pPr>
        <w:pStyle w:val="TextBody"/>
        <w:bidi w:val="0"/>
        <w:spacing w:lineRule="auto" w:line="300" w:before="0" w:after="0"/>
        <w:jc w:val="left"/>
        <w:rPr>
          <w:color w:val="000000"/>
        </w:rPr>
      </w:pPr>
      <w:r>
        <w:rPr>
          <w:color w:val="000000"/>
        </w:rPr>
        <w:t> </w:t>
      </w:r>
    </w:p>
    <w:p>
      <w:pPr>
        <w:pStyle w:val="Normal"/>
        <w:bidi w:val="0"/>
        <w:spacing w:before="0" w:after="0"/>
        <w:jc w:val="left"/>
        <w:rPr>
          <w:sz w:val="4"/>
          <w:szCs w:val="4"/>
        </w:rPr>
      </w:pPr>
      <w:r>
        <w:rPr>
          <w:sz w:val="4"/>
          <w:szCs w:val="4"/>
        </w:rPr>
      </w:r>
      <w:bookmarkStart w:id="72" w:name="z0db79ee0ca68478599d66f5e1b329b3f"/>
      <w:bookmarkStart w:id="73" w:name="z0db79ee0ca68478599d66f5e1b329b3f"/>
      <w:bookmarkEnd w:id="73"/>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pPr>
            <w:r>
              <w:rPr/>
              <w:t>In addition, the Company shall deduct 6% from the Salary on behalf of the Employee and shall transfer such amount to the managers’ insurance policy as the Employee’s share of the payment for benefits (Tagmulim) under the manager’s insurance policy.</w:t>
            </w:r>
          </w:p>
        </w:tc>
      </w:tr>
    </w:tbl>
    <w:p>
      <w:pPr>
        <w:pStyle w:val="TextBody"/>
        <w:bidi w:val="0"/>
        <w:spacing w:lineRule="auto" w:line="300" w:before="0" w:after="0"/>
        <w:jc w:val="left"/>
        <w:rPr/>
      </w:pPr>
      <w:r>
        <w:rPr/>
      </w:r>
    </w:p>
    <w:p>
      <w:pPr>
        <w:pStyle w:val="TextBody"/>
        <w:bidi w:val="0"/>
        <w:spacing w:lineRule="auto" w:line="300" w:before="0" w:after="0"/>
        <w:ind w:left="1853" w:right="353" w:hanging="0"/>
        <w:jc w:val="both"/>
        <w:rPr>
          <w:rFonts w:ascii="Times New Roman;Times;serif" w:hAnsi="Times New Roman;Times;serif"/>
          <w:color w:val="000000"/>
          <w:sz w:val="20"/>
        </w:rPr>
      </w:pPr>
      <w:r>
        <w:rPr>
          <w:rFonts w:ascii="Times New Roman;Times;serif" w:hAnsi="Times New Roman;Times;serif"/>
          <w:color w:val="000000"/>
          <w:sz w:val="20"/>
        </w:rPr>
        <w:t>It is hereby clarified, that the payments by the Company, pursuant to the allocations set forth above, are intended to comply with applicable law, including the obligation to allocate funds for disability and survivors insurance. The Company advises the Employee to receive professional advice on the election of a pension plan. In case the Employee elects to be insured under a plan which does not include disability and survivors insurance component, the Employee hereby releases and discharges the Company from any responsibility or liability arising of such said election.</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1853" w:right="354" w:hanging="0"/>
        <w:jc w:val="both"/>
        <w:rPr>
          <w:rFonts w:ascii="Times New Roman;Times;serif" w:hAnsi="Times New Roman;Times;serif"/>
          <w:color w:val="000000"/>
          <w:sz w:val="20"/>
        </w:rPr>
      </w:pPr>
      <w:r>
        <w:rPr>
          <w:rFonts w:ascii="Times New Roman;Times;serif" w:hAnsi="Times New Roman;Times;serif"/>
          <w:color w:val="000000"/>
          <w:sz w:val="20"/>
        </w:rPr>
        <w:t>If the Employee does not notify the Company of his or her choice of a pension fund or managers insurance policy within 90 days from the Commencement Date, the Company shall make such choice for the Employee based on its own tender and criterion, and the Employee shall not have any claims thereto.</w:t>
      </w:r>
    </w:p>
    <w:p>
      <w:pPr>
        <w:pStyle w:val="HorizontalLine"/>
        <w:pBdr>
          <w:bottom w:val="single" w:sz="12" w:space="0" w:color="808080"/>
        </w:pBdr>
        <w:bidi w:val="0"/>
        <w:spacing w:before="200" w:after="200"/>
        <w:jc w:val="left"/>
        <w:rPr/>
      </w:pPr>
      <w:r>
        <w:rPr/>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1853" w:right="351" w:hanging="0"/>
        <w:jc w:val="both"/>
        <w:rPr>
          <w:rFonts w:ascii="Times New Roman;Times;serif" w:hAnsi="Times New Roman;Times;serif"/>
          <w:color w:val="000000"/>
          <w:sz w:val="20"/>
        </w:rPr>
      </w:pPr>
      <w:r>
        <w:rPr>
          <w:rFonts w:ascii="Times New Roman;Times;serif" w:hAnsi="Times New Roman;Times;serif"/>
          <w:color w:val="000000"/>
          <w:sz w:val="20"/>
        </w:rPr>
        <w:t>The Employee and the Company agree and acknowledge that the Company's severance contribution to the policy in accordance with above, shall, provided contribution is made in full, be instead of severance payment to which the Employee (or his beneficiaries) is entitled with respect to the Salary upon which such contributions were made and for the period in which they were made (the "</w:t>
      </w:r>
      <w:r>
        <w:rPr>
          <w:rFonts w:ascii="Times New Roman;Times;serif" w:hAnsi="Times New Roman;Times;serif"/>
          <w:b/>
          <w:color w:val="000000"/>
          <w:sz w:val="20"/>
        </w:rPr>
        <w:t>Exempt Salary</w:t>
      </w:r>
      <w:r>
        <w:rPr>
          <w:rFonts w:ascii="Times New Roman;Times;serif" w:hAnsi="Times New Roman;Times;serif"/>
          <w:color w:val="000000"/>
          <w:sz w:val="20"/>
        </w:rPr>
        <w:t>"), pursuant to Section 14 of the Severance Pay Law 5723-1963 (the "</w:t>
      </w:r>
      <w:r>
        <w:rPr>
          <w:rFonts w:ascii="Times New Roman;Times;serif" w:hAnsi="Times New Roman;Times;serif"/>
          <w:b/>
          <w:color w:val="000000"/>
          <w:sz w:val="20"/>
        </w:rPr>
        <w:t>Severance Pay Law</w:t>
      </w:r>
      <w:r>
        <w:rPr>
          <w:rFonts w:ascii="Times New Roman;Times;serif" w:hAnsi="Times New Roman;Times;serif"/>
          <w:color w:val="000000"/>
          <w:sz w:val="20"/>
        </w:rPr>
        <w:t xml:space="preserve">"). The parties hereby adopt the General Approval of the Minister of Labor and Welfare, which is attached hereto as </w:t>
      </w:r>
      <w:r>
        <w:rPr>
          <w:rFonts w:ascii="Times New Roman;Times;serif" w:hAnsi="Times New Roman;Times;serif"/>
          <w:color w:val="000000"/>
          <w:sz w:val="20"/>
          <w:u w:val="single"/>
        </w:rPr>
        <w:t>Exhibit C</w:t>
      </w:r>
      <w:r>
        <w:rPr>
          <w:rFonts w:ascii="Times New Roman;Times;serif" w:hAnsi="Times New Roman;Times;serif"/>
          <w:color w:val="000000"/>
          <w:sz w:val="20"/>
        </w:rPr>
        <w:t xml:space="preserve"> The Company hereby forfeits any right it may have in the reimbursement of sums paid by the Company into the Policy or Pension Plan, except: (i) in the event that Employee withdraws such sums from the Policy or Pension Plan, other than in the event of death, disability or retirement at the age of 60 or more; or (ii) upon the occurrence of any of the events provided for in Sections 16 and 17 of the Severance Pay Law. Nothing in this Agreement shall derogate from the Employee's rights to severance payment in accordance with the Severance Pay Law or agreement or expansion order in connection with remuneration other than the Salary.</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720" w:right="353" w:firstLine="1132"/>
        <w:jc w:val="both"/>
        <w:rPr>
          <w:rFonts w:ascii="Times New Roman;Times;serif" w:hAnsi="Times New Roman;Times;serif"/>
          <w:color w:val="000000"/>
          <w:sz w:val="20"/>
        </w:rPr>
      </w:pPr>
      <w:r>
        <w:rPr>
          <w:rFonts w:ascii="Times New Roman;Times;serif" w:hAnsi="Times New Roman;Times;serif"/>
          <w:color w:val="000000"/>
          <w:sz w:val="20"/>
        </w:rPr>
        <w:t>(ii)          </w:t>
      </w:r>
      <w:r>
        <w:rPr>
          <w:rFonts w:ascii="Times New Roman;Times;serif" w:hAnsi="Times New Roman;Times;serif"/>
          <w:color w:val="000000"/>
          <w:sz w:val="20"/>
          <w:u w:val="single"/>
        </w:rPr>
        <w:t>Sick Leave</w:t>
      </w:r>
      <w:r>
        <w:rPr>
          <w:rFonts w:ascii="Times New Roman;Times;serif" w:hAnsi="Times New Roman;Times;serif"/>
          <w:color w:val="000000"/>
          <w:sz w:val="20"/>
        </w:rPr>
        <w:t xml:space="preserve">. The Employee will be entitled to sick leave as provided by law. However, on </w:t>
      </w:r>
      <w:r>
        <w:rPr>
          <w:rFonts w:ascii="Times New Roman;Times;serif" w:hAnsi="Times New Roman;Times;serif"/>
          <w:i/>
          <w:color w:val="000000"/>
          <w:sz w:val="20"/>
        </w:rPr>
        <w:t xml:space="preserve">ex gratia </w:t>
      </w:r>
      <w:r>
        <w:rPr>
          <w:rFonts w:ascii="Times New Roman;Times;serif" w:hAnsi="Times New Roman;Times;serif"/>
          <w:color w:val="000000"/>
          <w:sz w:val="20"/>
        </w:rPr>
        <w:t>basis, the Employee will be entitled to full payment of Salary from the first day of sickness, unless the Company resolves otherwise, in its sole discretion. Any payment from the disability insurance will be on account of sick leave payment. In any event of leave due to illness, the Employee shall inform the Company as soon as possible of the illness and the estimated time of his absence, and upon his return he shall produce a medical certificate in respect of the entire period of the leave. The right to sick leave shall not be redeemable, whether during or upon or following the end of the Employee’s employment.</w:t>
      </w:r>
    </w:p>
    <w:p>
      <w:pPr>
        <w:pStyle w:val="TextBody"/>
        <w:bidi w:val="0"/>
        <w:spacing w:lineRule="auto" w:line="300" w:before="0" w:after="0"/>
        <w:jc w:val="left"/>
        <w:rPr/>
      </w:pPr>
      <w:r>
        <w:rPr/>
      </w:r>
    </w:p>
    <w:p>
      <w:pPr>
        <w:pStyle w:val="TextBody"/>
        <w:bidi w:val="0"/>
        <w:spacing w:lineRule="auto" w:line="300" w:before="0" w:after="0"/>
        <w:ind w:left="720" w:right="356" w:firstLine="1132"/>
        <w:jc w:val="both"/>
        <w:rPr>
          <w:rFonts w:ascii="Times New Roman;Times;serif" w:hAnsi="Times New Roman;Times;serif"/>
          <w:color w:val="000000"/>
          <w:sz w:val="20"/>
        </w:rPr>
      </w:pPr>
      <w:r>
        <w:rPr>
          <w:rFonts w:ascii="Times New Roman;Times;serif" w:hAnsi="Times New Roman;Times;serif"/>
          <w:color w:val="000000"/>
          <w:sz w:val="20"/>
        </w:rPr>
        <w:t>(iii)          </w:t>
      </w:r>
      <w:r>
        <w:rPr>
          <w:rFonts w:ascii="Times New Roman;Times;serif" w:hAnsi="Times New Roman;Times;serif"/>
          <w:color w:val="000000"/>
          <w:sz w:val="20"/>
          <w:u w:val="single"/>
        </w:rPr>
        <w:t>Annual Recreation Allowance (Dme'i Havra'a)</w:t>
      </w:r>
      <w:r>
        <w:rPr>
          <w:rFonts w:ascii="Times New Roman;Times;serif" w:hAnsi="Times New Roman;Times;serif"/>
          <w:color w:val="000000"/>
          <w:sz w:val="20"/>
        </w:rPr>
        <w:t>. The Employee shall be entitled to annual recreation allowance, according to the applicable directive.</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720" w:right="355" w:firstLine="1132"/>
        <w:jc w:val="both"/>
        <w:rPr>
          <w:rFonts w:ascii="Times New Roman;Times;serif" w:hAnsi="Times New Roman;Times;serif"/>
          <w:color w:val="000000"/>
          <w:sz w:val="20"/>
        </w:rPr>
      </w:pPr>
      <w:r>
        <w:rPr>
          <w:rFonts w:ascii="Times New Roman;Times;serif" w:hAnsi="Times New Roman;Times;serif"/>
          <w:color w:val="000000"/>
          <w:sz w:val="20"/>
        </w:rPr>
        <w:t>(iv)          </w:t>
      </w:r>
      <w:r>
        <w:rPr>
          <w:rFonts w:ascii="Times New Roman;Times;serif" w:hAnsi="Times New Roman;Times;serif"/>
          <w:color w:val="000000"/>
          <w:sz w:val="20"/>
          <w:u w:val="single"/>
        </w:rPr>
        <w:t>Vacation</w:t>
      </w:r>
      <w:r>
        <w:rPr>
          <w:rFonts w:ascii="Times New Roman;Times;serif" w:hAnsi="Times New Roman;Times;serif"/>
          <w:color w:val="000000"/>
          <w:sz w:val="20"/>
        </w:rPr>
        <w:t>. The Employee shall be entitled to an annual vacation per applicable law and in accordance with the Company’s vacation policy, which may be changed by the Company at its sole and absolute discretion from time to time. The dates of vacation will be coordinated between the Employee and the Company, from which at least 5 vacation days must be consecutive.</w:t>
      </w:r>
    </w:p>
    <w:p>
      <w:pPr>
        <w:pStyle w:val="TextBody"/>
        <w:bidi w:val="0"/>
        <w:spacing w:lineRule="auto" w:line="300" w:before="0" w:after="0"/>
        <w:jc w:val="left"/>
        <w:rPr/>
      </w:pPr>
      <w:r>
        <w:rPr/>
      </w:r>
    </w:p>
    <w:p>
      <w:pPr>
        <w:pStyle w:val="TextBody"/>
        <w:bidi w:val="0"/>
        <w:spacing w:lineRule="auto" w:line="300" w:before="0" w:after="0"/>
        <w:ind w:left="720" w:right="355" w:firstLine="1132"/>
        <w:jc w:val="both"/>
        <w:rPr>
          <w:rFonts w:ascii="Times New Roman;Times;serif" w:hAnsi="Times New Roman;Times;serif"/>
          <w:color w:val="000000"/>
          <w:sz w:val="20"/>
        </w:rPr>
      </w:pPr>
      <w:r>
        <w:rPr>
          <w:rFonts w:ascii="Times New Roman;Times;serif" w:hAnsi="Times New Roman;Times;serif"/>
          <w:color w:val="000000"/>
          <w:sz w:val="20"/>
        </w:rPr>
        <w:t>(v)          </w:t>
      </w:r>
      <w:r>
        <w:rPr>
          <w:rFonts w:ascii="Times New Roman;Times;serif" w:hAnsi="Times New Roman;Times;serif"/>
          <w:color w:val="000000"/>
          <w:sz w:val="20"/>
          <w:u w:val="single"/>
        </w:rPr>
        <w:t>Educational Fund (Keren Hishtalmut)</w:t>
      </w:r>
      <w:r>
        <w:rPr>
          <w:rFonts w:ascii="Times New Roman;Times;serif" w:hAnsi="Times New Roman;Times;serif"/>
          <w:color w:val="000000"/>
          <w:sz w:val="20"/>
        </w:rPr>
        <w:t>. The Company will contribute to a recognized educational fund an amount equal to 7.5% of each monthly payment of the Salary up to the limit recognized for tax purposes and will deduct from each monthly payment and contribute to such education fund an additional amount equal to 2.5% of each such month's payment up to the limit recognized for tax purposes.</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720" w:right="356" w:firstLine="1132"/>
        <w:jc w:val="both"/>
        <w:rPr>
          <w:rFonts w:ascii="Times New Roman;Times;serif" w:hAnsi="Times New Roman;Times;serif"/>
          <w:color w:val="000000"/>
          <w:sz w:val="20"/>
        </w:rPr>
      </w:pPr>
      <w:r>
        <w:rPr>
          <w:rFonts w:ascii="Times New Roman;Times;serif" w:hAnsi="Times New Roman;Times;serif"/>
          <w:color w:val="000000"/>
          <w:sz w:val="20"/>
        </w:rPr>
        <w:t>(vi)          </w:t>
      </w:r>
      <w:r>
        <w:rPr>
          <w:rFonts w:ascii="Times New Roman;Times;serif" w:hAnsi="Times New Roman;Times;serif"/>
          <w:color w:val="000000"/>
          <w:sz w:val="20"/>
          <w:u w:val="single"/>
        </w:rPr>
        <w:t>Annual Bonus</w:t>
      </w:r>
      <w:r>
        <w:rPr>
          <w:rFonts w:ascii="Times New Roman;Times;serif" w:hAnsi="Times New Roman;Times;serif"/>
          <w:color w:val="000000"/>
          <w:sz w:val="20"/>
        </w:rPr>
        <w:t>. The Employee shall be eligible to receive an annual target based bonus of 75% annual salary (prorated for the initial year of employment), to be evaluated and paid, if eligible, annually based on achieving business targets and strategic objectives as will be defined by the Company. The performance objectives for such plan will be determined by the Company’s CEO within ninety (90) days of the Effective Date and, for each year thereafter, no later than 30 days before the beginning of the year. The Company shall have sole discretion to determine whether the targets have been achieved and the amount, if any, of any bonus to be paid. To avoid doubt, no disbursements shall be made to manager's insurance or educational fund with respect to any bonus payments, and bonus payments shall not be deemed a portion of the Salary for any purpose, including without limitation, when calculating the Employee’s entitlement to severance pay or other amounts payable upon termination of the Employee’s employment. In order to receive a bonus for any given year, the Employee shall be employed by the Company at the date of payment of the bonus, paid out in April of the year following said measurement.</w:t>
      </w:r>
    </w:p>
    <w:p>
      <w:pPr>
        <w:pStyle w:val="HorizontalLine"/>
        <w:pBdr>
          <w:bottom w:val="single" w:sz="12" w:space="0" w:color="808080"/>
        </w:pBdr>
        <w:bidi w:val="0"/>
        <w:spacing w:before="200" w:after="200"/>
        <w:jc w:val="left"/>
        <w:rPr/>
      </w:pPr>
      <w:r>
        <w:rPr/>
      </w:r>
    </w:p>
    <w:p>
      <w:pPr>
        <w:pStyle w:val="TextBody"/>
        <w:bidi w:val="0"/>
        <w:spacing w:lineRule="auto" w:line="300" w:before="0" w:after="0"/>
        <w:jc w:val="left"/>
        <w:rPr/>
      </w:pPr>
      <w:r>
        <w:rPr/>
      </w:r>
    </w:p>
    <w:p>
      <w:pPr>
        <w:pStyle w:val="TextBody"/>
        <w:bidi w:val="0"/>
        <w:spacing w:lineRule="auto" w:line="300" w:before="0" w:after="0"/>
        <w:ind w:left="720" w:right="353" w:firstLine="1132"/>
        <w:jc w:val="both"/>
        <w:rPr>
          <w:rFonts w:ascii="Times New Roman;Times;serif" w:hAnsi="Times New Roman;Times;serif"/>
          <w:color w:val="000000"/>
          <w:sz w:val="20"/>
        </w:rPr>
      </w:pPr>
      <w:r>
        <w:rPr>
          <w:rFonts w:ascii="Times New Roman;Times;serif" w:hAnsi="Times New Roman;Times;serif"/>
          <w:color w:val="000000"/>
          <w:sz w:val="20"/>
        </w:rPr>
        <w:t>(vii)          </w:t>
      </w:r>
      <w:r>
        <w:rPr>
          <w:rFonts w:ascii="Times New Roman;Times;serif" w:hAnsi="Times New Roman;Times;serif"/>
          <w:color w:val="000000"/>
          <w:sz w:val="20"/>
          <w:u w:val="single"/>
        </w:rPr>
        <w:t>Equity Compensation</w:t>
      </w:r>
      <w:r>
        <w:rPr>
          <w:rFonts w:ascii="Times New Roman;Times;serif" w:hAnsi="Times New Roman;Times;serif"/>
          <w:color w:val="000000"/>
          <w:sz w:val="20"/>
        </w:rPr>
        <w:t xml:space="preserve">. Subject to the approval by the parent Company’s Compensation Committee of the Board of Directors: Employee shall be granted an equity award with respect to $ 700,000 in a restricted stock unit (“RSUs”) and $700,000 in performance stock units (“PSUs”), with an additional overallotment amount of PSUs of up to $700,000, all for shares of common stock of the parent Company pursuant to and upon the terms set forth in the parent Company’s 2015 Global Incentive Plan and form agreement. So long as Employee is employed by the Company, the RSUs award shall vest over four years, with respect to 25% of the underlying RSUs on the one-year anniversary of the vesting start date and with respect to the balance, in twelve equal quarterly installments thereafter. The vesting start date shall occur on the last day of the second month of the calendar quarter following the Commencement Date of the employment. The PSUs shall be per the performance metrics approved for all C level executives, provided that, the Performance Period will be calculated based on the same starting day approved for the C level executives, and the ending of the Performance Period and vesting for all of the PSUs shall be in January 2029, upon the ending of the second Performance Period applicable to the C level executives. </w:t>
      </w:r>
    </w:p>
    <w:p>
      <w:pPr>
        <w:pStyle w:val="TextBody"/>
        <w:bidi w:val="0"/>
        <w:spacing w:lineRule="auto" w:line="300" w:before="0" w:after="0"/>
        <w:jc w:val="left"/>
        <w:rPr/>
      </w:pPr>
      <w:r>
        <w:rPr/>
      </w:r>
    </w:p>
    <w:p>
      <w:pPr>
        <w:pStyle w:val="TextBody"/>
        <w:bidi w:val="0"/>
        <w:spacing w:lineRule="auto" w:line="300" w:before="0" w:after="0"/>
        <w:ind w:left="720" w:right="301" w:firstLine="566"/>
        <w:jc w:val="both"/>
        <w:rPr>
          <w:rFonts w:ascii="Times New Roman;Times;serif" w:hAnsi="Times New Roman;Times;serif"/>
          <w:color w:val="000000"/>
          <w:sz w:val="20"/>
        </w:rPr>
      </w:pPr>
      <w:r>
        <w:rPr>
          <w:rFonts w:ascii="Times New Roman;Times;serif" w:hAnsi="Times New Roman;Times;serif"/>
          <w:color w:val="000000"/>
          <w:sz w:val="20"/>
        </w:rPr>
        <w:t>In the event that any termination of employment pursuant to this Section 5 occurs within twelve months following a Change of Control (as defined below) and is either: (i) by SolarEdge or the Company without Cause or (ii) by Employee for Justifiable Reason (as defined below), Employee will be entitled to receive full acceleration of any unvested equity awards (including shares, restricted stock, restricted stock units and/or stock options, as applicable), held at the time of such termination. For purposes of this Section 5, “Change of Control” shall mean the occurrence of any of the following: (i) a merger or consolidation of SolarEdge or the Company, in which the stockholders of SolarEdge or the Company (as applicable) do not control fifty percent (50%) or more of the total voting power of the surviving entity (other than a mere reincorporation merger); or (ii) the sale, transfer or other dismissal of SolarEdge’s or the Company’s assets in liquidation or dissolution of SolarEdge or the Company or otherwise; or (iii) the sale or transfer of more than fifty percent (50%) of the outstanding voting stock of SolarEdge or the Company (excluding a transaction effected primarily for capital raising purposes). Also for purposes of this Section 5, “Justifiable Reason” shall mean any of the following: (a) any material change in any of the Salary and/or benefits set forth in this Agreement which was not approved by the Employee other than a decrease in Salary to all of the Company’s and/or SolarEdge’s management; (b) demand that the Employee will relocate; or (c) any material demotion in title, position, management duties, or responsibilities.</w:t>
      </w:r>
    </w:p>
    <w:p>
      <w:pPr>
        <w:pStyle w:val="TextBody"/>
        <w:bidi w:val="0"/>
        <w:spacing w:lineRule="auto" w:line="300" w:before="0" w:after="0"/>
        <w:jc w:val="left"/>
        <w:rPr/>
      </w:pPr>
      <w:r>
        <w:rPr/>
      </w:r>
    </w:p>
    <w:p>
      <w:pPr>
        <w:pStyle w:val="TextBody"/>
        <w:bidi w:val="0"/>
        <w:spacing w:lineRule="auto" w:line="300" w:before="0" w:after="0"/>
        <w:ind w:left="720" w:right="353" w:firstLine="1132"/>
        <w:jc w:val="both"/>
        <w:rPr>
          <w:rFonts w:ascii="Times New Roman;Times;serif" w:hAnsi="Times New Roman;Times;serif"/>
          <w:color w:val="000000"/>
          <w:sz w:val="20"/>
        </w:rPr>
      </w:pPr>
      <w:r>
        <w:rPr>
          <w:rFonts w:ascii="Times New Roman;Times;serif" w:hAnsi="Times New Roman;Times;serif"/>
          <w:color w:val="000000"/>
          <w:sz w:val="20"/>
        </w:rPr>
        <w:t>(viii)          </w:t>
      </w:r>
      <w:r>
        <w:rPr>
          <w:rFonts w:ascii="Times New Roman;Times;serif" w:hAnsi="Times New Roman;Times;serif"/>
          <w:color w:val="000000"/>
          <w:sz w:val="20"/>
          <w:u w:val="single"/>
        </w:rPr>
        <w:t>Food Allowance</w:t>
      </w:r>
      <w:r>
        <w:rPr>
          <w:rFonts w:ascii="Times New Roman;Times;serif" w:hAnsi="Times New Roman;Times;serif"/>
          <w:color w:val="000000"/>
          <w:sz w:val="20"/>
        </w:rPr>
        <w:t>. The Employee will receive food allowance (10bis or other programs), in accordance with the Company’s policy, which may be changed by the Company at is sole and absolute discretion from time to time. The Employee shall be responsible for any taxes associated with this benefit.</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720" w:right="361" w:hanging="0"/>
        <w:jc w:val="both"/>
        <w:rPr>
          <w:rFonts w:ascii="Times New Roman;Times;serif" w:hAnsi="Times New Roman;Times;serif"/>
          <w:color w:val="000000"/>
          <w:sz w:val="20"/>
        </w:rPr>
      </w:pPr>
      <w:r>
        <w:rPr>
          <w:rFonts w:ascii="Times New Roman;Times;serif" w:hAnsi="Times New Roman;Times;serif"/>
          <w:color w:val="000000"/>
          <w:sz w:val="20"/>
        </w:rPr>
        <w:t>Unless specified to the contrary herein, all payments and contributions of the Company under this Agreement shall be limited to the highest deductible amount recognized by the tax authorities.</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720" w:right="360" w:hanging="0"/>
        <w:jc w:val="both"/>
        <w:rPr>
          <w:rFonts w:ascii="Times New Roman;Times;serif" w:hAnsi="Times New Roman;Times;serif"/>
          <w:color w:val="000000"/>
          <w:sz w:val="20"/>
        </w:rPr>
      </w:pPr>
      <w:r>
        <w:rPr>
          <w:rFonts w:ascii="Times New Roman;Times;serif" w:hAnsi="Times New Roman;Times;serif"/>
          <w:color w:val="000000"/>
          <w:sz w:val="20"/>
        </w:rPr>
        <w:t>During any period of the Employee’s military reserve service, the Company shall pay the Salary and all other social benefits due to the Employee hereunder. National Insurance Institute payments in connection with such military reserve duty shall be retained by the Company.</w:t>
      </w:r>
    </w:p>
    <w:p>
      <w:pPr>
        <w:pStyle w:val="HorizontalLine"/>
        <w:pBdr>
          <w:bottom w:val="single" w:sz="12" w:space="0" w:color="808080"/>
        </w:pBdr>
        <w:bidi w:val="0"/>
        <w:spacing w:before="200" w:after="200"/>
        <w:jc w:val="left"/>
        <w:rPr/>
      </w:pPr>
      <w:r>
        <w:rPr/>
      </w:r>
    </w:p>
    <w:p>
      <w:pPr>
        <w:pStyle w:val="TextBody"/>
        <w:bidi w:val="0"/>
        <w:spacing w:lineRule="auto" w:line="300" w:before="0" w:after="0"/>
        <w:jc w:val="left"/>
        <w:rPr>
          <w:color w:val="000000"/>
        </w:rPr>
      </w:pPr>
      <w:r>
        <w:rPr>
          <w:color w:val="000000"/>
        </w:rPr>
        <w:t> </w:t>
      </w:r>
    </w:p>
    <w:p>
      <w:pPr>
        <w:pStyle w:val="Normal"/>
        <w:bidi w:val="0"/>
        <w:spacing w:before="0" w:after="0"/>
        <w:jc w:val="left"/>
        <w:rPr>
          <w:sz w:val="4"/>
          <w:szCs w:val="4"/>
        </w:rPr>
      </w:pPr>
      <w:r>
        <w:rPr>
          <w:sz w:val="4"/>
          <w:szCs w:val="4"/>
        </w:rPr>
      </w:r>
      <w:bookmarkStart w:id="74" w:name="zc529d6871d4d488ea80b98ea87a76b06"/>
      <w:bookmarkStart w:id="75" w:name="zc529d6871d4d488ea80b98ea87a76b06"/>
      <w:bookmarkEnd w:id="75"/>
    </w:p>
    <w:tbl>
      <w:tblPr>
        <w:tblW w:w="1218" w:type="dxa"/>
        <w:jc w:val="left"/>
        <w:tblInd w:w="0" w:type="dxa"/>
        <w:tblLayout w:type="fixed"/>
        <w:tblCellMar>
          <w:top w:w="0" w:type="dxa"/>
          <w:left w:w="0" w:type="dxa"/>
          <w:bottom w:w="0" w:type="dxa"/>
          <w:right w:w="0" w:type="dxa"/>
        </w:tblCellMar>
      </w:tblPr>
      <w:tblGrid>
        <w:gridCol w:w="38"/>
        <w:gridCol w:w="200"/>
        <w:gridCol w:w="980"/>
      </w:tblGrid>
      <w:tr>
        <w:trPr/>
        <w:tc>
          <w:tcPr>
            <w:tcW w:w="38" w:type="dxa"/>
            <w:tcBorders/>
            <w:vAlign w:val="center"/>
          </w:tcPr>
          <w:p>
            <w:pPr>
              <w:pStyle w:val="TableContents"/>
              <w:bidi w:val="0"/>
              <w:spacing w:before="0" w:after="283"/>
              <w:jc w:val="left"/>
              <w:rPr/>
            </w:pPr>
            <w:r>
              <w:rPr/>
            </w:r>
          </w:p>
        </w:tc>
        <w:tc>
          <w:tcPr>
            <w:tcW w:w="200" w:type="dxa"/>
            <w:tcBorders/>
            <w:vAlign w:val="center"/>
          </w:tcPr>
          <w:p>
            <w:pPr>
              <w:pStyle w:val="TableContents"/>
              <w:bidi w:val="0"/>
              <w:spacing w:before="0" w:after="283"/>
              <w:jc w:val="left"/>
              <w:rPr>
                <w:b/>
              </w:rPr>
            </w:pPr>
            <w:r>
              <w:rPr>
                <w:b/>
              </w:rPr>
              <w:t>6.</w:t>
            </w:r>
          </w:p>
        </w:tc>
        <w:tc>
          <w:tcPr>
            <w:tcW w:w="980" w:type="dxa"/>
            <w:tcBorders/>
            <w:vAlign w:val="center"/>
          </w:tcPr>
          <w:p>
            <w:pPr>
              <w:pStyle w:val="TableContents"/>
              <w:bidi w:val="0"/>
              <w:spacing w:before="0" w:after="0"/>
              <w:jc w:val="left"/>
              <w:rPr>
                <w:b/>
                <w:u w:val="single"/>
              </w:rPr>
            </w:pPr>
            <w:r>
              <w:rPr>
                <w:b/>
                <w:u w:val="single"/>
              </w:rPr>
              <w:t>Expenses</w:t>
            </w:r>
          </w:p>
        </w:tc>
      </w:tr>
    </w:tbl>
    <w:p>
      <w:pPr>
        <w:pStyle w:val="TextBody"/>
        <w:bidi w:val="0"/>
        <w:spacing w:lineRule="auto" w:line="300" w:before="0" w:after="0"/>
        <w:jc w:val="left"/>
        <w:rPr/>
      </w:pPr>
      <w:r>
        <w:rPr/>
      </w:r>
    </w:p>
    <w:p>
      <w:pPr>
        <w:pStyle w:val="TextBody"/>
        <w:bidi w:val="0"/>
        <w:spacing w:lineRule="auto" w:line="300" w:before="0" w:after="0"/>
        <w:ind w:left="720" w:right="311" w:firstLine="566"/>
        <w:jc w:val="both"/>
        <w:rPr>
          <w:rFonts w:ascii="Times New Roman;Times;serif" w:hAnsi="Times New Roman;Times;serif"/>
          <w:color w:val="000000"/>
          <w:sz w:val="20"/>
        </w:rPr>
      </w:pPr>
      <w:r>
        <w:rPr>
          <w:rFonts w:ascii="Times New Roman;Times;serif" w:hAnsi="Times New Roman;Times;serif"/>
          <w:color w:val="000000"/>
          <w:sz w:val="20"/>
        </w:rPr>
        <w:t>The Employee shall be entitled to receive prompt reimbursement of all direct expenses reasonably incurred by him in connection with the performance of his duties hereunder provided that written receipts are produced for the same and approved by the Company.</w:t>
      </w:r>
    </w:p>
    <w:p>
      <w:pPr>
        <w:pStyle w:val="TextBody"/>
        <w:bidi w:val="0"/>
        <w:spacing w:lineRule="auto" w:line="300" w:before="0" w:after="0"/>
        <w:jc w:val="left"/>
        <w:rPr/>
      </w:pPr>
      <w:r>
        <w:rPr/>
      </w:r>
    </w:p>
    <w:p>
      <w:pPr>
        <w:pStyle w:val="Normal"/>
        <w:bidi w:val="0"/>
        <w:spacing w:before="0" w:after="0"/>
        <w:jc w:val="left"/>
        <w:rPr>
          <w:sz w:val="4"/>
          <w:szCs w:val="4"/>
        </w:rPr>
      </w:pPr>
      <w:r>
        <w:rPr>
          <w:sz w:val="4"/>
          <w:szCs w:val="4"/>
        </w:rPr>
      </w:r>
      <w:bookmarkStart w:id="76" w:name="zcd7034bd91244f6e9ca8ef858f455d24"/>
      <w:bookmarkStart w:id="77" w:name="zcd7034bd91244f6e9ca8ef858f455d24"/>
      <w:bookmarkEnd w:id="77"/>
    </w:p>
    <w:tbl>
      <w:tblPr>
        <w:tblW w:w="2628" w:type="dxa"/>
        <w:jc w:val="left"/>
        <w:tblInd w:w="0" w:type="dxa"/>
        <w:tblLayout w:type="fixed"/>
        <w:tblCellMar>
          <w:top w:w="0" w:type="dxa"/>
          <w:left w:w="0" w:type="dxa"/>
          <w:bottom w:w="0" w:type="dxa"/>
          <w:right w:w="0" w:type="dxa"/>
        </w:tblCellMar>
      </w:tblPr>
      <w:tblGrid>
        <w:gridCol w:w="38"/>
        <w:gridCol w:w="200"/>
        <w:gridCol w:w="2390"/>
      </w:tblGrid>
      <w:tr>
        <w:trPr/>
        <w:tc>
          <w:tcPr>
            <w:tcW w:w="38" w:type="dxa"/>
            <w:tcBorders/>
            <w:vAlign w:val="center"/>
          </w:tcPr>
          <w:p>
            <w:pPr>
              <w:pStyle w:val="TableContents"/>
              <w:bidi w:val="0"/>
              <w:spacing w:before="0" w:after="283"/>
              <w:jc w:val="left"/>
              <w:rPr/>
            </w:pPr>
            <w:r>
              <w:rPr/>
            </w:r>
          </w:p>
        </w:tc>
        <w:tc>
          <w:tcPr>
            <w:tcW w:w="200" w:type="dxa"/>
            <w:tcBorders/>
            <w:vAlign w:val="center"/>
          </w:tcPr>
          <w:p>
            <w:pPr>
              <w:pStyle w:val="TableContents"/>
              <w:bidi w:val="0"/>
              <w:spacing w:before="0" w:after="283"/>
              <w:jc w:val="left"/>
              <w:rPr>
                <w:b/>
              </w:rPr>
            </w:pPr>
            <w:r>
              <w:rPr>
                <w:b/>
              </w:rPr>
              <w:t>7.</w:t>
            </w:r>
          </w:p>
        </w:tc>
        <w:tc>
          <w:tcPr>
            <w:tcW w:w="2390" w:type="dxa"/>
            <w:tcBorders/>
            <w:vAlign w:val="center"/>
          </w:tcPr>
          <w:p>
            <w:pPr>
              <w:pStyle w:val="TableContents"/>
              <w:bidi w:val="0"/>
              <w:spacing w:before="0" w:after="0"/>
              <w:jc w:val="both"/>
              <w:rPr>
                <w:b/>
                <w:u w:val="single"/>
              </w:rPr>
            </w:pPr>
            <w:r>
              <w:rPr>
                <w:b/>
                <w:u w:val="single"/>
              </w:rPr>
              <w:t>Term and Termination</w:t>
            </w:r>
          </w:p>
        </w:tc>
      </w:tr>
    </w:tbl>
    <w:p>
      <w:pPr>
        <w:pStyle w:val="TextBody"/>
        <w:bidi w:val="0"/>
        <w:spacing w:lineRule="auto" w:line="300" w:before="0" w:after="0"/>
        <w:jc w:val="left"/>
        <w:rPr>
          <w:color w:val="000000"/>
        </w:rPr>
      </w:pPr>
      <w:r>
        <w:rPr>
          <w:color w:val="000000"/>
        </w:rPr>
        <w:t> </w:t>
      </w:r>
    </w:p>
    <w:p>
      <w:pPr>
        <w:pStyle w:val="Normal"/>
        <w:bidi w:val="0"/>
        <w:spacing w:before="0" w:after="0"/>
        <w:jc w:val="left"/>
        <w:rPr>
          <w:sz w:val="4"/>
          <w:szCs w:val="4"/>
        </w:rPr>
      </w:pPr>
      <w:r>
        <w:rPr>
          <w:sz w:val="4"/>
          <w:szCs w:val="4"/>
        </w:rPr>
      </w:r>
      <w:bookmarkStart w:id="78" w:name="zc13348004fbd49fbb5272e51b23eac66"/>
      <w:bookmarkStart w:id="79" w:name="zc13348004fbd49fbb5272e51b23eac66"/>
      <w:bookmarkEnd w:id="79"/>
    </w:p>
    <w:tbl>
      <w:tblPr>
        <w:tblW w:w="10205" w:type="dxa"/>
        <w:jc w:val="left"/>
        <w:tblInd w:w="0" w:type="dxa"/>
        <w:tblLayout w:type="fixed"/>
        <w:tblCellMar>
          <w:top w:w="0" w:type="dxa"/>
          <w:left w:w="0" w:type="dxa"/>
          <w:bottom w:w="0" w:type="dxa"/>
          <w:right w:w="0" w:type="dxa"/>
        </w:tblCellMar>
      </w:tblPr>
      <w:tblGrid>
        <w:gridCol w:w="38"/>
        <w:gridCol w:w="155"/>
        <w:gridCol w:w="10012"/>
      </w:tblGrid>
      <w:tr>
        <w:trPr/>
        <w:tc>
          <w:tcPr>
            <w:tcW w:w="38" w:type="dxa"/>
            <w:tcBorders/>
            <w:vAlign w:val="center"/>
          </w:tcPr>
          <w:p>
            <w:pPr>
              <w:pStyle w:val="TableContents"/>
              <w:bidi w:val="0"/>
              <w:spacing w:before="0" w:after="283"/>
              <w:jc w:val="left"/>
              <w:rPr/>
            </w:pPr>
            <w:r>
              <w:rPr/>
            </w:r>
          </w:p>
        </w:tc>
        <w:tc>
          <w:tcPr>
            <w:tcW w:w="155" w:type="dxa"/>
            <w:tcBorders/>
            <w:vAlign w:val="center"/>
          </w:tcPr>
          <w:p>
            <w:pPr>
              <w:pStyle w:val="TableContents"/>
              <w:bidi w:val="0"/>
              <w:spacing w:before="0" w:after="283"/>
              <w:jc w:val="left"/>
              <w:rPr/>
            </w:pPr>
            <w:r>
              <w:rPr/>
              <w:t>I.</w:t>
            </w:r>
          </w:p>
        </w:tc>
        <w:tc>
          <w:tcPr>
            <w:tcW w:w="10012" w:type="dxa"/>
            <w:tcBorders/>
            <w:vAlign w:val="center"/>
          </w:tcPr>
          <w:p>
            <w:pPr>
              <w:pStyle w:val="TableContents"/>
              <w:bidi w:val="0"/>
              <w:spacing w:before="0" w:after="0"/>
              <w:jc w:val="both"/>
              <w:rPr/>
            </w:pPr>
            <w:r>
              <w:rPr/>
              <w:t>The term of employment under this Agreement will begin as of the Commencement Date and will continue unless either party gives the other prior written notice of termination of this Agreement, in which case this Agreement shall terminate effective as of the later of (a) 90 days after the day of notice or the (b) the date as the effective date of termination of employment specified in such notice after the giving of such notice.</w:t>
            </w:r>
          </w:p>
        </w:tc>
      </w:tr>
    </w:tbl>
    <w:p>
      <w:pPr>
        <w:pStyle w:val="TextBody"/>
        <w:bidi w:val="0"/>
        <w:spacing w:lineRule="auto" w:line="300" w:before="0" w:after="0"/>
        <w:jc w:val="left"/>
        <w:rPr>
          <w:color w:val="000000"/>
        </w:rPr>
      </w:pPr>
      <w:r>
        <w:rPr>
          <w:color w:val="000000"/>
        </w:rPr>
        <w:t> </w:t>
      </w:r>
    </w:p>
    <w:p>
      <w:pPr>
        <w:pStyle w:val="Normal"/>
        <w:bidi w:val="0"/>
        <w:spacing w:before="0" w:after="0"/>
        <w:jc w:val="left"/>
        <w:rPr>
          <w:sz w:val="4"/>
          <w:szCs w:val="4"/>
        </w:rPr>
      </w:pPr>
      <w:r>
        <w:rPr>
          <w:sz w:val="4"/>
          <w:szCs w:val="4"/>
        </w:rPr>
      </w:r>
      <w:bookmarkStart w:id="80" w:name="z55070597c2214e5e984ce3a2b87854ea"/>
      <w:bookmarkStart w:id="81" w:name="z55070597c2214e5e984ce3a2b87854ea"/>
      <w:bookmarkEnd w:id="81"/>
    </w:p>
    <w:tbl>
      <w:tblPr>
        <w:tblW w:w="10205" w:type="dxa"/>
        <w:jc w:val="left"/>
        <w:tblInd w:w="0" w:type="dxa"/>
        <w:tblLayout w:type="fixed"/>
        <w:tblCellMar>
          <w:top w:w="0" w:type="dxa"/>
          <w:left w:w="0" w:type="dxa"/>
          <w:bottom w:w="0" w:type="dxa"/>
          <w:right w:w="0" w:type="dxa"/>
        </w:tblCellMar>
      </w:tblPr>
      <w:tblGrid>
        <w:gridCol w:w="38"/>
        <w:gridCol w:w="230"/>
        <w:gridCol w:w="9937"/>
      </w:tblGrid>
      <w:tr>
        <w:trPr/>
        <w:tc>
          <w:tcPr>
            <w:tcW w:w="38" w:type="dxa"/>
            <w:tcBorders/>
            <w:vAlign w:val="center"/>
          </w:tcPr>
          <w:p>
            <w:pPr>
              <w:pStyle w:val="TableContents"/>
              <w:bidi w:val="0"/>
              <w:spacing w:before="0" w:after="283"/>
              <w:jc w:val="left"/>
              <w:rPr/>
            </w:pPr>
            <w:r>
              <w:rPr/>
            </w:r>
          </w:p>
        </w:tc>
        <w:tc>
          <w:tcPr>
            <w:tcW w:w="230" w:type="dxa"/>
            <w:tcBorders/>
            <w:vAlign w:val="center"/>
          </w:tcPr>
          <w:p>
            <w:pPr>
              <w:pStyle w:val="TableContents"/>
              <w:bidi w:val="0"/>
              <w:spacing w:before="0" w:after="283"/>
              <w:jc w:val="left"/>
              <w:rPr/>
            </w:pPr>
            <w:r>
              <w:rPr/>
              <w:t>II.</w:t>
            </w:r>
          </w:p>
        </w:tc>
        <w:tc>
          <w:tcPr>
            <w:tcW w:w="9937" w:type="dxa"/>
            <w:tcBorders/>
            <w:vAlign w:val="center"/>
          </w:tcPr>
          <w:p>
            <w:pPr>
              <w:pStyle w:val="TableContents"/>
              <w:bidi w:val="0"/>
              <w:spacing w:before="0" w:after="0"/>
              <w:jc w:val="both"/>
              <w:rPr/>
            </w:pPr>
            <w:r>
              <w:rPr/>
              <w:t>In addition, the Company shall have the right to terminate this Agreement at any time by written notice in the event of Cause (as defined below). In such event, this Agreement and the employment relationship shall be deemed effectively terminated as of the time of delivery of such notice.</w:t>
            </w:r>
          </w:p>
        </w:tc>
      </w:tr>
    </w:tbl>
    <w:p>
      <w:pPr>
        <w:pStyle w:val="TextBody"/>
        <w:bidi w:val="0"/>
        <w:spacing w:lineRule="auto" w:line="300" w:before="0" w:after="0"/>
        <w:jc w:val="left"/>
        <w:rPr>
          <w:color w:val="000000"/>
        </w:rPr>
      </w:pPr>
      <w:r>
        <w:rPr>
          <w:color w:val="000000"/>
        </w:rPr>
        <w:t> </w:t>
      </w:r>
    </w:p>
    <w:p>
      <w:pPr>
        <w:pStyle w:val="Normal"/>
        <w:bidi w:val="0"/>
        <w:spacing w:before="0" w:after="0"/>
        <w:jc w:val="left"/>
        <w:rPr>
          <w:sz w:val="4"/>
          <w:szCs w:val="4"/>
        </w:rPr>
      </w:pPr>
      <w:r>
        <w:rPr>
          <w:sz w:val="4"/>
          <w:szCs w:val="4"/>
        </w:rPr>
      </w:r>
      <w:bookmarkStart w:id="82" w:name="z4d8bac65bf654bb088a523803b2eee45"/>
      <w:bookmarkStart w:id="83" w:name="z4d8bac65bf654bb088a523803b2eee45"/>
      <w:bookmarkEnd w:id="83"/>
    </w:p>
    <w:tbl>
      <w:tblPr>
        <w:tblW w:w="10205" w:type="dxa"/>
        <w:jc w:val="left"/>
        <w:tblInd w:w="0" w:type="dxa"/>
        <w:tblLayout w:type="fixed"/>
        <w:tblCellMar>
          <w:top w:w="0" w:type="dxa"/>
          <w:left w:w="0" w:type="dxa"/>
          <w:bottom w:w="0" w:type="dxa"/>
          <w:right w:w="0" w:type="dxa"/>
        </w:tblCellMar>
      </w:tblPr>
      <w:tblGrid>
        <w:gridCol w:w="38"/>
        <w:gridCol w:w="305"/>
        <w:gridCol w:w="9862"/>
      </w:tblGrid>
      <w:tr>
        <w:trPr/>
        <w:tc>
          <w:tcPr>
            <w:tcW w:w="38" w:type="dxa"/>
            <w:tcBorders/>
            <w:vAlign w:val="center"/>
          </w:tcPr>
          <w:p>
            <w:pPr>
              <w:pStyle w:val="TableContents"/>
              <w:bidi w:val="0"/>
              <w:spacing w:before="0" w:after="283"/>
              <w:jc w:val="left"/>
              <w:rPr/>
            </w:pPr>
            <w:r>
              <w:rPr/>
            </w:r>
          </w:p>
        </w:tc>
        <w:tc>
          <w:tcPr>
            <w:tcW w:w="305" w:type="dxa"/>
            <w:tcBorders/>
            <w:vAlign w:val="center"/>
          </w:tcPr>
          <w:p>
            <w:pPr>
              <w:pStyle w:val="TableContents"/>
              <w:bidi w:val="0"/>
              <w:spacing w:before="0" w:after="283"/>
              <w:jc w:val="left"/>
              <w:rPr/>
            </w:pPr>
            <w:r>
              <w:rPr/>
              <w:t>III.</w:t>
            </w:r>
          </w:p>
        </w:tc>
        <w:tc>
          <w:tcPr>
            <w:tcW w:w="9862" w:type="dxa"/>
            <w:tcBorders/>
            <w:vAlign w:val="center"/>
          </w:tcPr>
          <w:p>
            <w:pPr>
              <w:pStyle w:val="TableContents"/>
              <w:bidi w:val="0"/>
              <w:spacing w:before="0" w:after="0"/>
              <w:jc w:val="both"/>
              <w:rPr/>
            </w:pPr>
            <w:r>
              <w:rPr/>
              <w:t>The term “Cause” shall mean (a) Employee’s conviction of a crime of moral turpitude, (b) a material breach of the Employee’s fiduciary duties towards the Company or its parent company, including theft, embezzlement, or self-dealing, (c) engagement in competing activities, or a material breach of the Employee’s confidentiality and non-disclosure obligations towards the Company or its parent company; (d) a material breach of this Agreement by the Employee which is not cured (if curable) within seven (7) days after receipt of written notice thereof; or (e) any other circumstances under which severance pay (or part of them) may be denied from the Employee upon termination of employment under the applicable Israeli law.</w:t>
            </w:r>
          </w:p>
        </w:tc>
      </w:tr>
    </w:tbl>
    <w:p>
      <w:pPr>
        <w:pStyle w:val="TextBody"/>
        <w:bidi w:val="0"/>
        <w:spacing w:lineRule="auto" w:line="300" w:before="0" w:after="0"/>
        <w:jc w:val="left"/>
        <w:rPr>
          <w:color w:val="000000"/>
        </w:rPr>
      </w:pPr>
      <w:r>
        <w:rPr>
          <w:color w:val="000000"/>
        </w:rPr>
        <w:t> </w:t>
      </w:r>
    </w:p>
    <w:p>
      <w:pPr>
        <w:pStyle w:val="Normal"/>
        <w:bidi w:val="0"/>
        <w:spacing w:before="0" w:after="0"/>
        <w:jc w:val="left"/>
        <w:rPr>
          <w:sz w:val="4"/>
          <w:szCs w:val="4"/>
        </w:rPr>
      </w:pPr>
      <w:r>
        <w:rPr>
          <w:sz w:val="4"/>
          <w:szCs w:val="4"/>
        </w:rPr>
      </w:r>
      <w:bookmarkStart w:id="84" w:name="z3bd727d99be446389f9da031e35f6009"/>
      <w:bookmarkStart w:id="85" w:name="z3bd727d99be446389f9da031e35f6009"/>
      <w:bookmarkEnd w:id="85"/>
    </w:p>
    <w:tbl>
      <w:tblPr>
        <w:tblW w:w="10205" w:type="dxa"/>
        <w:jc w:val="left"/>
        <w:tblInd w:w="0" w:type="dxa"/>
        <w:tblLayout w:type="fixed"/>
        <w:tblCellMar>
          <w:top w:w="0" w:type="dxa"/>
          <w:left w:w="0" w:type="dxa"/>
          <w:bottom w:w="0" w:type="dxa"/>
          <w:right w:w="0" w:type="dxa"/>
        </w:tblCellMar>
      </w:tblPr>
      <w:tblGrid>
        <w:gridCol w:w="38"/>
        <w:gridCol w:w="335"/>
        <w:gridCol w:w="9832"/>
      </w:tblGrid>
      <w:tr>
        <w:trPr/>
        <w:tc>
          <w:tcPr>
            <w:tcW w:w="38" w:type="dxa"/>
            <w:tcBorders/>
            <w:vAlign w:val="center"/>
          </w:tcPr>
          <w:p>
            <w:pPr>
              <w:pStyle w:val="TableContents"/>
              <w:bidi w:val="0"/>
              <w:spacing w:before="0" w:after="283"/>
              <w:jc w:val="left"/>
              <w:rPr/>
            </w:pPr>
            <w:r>
              <w:rPr/>
            </w:r>
          </w:p>
        </w:tc>
        <w:tc>
          <w:tcPr>
            <w:tcW w:w="335" w:type="dxa"/>
            <w:tcBorders/>
            <w:vAlign w:val="center"/>
          </w:tcPr>
          <w:p>
            <w:pPr>
              <w:pStyle w:val="TableContents"/>
              <w:bidi w:val="0"/>
              <w:spacing w:before="0" w:after="283"/>
              <w:jc w:val="left"/>
              <w:rPr/>
            </w:pPr>
            <w:r>
              <w:rPr/>
              <w:t>IV.</w:t>
            </w:r>
          </w:p>
        </w:tc>
        <w:tc>
          <w:tcPr>
            <w:tcW w:w="9832" w:type="dxa"/>
            <w:tcBorders/>
            <w:vAlign w:val="center"/>
          </w:tcPr>
          <w:p>
            <w:pPr>
              <w:pStyle w:val="TableContents"/>
              <w:bidi w:val="0"/>
              <w:spacing w:before="0" w:after="0"/>
              <w:jc w:val="both"/>
              <w:rPr/>
            </w:pPr>
            <w:r>
              <w:rPr/>
              <w:t>In the event that the Company terminates the Employee’s employment at its discretion after providing advance written notice to the Employee under sub-section (a) above, then during such period, the Employee shall be entitled to compensation pursuant to Sections 4 and 5 hereof (or their cash equivalent).</w:t>
            </w:r>
          </w:p>
        </w:tc>
      </w:tr>
    </w:tbl>
    <w:p>
      <w:pPr>
        <w:pStyle w:val="TextBody"/>
        <w:bidi w:val="0"/>
        <w:spacing w:lineRule="auto" w:line="300" w:before="0" w:after="0"/>
        <w:jc w:val="left"/>
        <w:rPr>
          <w:color w:val="000000"/>
        </w:rPr>
      </w:pPr>
      <w:r>
        <w:rPr>
          <w:color w:val="000000"/>
        </w:rPr>
        <w:t> </w:t>
      </w:r>
    </w:p>
    <w:p>
      <w:pPr>
        <w:pStyle w:val="Normal"/>
        <w:bidi w:val="0"/>
        <w:spacing w:before="0" w:after="0"/>
        <w:jc w:val="left"/>
        <w:rPr>
          <w:sz w:val="4"/>
          <w:szCs w:val="4"/>
        </w:rPr>
      </w:pPr>
      <w:r>
        <w:rPr>
          <w:sz w:val="4"/>
          <w:szCs w:val="4"/>
        </w:rPr>
      </w:r>
      <w:bookmarkStart w:id="86" w:name="z80b3d71878be41a589649e6254c55c8f"/>
      <w:bookmarkStart w:id="87" w:name="z80b3d71878be41a589649e6254c55c8f"/>
      <w:bookmarkEnd w:id="87"/>
    </w:p>
    <w:tbl>
      <w:tblPr>
        <w:tblW w:w="10205" w:type="dxa"/>
        <w:jc w:val="left"/>
        <w:tblInd w:w="0" w:type="dxa"/>
        <w:tblLayout w:type="fixed"/>
        <w:tblCellMar>
          <w:top w:w="0" w:type="dxa"/>
          <w:left w:w="0" w:type="dxa"/>
          <w:bottom w:w="0" w:type="dxa"/>
          <w:right w:w="0" w:type="dxa"/>
        </w:tblCellMar>
      </w:tblPr>
      <w:tblGrid>
        <w:gridCol w:w="38"/>
        <w:gridCol w:w="260"/>
        <w:gridCol w:w="9907"/>
      </w:tblGrid>
      <w:tr>
        <w:trPr/>
        <w:tc>
          <w:tcPr>
            <w:tcW w:w="38" w:type="dxa"/>
            <w:tcBorders/>
            <w:vAlign w:val="center"/>
          </w:tcPr>
          <w:p>
            <w:pPr>
              <w:pStyle w:val="TableContents"/>
              <w:bidi w:val="0"/>
              <w:spacing w:before="0" w:after="283"/>
              <w:jc w:val="left"/>
              <w:rPr/>
            </w:pPr>
            <w:r>
              <w:rPr/>
            </w:r>
          </w:p>
        </w:tc>
        <w:tc>
          <w:tcPr>
            <w:tcW w:w="260" w:type="dxa"/>
            <w:tcBorders/>
            <w:vAlign w:val="center"/>
          </w:tcPr>
          <w:p>
            <w:pPr>
              <w:pStyle w:val="TableContents"/>
              <w:bidi w:val="0"/>
              <w:spacing w:before="0" w:after="283"/>
              <w:jc w:val="left"/>
              <w:rPr/>
            </w:pPr>
            <w:r>
              <w:rPr/>
              <w:t>V.</w:t>
            </w:r>
          </w:p>
        </w:tc>
        <w:tc>
          <w:tcPr>
            <w:tcW w:w="9907" w:type="dxa"/>
            <w:tcBorders/>
            <w:vAlign w:val="center"/>
          </w:tcPr>
          <w:p>
            <w:pPr>
              <w:pStyle w:val="TableContents"/>
              <w:bidi w:val="0"/>
              <w:spacing w:before="0" w:after="0"/>
              <w:jc w:val="both"/>
              <w:rPr/>
            </w:pPr>
            <w:r>
              <w:rPr/>
              <w:t>In any event of the termination of this Agreement, the Employee shall immediately return all Company property, equipment, materials and documents and the Employee shall cooperate with the Company and use the Employee’s best efforts to assist with the integration into the Company’s organization of the person or persons who will assume the Employee’s responsibilities. At the option of the Company, the Employee shall during such period either continue with his duties or remain absent from the premises of the Company. Under no circumstances will the Employee have a lien over any property provided by or belonging to the Company.</w:t>
            </w:r>
          </w:p>
        </w:tc>
      </w:tr>
    </w:tbl>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720" w:right="358" w:hanging="0"/>
        <w:jc w:val="both"/>
        <w:rPr>
          <w:rFonts w:ascii="Times New Roman;Times;serif" w:hAnsi="Times New Roman;Times;serif"/>
          <w:color w:val="000000"/>
          <w:sz w:val="20"/>
        </w:rPr>
      </w:pPr>
      <w:r>
        <w:rPr>
          <w:rFonts w:ascii="Times New Roman;Times;serif" w:hAnsi="Times New Roman;Times;serif"/>
          <w:color w:val="000000"/>
          <w:sz w:val="20"/>
        </w:rPr>
        <w:t>Notwithstanding anything contained herein to the contrary notwithstanding, the Company at its sole discretion shall have the right to terminate the employment relationship with immediate effect or prior to the end of the notice period set forth in above and pay the Employee in lieu of advance notice or the remainder thereof in accordance with applicable law.</w:t>
      </w:r>
    </w:p>
    <w:p>
      <w:pPr>
        <w:pStyle w:val="HorizontalLine"/>
        <w:pBdr>
          <w:bottom w:val="single" w:sz="12" w:space="0" w:color="808080"/>
        </w:pBdr>
        <w:bidi w:val="0"/>
        <w:spacing w:before="200" w:after="200"/>
        <w:jc w:val="left"/>
        <w:rPr/>
      </w:pPr>
      <w:r>
        <w:rPr/>
      </w:r>
    </w:p>
    <w:p>
      <w:pPr>
        <w:pStyle w:val="TextBody"/>
        <w:bidi w:val="0"/>
        <w:spacing w:lineRule="auto" w:line="300" w:before="0" w:after="0"/>
        <w:jc w:val="left"/>
        <w:rPr/>
      </w:pPr>
      <w:r>
        <w:rPr/>
      </w:r>
    </w:p>
    <w:p>
      <w:pPr>
        <w:pStyle w:val="Normal"/>
        <w:bidi w:val="0"/>
        <w:spacing w:before="0" w:after="0"/>
        <w:jc w:val="left"/>
        <w:rPr>
          <w:sz w:val="4"/>
          <w:szCs w:val="4"/>
        </w:rPr>
      </w:pPr>
      <w:r>
        <w:rPr>
          <w:sz w:val="4"/>
          <w:szCs w:val="4"/>
        </w:rPr>
      </w:r>
      <w:bookmarkStart w:id="88" w:name="z27142d3228f34a0f94cfb09deb0347f0"/>
      <w:bookmarkStart w:id="89" w:name="z27142d3228f34a0f94cfb09deb0347f0"/>
      <w:bookmarkEnd w:id="89"/>
    </w:p>
    <w:tbl>
      <w:tblPr>
        <w:tblW w:w="3843" w:type="dxa"/>
        <w:jc w:val="left"/>
        <w:tblInd w:w="0" w:type="dxa"/>
        <w:tblLayout w:type="fixed"/>
        <w:tblCellMar>
          <w:top w:w="0" w:type="dxa"/>
          <w:left w:w="0" w:type="dxa"/>
          <w:bottom w:w="0" w:type="dxa"/>
          <w:right w:w="0" w:type="dxa"/>
        </w:tblCellMar>
      </w:tblPr>
      <w:tblGrid>
        <w:gridCol w:w="38"/>
        <w:gridCol w:w="200"/>
        <w:gridCol w:w="3605"/>
      </w:tblGrid>
      <w:tr>
        <w:trPr/>
        <w:tc>
          <w:tcPr>
            <w:tcW w:w="38" w:type="dxa"/>
            <w:tcBorders/>
            <w:vAlign w:val="center"/>
          </w:tcPr>
          <w:p>
            <w:pPr>
              <w:pStyle w:val="TableContents"/>
              <w:bidi w:val="0"/>
              <w:spacing w:before="0" w:after="283"/>
              <w:jc w:val="left"/>
              <w:rPr/>
            </w:pPr>
            <w:r>
              <w:rPr/>
            </w:r>
          </w:p>
        </w:tc>
        <w:tc>
          <w:tcPr>
            <w:tcW w:w="200" w:type="dxa"/>
            <w:tcBorders/>
            <w:vAlign w:val="center"/>
          </w:tcPr>
          <w:p>
            <w:pPr>
              <w:pStyle w:val="TableContents"/>
              <w:bidi w:val="0"/>
              <w:spacing w:before="0" w:after="283"/>
              <w:jc w:val="left"/>
              <w:rPr>
                <w:b/>
              </w:rPr>
            </w:pPr>
            <w:r>
              <w:rPr>
                <w:b/>
              </w:rPr>
              <w:t>8.</w:t>
            </w:r>
          </w:p>
        </w:tc>
        <w:tc>
          <w:tcPr>
            <w:tcW w:w="3605" w:type="dxa"/>
            <w:tcBorders/>
            <w:vAlign w:val="center"/>
          </w:tcPr>
          <w:p>
            <w:pPr>
              <w:pStyle w:val="TableContents"/>
              <w:bidi w:val="0"/>
              <w:spacing w:before="0" w:after="0"/>
              <w:jc w:val="both"/>
              <w:rPr>
                <w:b/>
                <w:u w:val="single"/>
              </w:rPr>
            </w:pPr>
            <w:r>
              <w:rPr>
                <w:b/>
                <w:u w:val="single"/>
              </w:rPr>
              <w:t>Confidentiality; Proprietary Rights</w:t>
            </w:r>
          </w:p>
        </w:tc>
      </w:tr>
    </w:tbl>
    <w:p>
      <w:pPr>
        <w:pStyle w:val="TextBody"/>
        <w:bidi w:val="0"/>
        <w:spacing w:lineRule="auto" w:line="300" w:before="0" w:after="0"/>
        <w:jc w:val="left"/>
        <w:rPr/>
      </w:pPr>
      <w:r>
        <w:rPr/>
      </w:r>
    </w:p>
    <w:p>
      <w:pPr>
        <w:pStyle w:val="TextBody"/>
        <w:bidi w:val="0"/>
        <w:spacing w:lineRule="auto" w:line="300" w:before="0" w:after="0"/>
        <w:ind w:left="720" w:right="305" w:firstLine="566"/>
        <w:jc w:val="both"/>
        <w:rPr>
          <w:rFonts w:ascii="Times New Roman;Times;serif" w:hAnsi="Times New Roman;Times;serif"/>
          <w:color w:val="000000"/>
          <w:sz w:val="20"/>
        </w:rPr>
      </w:pPr>
      <w:r>
        <w:rPr>
          <w:rFonts w:ascii="Times New Roman;Times;serif" w:hAnsi="Times New Roman;Times;serif"/>
          <w:color w:val="000000"/>
          <w:sz w:val="20"/>
        </w:rPr>
        <w:t xml:space="preserve">The Employee has executed and agrees to be bound by the provisions governing confidentiality, proprietary rights and non-competition contained in </w:t>
      </w:r>
      <w:r>
        <w:rPr>
          <w:rFonts w:ascii="Times New Roman;Times;serif" w:hAnsi="Times New Roman;Times;serif"/>
          <w:color w:val="000000"/>
          <w:sz w:val="20"/>
          <w:u w:val="single"/>
        </w:rPr>
        <w:t>Exhibit B</w:t>
      </w:r>
      <w:r>
        <w:rPr>
          <w:rFonts w:ascii="Times New Roman;Times;serif" w:hAnsi="Times New Roman;Times;serif"/>
          <w:color w:val="000000"/>
          <w:sz w:val="20"/>
        </w:rPr>
        <w:t xml:space="preserve"> to this Agreement, which provisions will survive termination of this Agreement for any reason. For avoidance of doubt, five percent (5%) of the Employee's Salary is special compensation in exchange for the non-competition undertaking specified under Exhibit A (“</w:t>
      </w:r>
      <w:r>
        <w:rPr>
          <w:rFonts w:ascii="Times New Roman;Times;serif" w:hAnsi="Times New Roman;Times;serif"/>
          <w:b/>
          <w:color w:val="000000"/>
          <w:sz w:val="20"/>
        </w:rPr>
        <w:t>Special Compensation</w:t>
      </w:r>
      <w:r>
        <w:rPr>
          <w:rFonts w:ascii="Times New Roman;Times;serif" w:hAnsi="Times New Roman;Times;serif"/>
          <w:color w:val="000000"/>
          <w:sz w:val="20"/>
        </w:rPr>
        <w:t>”).</w:t>
      </w:r>
    </w:p>
    <w:p>
      <w:pPr>
        <w:pStyle w:val="TextBody"/>
        <w:bidi w:val="0"/>
        <w:spacing w:lineRule="auto" w:line="300" w:before="0" w:after="0"/>
        <w:jc w:val="left"/>
        <w:rPr/>
      </w:pPr>
      <w:r>
        <w:rPr/>
      </w:r>
    </w:p>
    <w:p>
      <w:pPr>
        <w:pStyle w:val="Normal"/>
        <w:bidi w:val="0"/>
        <w:spacing w:before="0" w:after="0"/>
        <w:jc w:val="left"/>
        <w:rPr>
          <w:sz w:val="4"/>
          <w:szCs w:val="4"/>
        </w:rPr>
      </w:pPr>
      <w:r>
        <w:rPr>
          <w:sz w:val="4"/>
          <w:szCs w:val="4"/>
        </w:rPr>
      </w:r>
      <w:bookmarkStart w:id="90" w:name="z01189751302344108e41bbf35680c7af"/>
      <w:bookmarkStart w:id="91" w:name="z01189751302344108e41bbf35680c7af"/>
      <w:bookmarkEnd w:id="91"/>
    </w:p>
    <w:tbl>
      <w:tblPr>
        <w:tblW w:w="2628" w:type="dxa"/>
        <w:jc w:val="left"/>
        <w:tblInd w:w="0" w:type="dxa"/>
        <w:tblLayout w:type="fixed"/>
        <w:tblCellMar>
          <w:top w:w="0" w:type="dxa"/>
          <w:left w:w="0" w:type="dxa"/>
          <w:bottom w:w="0" w:type="dxa"/>
          <w:right w:w="0" w:type="dxa"/>
        </w:tblCellMar>
      </w:tblPr>
      <w:tblGrid>
        <w:gridCol w:w="38"/>
        <w:gridCol w:w="200"/>
        <w:gridCol w:w="2390"/>
      </w:tblGrid>
      <w:tr>
        <w:trPr/>
        <w:tc>
          <w:tcPr>
            <w:tcW w:w="38" w:type="dxa"/>
            <w:tcBorders/>
            <w:vAlign w:val="center"/>
          </w:tcPr>
          <w:p>
            <w:pPr>
              <w:pStyle w:val="TableContents"/>
              <w:bidi w:val="0"/>
              <w:spacing w:before="0" w:after="283"/>
              <w:jc w:val="left"/>
              <w:rPr/>
            </w:pPr>
            <w:r>
              <w:rPr/>
            </w:r>
          </w:p>
        </w:tc>
        <w:tc>
          <w:tcPr>
            <w:tcW w:w="200" w:type="dxa"/>
            <w:tcBorders/>
            <w:vAlign w:val="center"/>
          </w:tcPr>
          <w:p>
            <w:pPr>
              <w:pStyle w:val="TableContents"/>
              <w:bidi w:val="0"/>
              <w:spacing w:before="0" w:after="283"/>
              <w:jc w:val="left"/>
              <w:rPr>
                <w:b/>
              </w:rPr>
            </w:pPr>
            <w:r>
              <w:rPr>
                <w:b/>
              </w:rPr>
              <w:t>9.</w:t>
            </w:r>
          </w:p>
        </w:tc>
        <w:tc>
          <w:tcPr>
            <w:tcW w:w="2390" w:type="dxa"/>
            <w:tcBorders/>
            <w:vAlign w:val="center"/>
          </w:tcPr>
          <w:p>
            <w:pPr>
              <w:pStyle w:val="TableContents"/>
              <w:bidi w:val="0"/>
              <w:spacing w:before="0" w:after="0"/>
              <w:jc w:val="left"/>
              <w:rPr>
                <w:b/>
                <w:u w:val="single"/>
              </w:rPr>
            </w:pPr>
            <w:r>
              <w:rPr>
                <w:b/>
                <w:u w:val="single"/>
              </w:rPr>
              <w:t>Successors and Assigns</w:t>
            </w:r>
          </w:p>
        </w:tc>
      </w:tr>
    </w:tbl>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720" w:right="361" w:firstLine="566"/>
        <w:jc w:val="both"/>
        <w:rPr>
          <w:rFonts w:ascii="Times New Roman;Times;serif" w:hAnsi="Times New Roman;Times;serif"/>
          <w:color w:val="000000"/>
          <w:sz w:val="20"/>
        </w:rPr>
      </w:pPr>
      <w:r>
        <w:rPr>
          <w:rFonts w:ascii="Times New Roman;Times;serif" w:hAnsi="Times New Roman;Times;serif"/>
          <w:color w:val="000000"/>
          <w:sz w:val="20"/>
        </w:rPr>
        <w:t>This Agreement shall be binding upon and shall inure to the benefit of the Company, its successors and assigns.</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720" w:right="361" w:firstLine="566"/>
        <w:jc w:val="both"/>
        <w:rPr>
          <w:rFonts w:ascii="Times New Roman;Times;serif" w:hAnsi="Times New Roman;Times;serif"/>
          <w:color w:val="000000"/>
          <w:sz w:val="20"/>
        </w:rPr>
      </w:pPr>
      <w:r>
        <w:rPr>
          <w:rFonts w:ascii="Times New Roman;Times;serif" w:hAnsi="Times New Roman;Times;serif"/>
          <w:color w:val="000000"/>
          <w:sz w:val="20"/>
        </w:rPr>
        <w:t>Neither this Agreement nor any right or interest hereunder shall be assignable or transferable by the Employee, his beneficiaries or legal representatives, except by will or by the laws of descent and distribution. This Agreement shall inure to the benefit of and be enforceable by the Employee's legal personal representative.</w:t>
      </w:r>
    </w:p>
    <w:p>
      <w:pPr>
        <w:pStyle w:val="TextBody"/>
        <w:bidi w:val="0"/>
        <w:spacing w:lineRule="auto" w:line="300" w:before="0" w:after="0"/>
        <w:jc w:val="left"/>
        <w:rPr>
          <w:color w:val="000000"/>
        </w:rPr>
      </w:pPr>
      <w:r>
        <w:rPr>
          <w:color w:val="000000"/>
        </w:rPr>
        <w:t> </w:t>
      </w:r>
    </w:p>
    <w:p>
      <w:pPr>
        <w:pStyle w:val="Normal"/>
        <w:bidi w:val="0"/>
        <w:spacing w:before="0" w:after="0"/>
        <w:jc w:val="left"/>
        <w:rPr>
          <w:sz w:val="4"/>
          <w:szCs w:val="4"/>
        </w:rPr>
      </w:pPr>
      <w:r>
        <w:rPr>
          <w:sz w:val="4"/>
          <w:szCs w:val="4"/>
        </w:rPr>
      </w:r>
      <w:bookmarkStart w:id="92" w:name="z2d1739827b6541d1a71359f2ade923aa"/>
      <w:bookmarkStart w:id="93" w:name="z2d1739827b6541d1a71359f2ade923aa"/>
      <w:bookmarkEnd w:id="93"/>
    </w:p>
    <w:tbl>
      <w:tblPr>
        <w:tblW w:w="1038" w:type="dxa"/>
        <w:jc w:val="left"/>
        <w:tblInd w:w="0" w:type="dxa"/>
        <w:tblLayout w:type="fixed"/>
        <w:tblCellMar>
          <w:top w:w="0" w:type="dxa"/>
          <w:left w:w="0" w:type="dxa"/>
          <w:bottom w:w="0" w:type="dxa"/>
          <w:right w:w="0" w:type="dxa"/>
        </w:tblCellMar>
      </w:tblPr>
      <w:tblGrid>
        <w:gridCol w:w="38"/>
        <w:gridCol w:w="320"/>
        <w:gridCol w:w="680"/>
      </w:tblGrid>
      <w:tr>
        <w:trPr/>
        <w:tc>
          <w:tcPr>
            <w:tcW w:w="38" w:type="dxa"/>
            <w:tcBorders/>
            <w:vAlign w:val="center"/>
          </w:tcPr>
          <w:p>
            <w:pPr>
              <w:pStyle w:val="TableContents"/>
              <w:bidi w:val="0"/>
              <w:spacing w:before="0" w:after="283"/>
              <w:jc w:val="left"/>
              <w:rPr/>
            </w:pPr>
            <w:r>
              <w:rPr/>
            </w:r>
          </w:p>
        </w:tc>
        <w:tc>
          <w:tcPr>
            <w:tcW w:w="320" w:type="dxa"/>
            <w:tcBorders/>
            <w:vAlign w:val="center"/>
          </w:tcPr>
          <w:p>
            <w:pPr>
              <w:pStyle w:val="TableContents"/>
              <w:bidi w:val="0"/>
              <w:spacing w:before="0" w:after="283"/>
              <w:jc w:val="left"/>
              <w:rPr>
                <w:b/>
              </w:rPr>
            </w:pPr>
            <w:r>
              <w:rPr>
                <w:b/>
              </w:rPr>
              <w:t>10.</w:t>
            </w:r>
          </w:p>
        </w:tc>
        <w:tc>
          <w:tcPr>
            <w:tcW w:w="680" w:type="dxa"/>
            <w:tcBorders/>
            <w:vAlign w:val="center"/>
          </w:tcPr>
          <w:p>
            <w:pPr>
              <w:pStyle w:val="TableContents"/>
              <w:bidi w:val="0"/>
              <w:spacing w:before="0" w:after="0"/>
              <w:jc w:val="both"/>
              <w:rPr>
                <w:b/>
                <w:u w:val="single"/>
              </w:rPr>
            </w:pPr>
            <w:r>
              <w:rPr>
                <w:b/>
                <w:u w:val="single"/>
              </w:rPr>
              <w:t>Notice</w:t>
            </w:r>
          </w:p>
        </w:tc>
      </w:tr>
    </w:tbl>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720" w:right="358" w:firstLine="566"/>
        <w:jc w:val="both"/>
        <w:rPr>
          <w:rFonts w:ascii="Times New Roman;Times;serif" w:hAnsi="Times New Roman;Times;serif"/>
          <w:color w:val="000000"/>
          <w:sz w:val="20"/>
        </w:rPr>
      </w:pPr>
      <w:r>
        <w:rPr>
          <w:rFonts w:ascii="Times New Roman;Times;serif" w:hAnsi="Times New Roman;Times;serif"/>
          <w:color w:val="000000"/>
          <w:sz w:val="20"/>
        </w:rPr>
        <w:t>For the purpose of this Agreement, notices and all other communications provided for in the Agreement shall be deemed to have been duly given when personally delivered or sent by registered mail, postage prepaid, addressed to the respective addresses set forth below or last given by each party to the other. All notices and communications shall be deemed to have been received on the date of delivery thereof, except that notice of change of address shall be effective only upon receipt.</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720" w:right="355" w:firstLine="566"/>
        <w:jc w:val="both"/>
        <w:rPr>
          <w:rFonts w:ascii="Times New Roman;Times;serif" w:hAnsi="Times New Roman;Times;serif"/>
          <w:color w:val="000000"/>
          <w:sz w:val="20"/>
        </w:rPr>
      </w:pPr>
      <w:r>
        <w:rPr>
          <w:rFonts w:ascii="Times New Roman;Times;serif" w:hAnsi="Times New Roman;Times;serif"/>
          <w:color w:val="000000"/>
          <w:sz w:val="20"/>
        </w:rPr>
        <w:t>The initial addresses of the parties for purposes of this Agreement shall be as set forth in the preamble to this Agreement.</w:t>
      </w:r>
    </w:p>
    <w:p>
      <w:pPr>
        <w:pStyle w:val="TextBody"/>
        <w:bidi w:val="0"/>
        <w:spacing w:lineRule="auto" w:line="300" w:before="0" w:after="0"/>
        <w:jc w:val="left"/>
        <w:rPr>
          <w:color w:val="000000"/>
        </w:rPr>
      </w:pPr>
      <w:r>
        <w:rPr>
          <w:color w:val="000000"/>
        </w:rPr>
        <w:t> </w:t>
      </w:r>
    </w:p>
    <w:p>
      <w:pPr>
        <w:pStyle w:val="Normal"/>
        <w:bidi w:val="0"/>
        <w:spacing w:before="0" w:after="0"/>
        <w:jc w:val="left"/>
        <w:rPr>
          <w:sz w:val="4"/>
          <w:szCs w:val="4"/>
        </w:rPr>
      </w:pPr>
      <w:r>
        <w:rPr>
          <w:sz w:val="4"/>
          <w:szCs w:val="4"/>
        </w:rPr>
      </w:r>
      <w:bookmarkStart w:id="94" w:name="z42faecbc8c0b4b4a892c4742d5f50ef3"/>
      <w:bookmarkStart w:id="95" w:name="z42faecbc8c0b4b4a892c4742d5f50ef3"/>
      <w:bookmarkEnd w:id="95"/>
    </w:p>
    <w:tbl>
      <w:tblPr>
        <w:tblW w:w="3768" w:type="dxa"/>
        <w:jc w:val="left"/>
        <w:tblInd w:w="0" w:type="dxa"/>
        <w:tblLayout w:type="fixed"/>
        <w:tblCellMar>
          <w:top w:w="0" w:type="dxa"/>
          <w:left w:w="0" w:type="dxa"/>
          <w:bottom w:w="0" w:type="dxa"/>
          <w:right w:w="0" w:type="dxa"/>
        </w:tblCellMar>
      </w:tblPr>
      <w:tblGrid>
        <w:gridCol w:w="38"/>
        <w:gridCol w:w="320"/>
        <w:gridCol w:w="3410"/>
      </w:tblGrid>
      <w:tr>
        <w:trPr/>
        <w:tc>
          <w:tcPr>
            <w:tcW w:w="38" w:type="dxa"/>
            <w:tcBorders/>
            <w:vAlign w:val="center"/>
          </w:tcPr>
          <w:p>
            <w:pPr>
              <w:pStyle w:val="TableContents"/>
              <w:bidi w:val="0"/>
              <w:spacing w:before="0" w:after="283"/>
              <w:jc w:val="left"/>
              <w:rPr/>
            </w:pPr>
            <w:r>
              <w:rPr/>
            </w:r>
          </w:p>
        </w:tc>
        <w:tc>
          <w:tcPr>
            <w:tcW w:w="320" w:type="dxa"/>
            <w:tcBorders/>
            <w:vAlign w:val="center"/>
          </w:tcPr>
          <w:p>
            <w:pPr>
              <w:pStyle w:val="TableContents"/>
              <w:bidi w:val="0"/>
              <w:spacing w:before="0" w:after="283"/>
              <w:jc w:val="left"/>
              <w:rPr>
                <w:b/>
              </w:rPr>
            </w:pPr>
            <w:r>
              <w:rPr>
                <w:b/>
              </w:rPr>
              <w:t>11.</w:t>
            </w:r>
          </w:p>
        </w:tc>
        <w:tc>
          <w:tcPr>
            <w:tcW w:w="3410" w:type="dxa"/>
            <w:tcBorders/>
            <w:vAlign w:val="center"/>
          </w:tcPr>
          <w:p>
            <w:pPr>
              <w:pStyle w:val="TableContents"/>
              <w:bidi w:val="0"/>
              <w:spacing w:before="0" w:after="0"/>
              <w:jc w:val="both"/>
              <w:rPr>
                <w:b/>
                <w:u w:val="single"/>
              </w:rPr>
            </w:pPr>
            <w:r>
              <w:rPr>
                <w:b/>
                <w:u w:val="single"/>
              </w:rPr>
              <w:t>Prevention of Sexual Harassment</w:t>
            </w:r>
          </w:p>
        </w:tc>
      </w:tr>
    </w:tbl>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720" w:right="354" w:firstLine="566"/>
        <w:jc w:val="both"/>
        <w:rPr>
          <w:rFonts w:ascii="Times New Roman;Times;serif" w:hAnsi="Times New Roman;Times;serif"/>
          <w:color w:val="000000"/>
          <w:sz w:val="20"/>
        </w:rPr>
      </w:pPr>
      <w:r>
        <w:rPr>
          <w:rFonts w:ascii="Times New Roman;Times;serif" w:hAnsi="Times New Roman;Times;serif"/>
          <w:color w:val="000000"/>
          <w:sz w:val="20"/>
        </w:rPr>
        <w:t>The Company sees violations of the Law for Prevention of Sexual Harassment (the “</w:t>
      </w:r>
      <w:r>
        <w:rPr>
          <w:rFonts w:ascii="Times New Roman;Times;serif" w:hAnsi="Times New Roman;Times;serif"/>
          <w:b/>
          <w:color w:val="000000"/>
          <w:sz w:val="20"/>
        </w:rPr>
        <w:t>Law</w:t>
      </w:r>
      <w:r>
        <w:rPr>
          <w:rFonts w:ascii="Times New Roman;Times;serif" w:hAnsi="Times New Roman;Times;serif"/>
          <w:color w:val="000000"/>
          <w:sz w:val="20"/>
        </w:rPr>
        <w:t>”) in a severe light. The Employee acknowledges being informed of the Company's policy regarding sexual harassment, including the existence of Company guidelines for the prevention of sexual harassment that may be received at any time from the employee in charge of enforcing the Law in the Company.</w:t>
      </w:r>
    </w:p>
    <w:p>
      <w:pPr>
        <w:pStyle w:val="TextBody"/>
        <w:bidi w:val="0"/>
        <w:spacing w:lineRule="auto" w:line="300" w:before="0" w:after="0"/>
        <w:jc w:val="left"/>
        <w:rPr/>
      </w:pPr>
      <w:r>
        <w:rPr/>
      </w:r>
    </w:p>
    <w:p>
      <w:pPr>
        <w:pStyle w:val="Normal"/>
        <w:bidi w:val="0"/>
        <w:spacing w:before="0" w:after="0"/>
        <w:jc w:val="left"/>
        <w:rPr>
          <w:sz w:val="4"/>
          <w:szCs w:val="4"/>
        </w:rPr>
      </w:pPr>
      <w:r>
        <w:rPr>
          <w:sz w:val="4"/>
          <w:szCs w:val="4"/>
        </w:rPr>
      </w:r>
      <w:bookmarkStart w:id="96" w:name="ze0af266c0f5745da9d6aec3d21f1418a"/>
      <w:bookmarkStart w:id="97" w:name="ze0af266c0f5745da9d6aec3d21f1418a"/>
      <w:bookmarkEnd w:id="97"/>
    </w:p>
    <w:tbl>
      <w:tblPr>
        <w:tblW w:w="2133" w:type="dxa"/>
        <w:jc w:val="left"/>
        <w:tblInd w:w="0" w:type="dxa"/>
        <w:tblLayout w:type="fixed"/>
        <w:tblCellMar>
          <w:top w:w="0" w:type="dxa"/>
          <w:left w:w="0" w:type="dxa"/>
          <w:bottom w:w="0" w:type="dxa"/>
          <w:right w:w="0" w:type="dxa"/>
        </w:tblCellMar>
      </w:tblPr>
      <w:tblGrid>
        <w:gridCol w:w="38"/>
        <w:gridCol w:w="320"/>
        <w:gridCol w:w="1775"/>
      </w:tblGrid>
      <w:tr>
        <w:trPr/>
        <w:tc>
          <w:tcPr>
            <w:tcW w:w="38" w:type="dxa"/>
            <w:tcBorders/>
            <w:vAlign w:val="center"/>
          </w:tcPr>
          <w:p>
            <w:pPr>
              <w:pStyle w:val="TableContents"/>
              <w:bidi w:val="0"/>
              <w:spacing w:before="0" w:after="283"/>
              <w:jc w:val="left"/>
              <w:rPr/>
            </w:pPr>
            <w:r>
              <w:rPr/>
            </w:r>
          </w:p>
        </w:tc>
        <w:tc>
          <w:tcPr>
            <w:tcW w:w="320" w:type="dxa"/>
            <w:tcBorders/>
            <w:vAlign w:val="center"/>
          </w:tcPr>
          <w:p>
            <w:pPr>
              <w:pStyle w:val="TableContents"/>
              <w:bidi w:val="0"/>
              <w:spacing w:before="0" w:after="283"/>
              <w:jc w:val="left"/>
              <w:rPr>
                <w:b/>
              </w:rPr>
            </w:pPr>
            <w:r>
              <w:rPr>
                <w:b/>
              </w:rPr>
              <w:t>12.</w:t>
            </w:r>
          </w:p>
        </w:tc>
        <w:tc>
          <w:tcPr>
            <w:tcW w:w="1775" w:type="dxa"/>
            <w:tcBorders/>
            <w:vAlign w:val="center"/>
          </w:tcPr>
          <w:p>
            <w:pPr>
              <w:pStyle w:val="TableContents"/>
              <w:bidi w:val="0"/>
              <w:spacing w:before="0" w:after="0"/>
              <w:jc w:val="left"/>
              <w:rPr>
                <w:b/>
                <w:u w:val="single"/>
              </w:rPr>
            </w:pPr>
            <w:r>
              <w:rPr>
                <w:b/>
                <w:u w:val="single"/>
              </w:rPr>
              <w:t>Code of Conduct</w:t>
            </w:r>
          </w:p>
        </w:tc>
      </w:tr>
    </w:tbl>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1286"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Employee has executed and agrees to be bound by the provisions governing the Company’s Code of Conduct contained in </w:t>
      </w:r>
      <w:r>
        <w:rPr>
          <w:rFonts w:ascii="Times New Roman;Times;serif" w:hAnsi="Times New Roman;Times;serif"/>
          <w:color w:val="000000"/>
          <w:sz w:val="20"/>
          <w:u w:val="single"/>
        </w:rPr>
        <w:t>Exhibit D</w:t>
      </w:r>
      <w:r>
        <w:rPr>
          <w:rFonts w:ascii="Times New Roman;Times;serif" w:hAnsi="Times New Roman;Times;serif"/>
          <w:color w:val="000000"/>
          <w:sz w:val="20"/>
        </w:rPr>
        <w:t xml:space="preserve"> to this Agreement. </w:t>
      </w:r>
    </w:p>
    <w:p>
      <w:pPr>
        <w:pStyle w:val="TextBody"/>
        <w:bidi w:val="0"/>
        <w:spacing w:lineRule="auto" w:line="300" w:before="0" w:after="0"/>
        <w:jc w:val="left"/>
        <w:rPr>
          <w:color w:val="000000"/>
        </w:rPr>
      </w:pPr>
      <w:r>
        <w:rPr>
          <w:color w:val="000000"/>
        </w:rPr>
        <w:t> </w:t>
      </w:r>
    </w:p>
    <w:p>
      <w:pPr>
        <w:pStyle w:val="Normal"/>
        <w:bidi w:val="0"/>
        <w:spacing w:before="0" w:after="0"/>
        <w:jc w:val="left"/>
        <w:rPr>
          <w:sz w:val="4"/>
          <w:szCs w:val="4"/>
        </w:rPr>
      </w:pPr>
      <w:r>
        <w:rPr>
          <w:sz w:val="4"/>
          <w:szCs w:val="4"/>
        </w:rPr>
      </w:r>
      <w:bookmarkStart w:id="98" w:name="za9e78c5226584ceb98673684b4253ba8"/>
      <w:bookmarkStart w:id="99" w:name="za9e78c5226584ceb98673684b4253ba8"/>
      <w:bookmarkEnd w:id="99"/>
    </w:p>
    <w:tbl>
      <w:tblPr>
        <w:tblW w:w="1803" w:type="dxa"/>
        <w:jc w:val="left"/>
        <w:tblInd w:w="0" w:type="dxa"/>
        <w:tblLayout w:type="fixed"/>
        <w:tblCellMar>
          <w:top w:w="0" w:type="dxa"/>
          <w:left w:w="0" w:type="dxa"/>
          <w:bottom w:w="0" w:type="dxa"/>
          <w:right w:w="0" w:type="dxa"/>
        </w:tblCellMar>
      </w:tblPr>
      <w:tblGrid>
        <w:gridCol w:w="38"/>
        <w:gridCol w:w="320"/>
        <w:gridCol w:w="1445"/>
      </w:tblGrid>
      <w:tr>
        <w:trPr/>
        <w:tc>
          <w:tcPr>
            <w:tcW w:w="38" w:type="dxa"/>
            <w:tcBorders/>
            <w:vAlign w:val="center"/>
          </w:tcPr>
          <w:p>
            <w:pPr>
              <w:pStyle w:val="TableContents"/>
              <w:bidi w:val="0"/>
              <w:spacing w:before="0" w:after="283"/>
              <w:jc w:val="left"/>
              <w:rPr/>
            </w:pPr>
            <w:r>
              <w:rPr/>
            </w:r>
          </w:p>
        </w:tc>
        <w:tc>
          <w:tcPr>
            <w:tcW w:w="320" w:type="dxa"/>
            <w:tcBorders/>
            <w:vAlign w:val="center"/>
          </w:tcPr>
          <w:p>
            <w:pPr>
              <w:pStyle w:val="TableContents"/>
              <w:bidi w:val="0"/>
              <w:spacing w:before="0" w:after="283"/>
              <w:jc w:val="left"/>
              <w:rPr>
                <w:b/>
              </w:rPr>
            </w:pPr>
            <w:r>
              <w:rPr>
                <w:b/>
              </w:rPr>
              <w:t>13.</w:t>
            </w:r>
          </w:p>
        </w:tc>
        <w:tc>
          <w:tcPr>
            <w:tcW w:w="1445" w:type="dxa"/>
            <w:tcBorders/>
            <w:vAlign w:val="center"/>
          </w:tcPr>
          <w:p>
            <w:pPr>
              <w:pStyle w:val="TableContents"/>
              <w:bidi w:val="0"/>
              <w:spacing w:before="0" w:after="0"/>
              <w:jc w:val="both"/>
              <w:rPr>
                <w:b/>
                <w:u w:val="single"/>
              </w:rPr>
            </w:pPr>
            <w:r>
              <w:rPr>
                <w:b/>
                <w:u w:val="single"/>
              </w:rPr>
              <w:t>Miscellaneous</w:t>
            </w:r>
          </w:p>
        </w:tc>
      </w:tr>
    </w:tbl>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720" w:right="354" w:firstLine="566"/>
        <w:jc w:val="both"/>
        <w:rPr>
          <w:rFonts w:ascii="Times New Roman;Times;serif" w:hAnsi="Times New Roman;Times;serif"/>
          <w:color w:val="000000"/>
          <w:sz w:val="20"/>
        </w:rPr>
      </w:pPr>
      <w:r>
        <w:rPr>
          <w:rFonts w:ascii="Times New Roman;Times;serif" w:hAnsi="Times New Roman;Times;serif"/>
          <w:color w:val="000000"/>
          <w:sz w:val="20"/>
        </w:rPr>
        <w:t>No provision of this Agreement may be modified, waived or discharged unless such waiver, modification or discharge is agreed to in writing and signed by the Employee and the Company. No waiver by either party hereto at any time of any breach by the other party hereto of, or compliance with, any condition of this Agreement to be performed by such other party shall be deemed a waiver of similar or dissimilar provisions or conditions at the same or at any prior or subsequent time. No agreement or representations, oral or otherwise, express or implied, with respect to the subject matter hereof have been made either party which are not expressly set forth in this Agreement. This Agreement shall not be modified or otherwise affected by unwritten "customs" under Israeli employment law, or other terms effective for other employees of the Company.</w:t>
      </w:r>
    </w:p>
    <w:p>
      <w:pPr>
        <w:pStyle w:val="HorizontalLine"/>
        <w:pBdr>
          <w:bottom w:val="single" w:sz="12" w:space="0" w:color="808080"/>
        </w:pBdr>
        <w:bidi w:val="0"/>
        <w:spacing w:before="200" w:after="200"/>
        <w:jc w:val="left"/>
        <w:rPr/>
      </w:pPr>
      <w:r>
        <w:rPr/>
      </w:r>
    </w:p>
    <w:p>
      <w:pPr>
        <w:pStyle w:val="TextBody"/>
        <w:bidi w:val="0"/>
        <w:spacing w:lineRule="auto" w:line="300" w:before="0" w:after="0"/>
        <w:jc w:val="left"/>
        <w:rPr/>
      </w:pPr>
      <w:r>
        <w:rPr/>
      </w:r>
    </w:p>
    <w:p>
      <w:pPr>
        <w:pStyle w:val="Normal"/>
        <w:bidi w:val="0"/>
        <w:spacing w:before="0" w:after="0"/>
        <w:jc w:val="left"/>
        <w:rPr>
          <w:sz w:val="4"/>
          <w:szCs w:val="4"/>
        </w:rPr>
      </w:pPr>
      <w:r>
        <w:rPr>
          <w:sz w:val="4"/>
          <w:szCs w:val="4"/>
        </w:rPr>
      </w:r>
      <w:bookmarkStart w:id="100" w:name="zdedc01f2d610431baebf4d6a7b72d0fd"/>
      <w:bookmarkStart w:id="101" w:name="zdedc01f2d610431baebf4d6a7b72d0fd"/>
      <w:bookmarkEnd w:id="101"/>
    </w:p>
    <w:tbl>
      <w:tblPr>
        <w:tblW w:w="1998" w:type="dxa"/>
        <w:jc w:val="left"/>
        <w:tblInd w:w="0" w:type="dxa"/>
        <w:tblLayout w:type="fixed"/>
        <w:tblCellMar>
          <w:top w:w="0" w:type="dxa"/>
          <w:left w:w="0" w:type="dxa"/>
          <w:bottom w:w="0" w:type="dxa"/>
          <w:right w:w="0" w:type="dxa"/>
        </w:tblCellMar>
      </w:tblPr>
      <w:tblGrid>
        <w:gridCol w:w="38"/>
        <w:gridCol w:w="320"/>
        <w:gridCol w:w="1640"/>
      </w:tblGrid>
      <w:tr>
        <w:trPr/>
        <w:tc>
          <w:tcPr>
            <w:tcW w:w="38" w:type="dxa"/>
            <w:tcBorders/>
            <w:vAlign w:val="center"/>
          </w:tcPr>
          <w:p>
            <w:pPr>
              <w:pStyle w:val="TableContents"/>
              <w:bidi w:val="0"/>
              <w:spacing w:before="0" w:after="283"/>
              <w:jc w:val="left"/>
              <w:rPr/>
            </w:pPr>
            <w:r>
              <w:rPr/>
            </w:r>
          </w:p>
        </w:tc>
        <w:tc>
          <w:tcPr>
            <w:tcW w:w="320" w:type="dxa"/>
            <w:tcBorders/>
            <w:vAlign w:val="center"/>
          </w:tcPr>
          <w:p>
            <w:pPr>
              <w:pStyle w:val="TableContents"/>
              <w:bidi w:val="0"/>
              <w:spacing w:before="0" w:after="283"/>
              <w:jc w:val="left"/>
              <w:rPr>
                <w:b/>
              </w:rPr>
            </w:pPr>
            <w:r>
              <w:rPr>
                <w:b/>
              </w:rPr>
              <w:t>14.</w:t>
            </w:r>
          </w:p>
        </w:tc>
        <w:tc>
          <w:tcPr>
            <w:tcW w:w="1640" w:type="dxa"/>
            <w:tcBorders/>
            <w:vAlign w:val="center"/>
          </w:tcPr>
          <w:p>
            <w:pPr>
              <w:pStyle w:val="TableContents"/>
              <w:bidi w:val="0"/>
              <w:spacing w:before="0" w:after="0"/>
              <w:jc w:val="both"/>
              <w:rPr>
                <w:b/>
                <w:u w:val="single"/>
              </w:rPr>
            </w:pPr>
            <w:r>
              <w:rPr>
                <w:b/>
                <w:u w:val="single"/>
              </w:rPr>
              <w:t>Governing Law</w:t>
            </w:r>
          </w:p>
        </w:tc>
      </w:tr>
    </w:tbl>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720" w:right="358" w:firstLine="566"/>
        <w:jc w:val="both"/>
        <w:rPr>
          <w:rFonts w:ascii="Times New Roman;Times;serif" w:hAnsi="Times New Roman;Times;serif"/>
          <w:color w:val="000000"/>
          <w:sz w:val="20"/>
        </w:rPr>
      </w:pPr>
      <w:r>
        <w:rPr>
          <w:rFonts w:ascii="Times New Roman;Times;serif" w:hAnsi="Times New Roman;Times;serif"/>
          <w:color w:val="000000"/>
          <w:sz w:val="20"/>
        </w:rPr>
        <w:t>This Agreement shall be governed by and construed and enforced in accordance with the laws of the State of Israel.</w:t>
      </w:r>
    </w:p>
    <w:p>
      <w:pPr>
        <w:pStyle w:val="TextBody"/>
        <w:bidi w:val="0"/>
        <w:spacing w:lineRule="auto" w:line="300" w:before="0" w:after="0"/>
        <w:jc w:val="left"/>
        <w:rPr>
          <w:color w:val="000000"/>
        </w:rPr>
      </w:pPr>
      <w:r>
        <w:rPr>
          <w:color w:val="000000"/>
        </w:rPr>
        <w:t> </w:t>
      </w:r>
    </w:p>
    <w:p>
      <w:pPr>
        <w:pStyle w:val="Normal"/>
        <w:bidi w:val="0"/>
        <w:spacing w:before="0" w:after="0"/>
        <w:jc w:val="left"/>
        <w:rPr>
          <w:sz w:val="4"/>
          <w:szCs w:val="4"/>
        </w:rPr>
      </w:pPr>
      <w:r>
        <w:rPr>
          <w:sz w:val="4"/>
          <w:szCs w:val="4"/>
        </w:rPr>
      </w:r>
      <w:bookmarkStart w:id="102" w:name="z2baab03b659f4fb988dd7f01fbfbe358"/>
      <w:bookmarkStart w:id="103" w:name="z2baab03b659f4fb988dd7f01fbfbe358"/>
      <w:bookmarkEnd w:id="103"/>
    </w:p>
    <w:tbl>
      <w:tblPr>
        <w:tblW w:w="1593" w:type="dxa"/>
        <w:jc w:val="left"/>
        <w:tblInd w:w="0" w:type="dxa"/>
        <w:tblLayout w:type="fixed"/>
        <w:tblCellMar>
          <w:top w:w="0" w:type="dxa"/>
          <w:left w:w="0" w:type="dxa"/>
          <w:bottom w:w="0" w:type="dxa"/>
          <w:right w:w="0" w:type="dxa"/>
        </w:tblCellMar>
      </w:tblPr>
      <w:tblGrid>
        <w:gridCol w:w="38"/>
        <w:gridCol w:w="320"/>
        <w:gridCol w:w="1235"/>
      </w:tblGrid>
      <w:tr>
        <w:trPr/>
        <w:tc>
          <w:tcPr>
            <w:tcW w:w="38" w:type="dxa"/>
            <w:tcBorders/>
            <w:vAlign w:val="center"/>
          </w:tcPr>
          <w:p>
            <w:pPr>
              <w:pStyle w:val="TableContents"/>
              <w:bidi w:val="0"/>
              <w:spacing w:before="0" w:after="283"/>
              <w:jc w:val="left"/>
              <w:rPr/>
            </w:pPr>
            <w:r>
              <w:rPr/>
            </w:r>
          </w:p>
        </w:tc>
        <w:tc>
          <w:tcPr>
            <w:tcW w:w="320" w:type="dxa"/>
            <w:tcBorders/>
            <w:vAlign w:val="center"/>
          </w:tcPr>
          <w:p>
            <w:pPr>
              <w:pStyle w:val="TableContents"/>
              <w:bidi w:val="0"/>
              <w:spacing w:before="0" w:after="283"/>
              <w:jc w:val="left"/>
              <w:rPr>
                <w:b/>
              </w:rPr>
            </w:pPr>
            <w:r>
              <w:rPr>
                <w:b/>
              </w:rPr>
              <w:t>15.</w:t>
            </w:r>
          </w:p>
        </w:tc>
        <w:tc>
          <w:tcPr>
            <w:tcW w:w="1235" w:type="dxa"/>
            <w:tcBorders/>
            <w:vAlign w:val="center"/>
          </w:tcPr>
          <w:p>
            <w:pPr>
              <w:pStyle w:val="TableContents"/>
              <w:bidi w:val="0"/>
              <w:spacing w:before="0" w:after="0"/>
              <w:jc w:val="both"/>
              <w:rPr>
                <w:b/>
                <w:u w:val="single"/>
              </w:rPr>
            </w:pPr>
            <w:r>
              <w:rPr>
                <w:b/>
                <w:u w:val="single"/>
              </w:rPr>
              <w:t>Severability</w:t>
            </w:r>
          </w:p>
        </w:tc>
      </w:tr>
    </w:tbl>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720" w:right="357" w:firstLine="566"/>
        <w:jc w:val="both"/>
        <w:rPr>
          <w:rFonts w:ascii="Times New Roman;Times;serif" w:hAnsi="Times New Roman;Times;serif"/>
          <w:color w:val="000000"/>
          <w:sz w:val="20"/>
        </w:rPr>
      </w:pPr>
      <w:r>
        <w:rPr>
          <w:rFonts w:ascii="Times New Roman;Times;serif" w:hAnsi="Times New Roman;Times;serif"/>
          <w:color w:val="000000"/>
          <w:sz w:val="20"/>
        </w:rPr>
        <w:t>In the event that any provision of this Agreement is held invalid or unenforceable in any circumstances by a court of competent jurisdiction, the remainder of this Agreement, and the application of such provision in any other circumstances, shall not be affected thereby, and the unenforceable provision enforced to the maximum extent permissible under law, or otherwise shall be replaced by an enforceable provision that most nearly approximates the intent of the unenforceable provision.</w:t>
      </w:r>
    </w:p>
    <w:p>
      <w:pPr>
        <w:pStyle w:val="TextBody"/>
        <w:bidi w:val="0"/>
        <w:spacing w:lineRule="auto" w:line="300" w:before="0" w:after="0"/>
        <w:jc w:val="left"/>
        <w:rPr>
          <w:color w:val="000000"/>
        </w:rPr>
      </w:pPr>
      <w:r>
        <w:rPr>
          <w:color w:val="000000"/>
        </w:rPr>
        <w:t> </w:t>
      </w:r>
    </w:p>
    <w:p>
      <w:pPr>
        <w:pStyle w:val="Normal"/>
        <w:bidi w:val="0"/>
        <w:spacing w:before="0" w:after="0"/>
        <w:jc w:val="left"/>
        <w:rPr>
          <w:sz w:val="4"/>
          <w:szCs w:val="4"/>
        </w:rPr>
      </w:pPr>
      <w:r>
        <w:rPr>
          <w:sz w:val="4"/>
          <w:szCs w:val="4"/>
        </w:rPr>
      </w:r>
      <w:bookmarkStart w:id="104" w:name="zbfad05ad6b3f4542af0f4bf29d86c9cd"/>
      <w:bookmarkStart w:id="105" w:name="zbfad05ad6b3f4542af0f4bf29d86c9cd"/>
      <w:bookmarkEnd w:id="105"/>
    </w:p>
    <w:tbl>
      <w:tblPr>
        <w:tblW w:w="2223" w:type="dxa"/>
        <w:jc w:val="left"/>
        <w:tblInd w:w="0" w:type="dxa"/>
        <w:tblLayout w:type="fixed"/>
        <w:tblCellMar>
          <w:top w:w="0" w:type="dxa"/>
          <w:left w:w="0" w:type="dxa"/>
          <w:bottom w:w="0" w:type="dxa"/>
          <w:right w:w="0" w:type="dxa"/>
        </w:tblCellMar>
      </w:tblPr>
      <w:tblGrid>
        <w:gridCol w:w="38"/>
        <w:gridCol w:w="320"/>
        <w:gridCol w:w="1865"/>
      </w:tblGrid>
      <w:tr>
        <w:trPr/>
        <w:tc>
          <w:tcPr>
            <w:tcW w:w="38" w:type="dxa"/>
            <w:tcBorders/>
            <w:vAlign w:val="center"/>
          </w:tcPr>
          <w:p>
            <w:pPr>
              <w:pStyle w:val="TableContents"/>
              <w:bidi w:val="0"/>
              <w:spacing w:before="0" w:after="283"/>
              <w:jc w:val="left"/>
              <w:rPr/>
            </w:pPr>
            <w:r>
              <w:rPr/>
            </w:r>
          </w:p>
        </w:tc>
        <w:tc>
          <w:tcPr>
            <w:tcW w:w="320" w:type="dxa"/>
            <w:tcBorders/>
            <w:vAlign w:val="center"/>
          </w:tcPr>
          <w:p>
            <w:pPr>
              <w:pStyle w:val="TableContents"/>
              <w:bidi w:val="0"/>
              <w:spacing w:before="0" w:after="283"/>
              <w:jc w:val="left"/>
              <w:rPr>
                <w:b/>
              </w:rPr>
            </w:pPr>
            <w:r>
              <w:rPr>
                <w:b/>
              </w:rPr>
              <w:t>16.</w:t>
            </w:r>
          </w:p>
        </w:tc>
        <w:tc>
          <w:tcPr>
            <w:tcW w:w="1865" w:type="dxa"/>
            <w:tcBorders/>
            <w:vAlign w:val="center"/>
          </w:tcPr>
          <w:p>
            <w:pPr>
              <w:pStyle w:val="TableContents"/>
              <w:bidi w:val="0"/>
              <w:spacing w:before="0" w:after="0"/>
              <w:jc w:val="both"/>
              <w:rPr>
                <w:b/>
                <w:u w:val="single"/>
              </w:rPr>
            </w:pPr>
            <w:r>
              <w:rPr>
                <w:b/>
                <w:u w:val="single"/>
              </w:rPr>
              <w:t>Entire Agreement</w:t>
            </w:r>
          </w:p>
        </w:tc>
      </w:tr>
    </w:tbl>
    <w:p>
      <w:pPr>
        <w:pStyle w:val="TextBody"/>
        <w:bidi w:val="0"/>
        <w:spacing w:lineRule="auto" w:line="300" w:before="0" w:after="0"/>
        <w:jc w:val="left"/>
        <w:rPr>
          <w:color w:val="000000"/>
        </w:rPr>
      </w:pPr>
      <w:r>
        <w:rPr>
          <w:color w:val="000000"/>
        </w:rPr>
        <w:t> </w:t>
      </w:r>
    </w:p>
    <w:p>
      <w:pPr>
        <w:pStyle w:val="Normal"/>
        <w:bidi w:val="0"/>
        <w:spacing w:before="0" w:after="0"/>
        <w:jc w:val="left"/>
        <w:rPr>
          <w:sz w:val="4"/>
          <w:szCs w:val="4"/>
        </w:rPr>
      </w:pPr>
      <w:r>
        <w:rPr>
          <w:sz w:val="4"/>
          <w:szCs w:val="4"/>
        </w:rPr>
      </w:r>
      <w:bookmarkStart w:id="106" w:name="z0dc28dcb4de1473097ad9d293165a55c"/>
      <w:bookmarkStart w:id="107" w:name="z0dc28dcb4de1473097ad9d293165a55c"/>
      <w:bookmarkEnd w:id="107"/>
    </w:p>
    <w:tbl>
      <w:tblPr>
        <w:tblW w:w="10205" w:type="dxa"/>
        <w:jc w:val="left"/>
        <w:tblInd w:w="0" w:type="dxa"/>
        <w:tblLayout w:type="fixed"/>
        <w:tblCellMar>
          <w:top w:w="0" w:type="dxa"/>
          <w:left w:w="0" w:type="dxa"/>
          <w:bottom w:w="0" w:type="dxa"/>
          <w:right w:w="0" w:type="dxa"/>
        </w:tblCellMar>
      </w:tblPr>
      <w:tblGrid>
        <w:gridCol w:w="38"/>
        <w:gridCol w:w="155"/>
        <w:gridCol w:w="10012"/>
      </w:tblGrid>
      <w:tr>
        <w:trPr/>
        <w:tc>
          <w:tcPr>
            <w:tcW w:w="38" w:type="dxa"/>
            <w:tcBorders/>
            <w:vAlign w:val="center"/>
          </w:tcPr>
          <w:p>
            <w:pPr>
              <w:pStyle w:val="TableContents"/>
              <w:bidi w:val="0"/>
              <w:spacing w:before="0" w:after="283"/>
              <w:jc w:val="left"/>
              <w:rPr/>
            </w:pPr>
            <w:r>
              <w:rPr/>
            </w:r>
          </w:p>
        </w:tc>
        <w:tc>
          <w:tcPr>
            <w:tcW w:w="155" w:type="dxa"/>
            <w:tcBorders/>
            <w:vAlign w:val="center"/>
          </w:tcPr>
          <w:p>
            <w:pPr>
              <w:pStyle w:val="TableContents"/>
              <w:bidi w:val="0"/>
              <w:spacing w:before="0" w:after="283"/>
              <w:jc w:val="left"/>
              <w:rPr/>
            </w:pPr>
            <w:r>
              <w:rPr/>
              <w:t>I.</w:t>
            </w:r>
          </w:p>
        </w:tc>
        <w:tc>
          <w:tcPr>
            <w:tcW w:w="10012" w:type="dxa"/>
            <w:tcBorders/>
            <w:vAlign w:val="center"/>
          </w:tcPr>
          <w:p>
            <w:pPr>
              <w:pStyle w:val="TableContents"/>
              <w:bidi w:val="0"/>
              <w:spacing w:before="0" w:after="0"/>
              <w:jc w:val="both"/>
              <w:rPr/>
            </w:pPr>
            <w:r>
              <w:rPr/>
              <w:t>This Agreement constitutes the entire agreement between the parties hereto and supersedes all prior agreements, understandings and arrangements, oral or written, between the parties hereto with respect to the subject matter hereof.</w:t>
            </w:r>
          </w:p>
        </w:tc>
      </w:tr>
    </w:tbl>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720" w:right="363" w:hanging="0"/>
        <w:jc w:val="both"/>
        <w:rPr>
          <w:rFonts w:ascii="Times New Roman;Times;serif" w:hAnsi="Times New Roman;Times;serif"/>
          <w:color w:val="000000"/>
          <w:sz w:val="20"/>
        </w:rPr>
      </w:pPr>
      <w:r>
        <w:rPr>
          <w:rFonts w:ascii="Times New Roman;Times;serif" w:hAnsi="Times New Roman;Times;serif"/>
          <w:color w:val="000000"/>
          <w:sz w:val="20"/>
        </w:rPr>
        <w:t>This Agreement and its annexes and exhibits constitute notice to the Employee pursuant to the Notice to Employee (Employment Terms) Law – 2002.</w:t>
      </w:r>
    </w:p>
    <w:p>
      <w:pPr>
        <w:pStyle w:val="TextBody"/>
        <w:bidi w:val="0"/>
        <w:spacing w:lineRule="auto" w:line="300" w:before="0" w:after="0"/>
        <w:jc w:val="left"/>
        <w:rPr/>
      </w:pPr>
      <w:r>
        <w:rPr/>
      </w:r>
    </w:p>
    <w:p>
      <w:pPr>
        <w:pStyle w:val="TextBody"/>
        <w:bidi w:val="0"/>
        <w:spacing w:lineRule="auto" w:line="300" w:before="0" w:after="0"/>
        <w:ind w:left="720" w:right="304" w:hanging="0"/>
        <w:jc w:val="both"/>
        <w:rPr>
          <w:rFonts w:ascii="Times New Roman;Times;serif" w:hAnsi="Times New Roman;Times;serif"/>
          <w:b/>
          <w:color w:val="000000"/>
          <w:sz w:val="20"/>
        </w:rPr>
      </w:pPr>
      <w:r>
        <w:rPr>
          <w:rFonts w:ascii="Times New Roman;Times;serif" w:hAnsi="Times New Roman;Times;serif"/>
          <w:b/>
          <w:color w:val="000000"/>
          <w:sz w:val="20"/>
          <w:u w:val="single"/>
        </w:rPr>
        <w:t>Employee acknowledges that he/she (1) has read and fully understood all the provisions of this</w:t>
      </w:r>
      <w:r>
        <w:rPr>
          <w:rFonts w:ascii="Times New Roman;Times;serif" w:hAnsi="Times New Roman;Times;serif"/>
          <w:b/>
          <w:color w:val="000000"/>
          <w:sz w:val="20"/>
        </w:rPr>
        <w:t> </w:t>
      </w:r>
      <w:r>
        <w:rPr>
          <w:rFonts w:ascii="Times New Roman;Times;serif" w:hAnsi="Times New Roman;Times;serif"/>
          <w:b/>
          <w:color w:val="000000"/>
          <w:sz w:val="20"/>
          <w:u w:val="single"/>
        </w:rPr>
        <w:t>Agreement and its Exhibits; (2) was given the opportunity to consult with third parties, including his</w:t>
      </w:r>
      <w:r>
        <w:rPr>
          <w:rFonts w:ascii="Times New Roman;Times;serif" w:hAnsi="Times New Roman;Times;serif"/>
          <w:b/>
          <w:color w:val="000000"/>
          <w:sz w:val="20"/>
        </w:rPr>
        <w:t> </w:t>
      </w:r>
      <w:r>
        <w:rPr>
          <w:rFonts w:ascii="Times New Roman;Times;serif" w:hAnsi="Times New Roman;Times;serif"/>
          <w:b/>
          <w:color w:val="000000"/>
          <w:sz w:val="20"/>
          <w:u w:val="single"/>
        </w:rPr>
        <w:t>attorneys, (3) the signing of this agreement was made at Employee's own free will.</w:t>
      </w:r>
    </w:p>
    <w:p>
      <w:pPr>
        <w:pStyle w:val="TextBody"/>
        <w:bidi w:val="0"/>
        <w:spacing w:lineRule="auto" w:line="300" w:before="0" w:after="0"/>
        <w:jc w:val="left"/>
        <w:rPr>
          <w:color w:val="000000"/>
        </w:rPr>
      </w:pPr>
      <w:r>
        <w:rPr>
          <w:color w:val="000000"/>
        </w:rPr>
        <w:t> </w:t>
      </w:r>
    </w:p>
    <w:p>
      <w:pPr>
        <w:pStyle w:val="TextBody"/>
        <w:bidi w:val="0"/>
        <w:spacing w:lineRule="auto" w:line="300" w:before="0" w:after="0"/>
        <w:jc w:val="center"/>
        <w:rPr>
          <w:rFonts w:ascii="Times New Roman;Times;serif" w:hAnsi="Times New Roman;Times;serif"/>
          <w:color w:val="000000"/>
          <w:sz w:val="20"/>
        </w:rPr>
      </w:pPr>
      <w:r>
        <w:rPr>
          <w:rFonts w:ascii="Times New Roman;Times;serif" w:hAnsi="Times New Roman;Times;serif"/>
          <w:color w:val="000000"/>
          <w:sz w:val="20"/>
        </w:rPr>
        <w:t>[Remainder of Page Left Intentionally Blank]</w:t>
      </w:r>
    </w:p>
    <w:p>
      <w:pPr>
        <w:pStyle w:val="HorizontalLine"/>
        <w:pBdr>
          <w:bottom w:val="single" w:sz="12" w:space="0" w:color="808080"/>
        </w:pBdr>
        <w:bidi w:val="0"/>
        <w:spacing w:before="200" w:after="200"/>
        <w:jc w:val="left"/>
        <w:rPr/>
      </w:pPr>
      <w:r>
        <w:rPr/>
      </w:r>
    </w:p>
    <w:p>
      <w:pPr>
        <w:pStyle w:val="TextBody"/>
        <w:bidi w:val="0"/>
        <w:spacing w:lineRule="auto" w:line="300" w:before="0" w:after="0"/>
        <w:jc w:val="left"/>
        <w:rPr/>
      </w:pPr>
      <w:r>
        <w:rPr/>
      </w:r>
    </w:p>
    <w:p>
      <w:pPr>
        <w:pStyle w:val="TextBody"/>
        <w:bidi w:val="0"/>
        <w:spacing w:lineRule="auto" w:line="300" w:before="0" w:after="0"/>
        <w:jc w:val="center"/>
        <w:rPr>
          <w:rFonts w:ascii="Times New Roman;Times;serif" w:hAnsi="Times New Roman;Times;serif"/>
          <w:color w:val="000000"/>
          <w:sz w:val="20"/>
        </w:rPr>
      </w:pPr>
      <w:r>
        <w:rPr>
          <w:rFonts w:ascii="Times New Roman;Times;serif" w:hAnsi="Times New Roman;Times;serif"/>
          <w:color w:val="000000"/>
          <w:sz w:val="20"/>
        </w:rPr>
        <w:t>IN WITNESS WHEREOF:</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828" w:right="0" w:hanging="0"/>
        <w:jc w:val="left"/>
        <w:rPr>
          <w:rFonts w:ascii="Times New Roman;Times;serif" w:hAnsi="Times New Roman;Times;serif"/>
          <w:b/>
          <w:color w:val="000000"/>
          <w:sz w:val="20"/>
        </w:rPr>
      </w:pPr>
      <w:r>
        <w:rPr>
          <w:rFonts w:ascii="Times New Roman;Times;serif" w:hAnsi="Times New Roman;Times;serif"/>
          <w:b/>
          <w:color w:val="000000"/>
          <w:sz w:val="20"/>
        </w:rPr>
        <w:t>SolarEdge Technologies Ltd.</w:t>
      </w:r>
    </w:p>
    <w:p>
      <w:pPr>
        <w:pStyle w:val="TextBody"/>
        <w:bidi w:val="0"/>
        <w:spacing w:lineRule="auto" w:line="300" w:before="0" w:after="0"/>
        <w:jc w:val="left"/>
        <w:rPr>
          <w:color w:val="000000"/>
        </w:rPr>
      </w:pPr>
      <w:r>
        <w:rPr>
          <w:color w:val="000000"/>
        </w:rPr>
        <w:t> </w:t>
      </w:r>
    </w:p>
    <w:p>
      <w:pPr>
        <w:pStyle w:val="Normal"/>
        <w:bidi w:val="0"/>
        <w:spacing w:lineRule="auto" w:line="300" w:before="0" w:after="0"/>
        <w:jc w:val="left"/>
        <w:rPr>
          <w:sz w:val="4"/>
          <w:szCs w:val="4"/>
        </w:rPr>
      </w:pPr>
      <w:r>
        <w:rPr>
          <w:sz w:val="4"/>
          <w:szCs w:val="4"/>
        </w:rPr>
      </w:r>
      <w:bookmarkStart w:id="108" w:name="z12d4b6c032ed4b319a7968e16df0b0c4"/>
      <w:bookmarkStart w:id="109" w:name="z12d4b6c032ed4b319a7968e16df0b0c4"/>
      <w:bookmarkEnd w:id="109"/>
    </w:p>
    <w:tbl>
      <w:tblPr>
        <w:tblW w:w="5800" w:type="dxa"/>
        <w:jc w:val="left"/>
        <w:tblInd w:w="0" w:type="dxa"/>
        <w:tblLayout w:type="fixed"/>
        <w:tblCellMar>
          <w:top w:w="0" w:type="dxa"/>
          <w:left w:w="0" w:type="dxa"/>
          <w:bottom w:w="0" w:type="dxa"/>
          <w:right w:w="0" w:type="dxa"/>
        </w:tblCellMar>
      </w:tblPr>
      <w:tblGrid>
        <w:gridCol w:w="2930"/>
        <w:gridCol w:w="2870"/>
      </w:tblGrid>
      <w:tr>
        <w:trPr/>
        <w:tc>
          <w:tcPr>
            <w:tcW w:w="2930" w:type="dxa"/>
            <w:tcBorders/>
            <w:vAlign w:val="center"/>
          </w:tcPr>
          <w:p>
            <w:pPr>
              <w:pStyle w:val="TableContents"/>
              <w:bidi w:val="0"/>
              <w:spacing w:lineRule="auto" w:line="300" w:before="0" w:after="0"/>
              <w:ind w:left="828" w:right="0" w:hanging="0"/>
              <w:jc w:val="left"/>
              <w:rPr>
                <w:b/>
              </w:rPr>
            </w:pPr>
            <w:r>
              <w:rPr>
                <w:b/>
              </w:rPr>
              <w:t xml:space="preserve">By: </w:t>
            </w:r>
          </w:p>
          <w:p>
            <w:pPr>
              <w:pStyle w:val="TableContents"/>
              <w:bidi w:val="0"/>
              <w:spacing w:lineRule="auto" w:line="300" w:before="0" w:after="0"/>
              <w:jc w:val="left"/>
              <w:rPr/>
            </w:pPr>
            <w:r>
              <w:rPr/>
              <w:t> </w:t>
            </w:r>
          </w:p>
          <w:p>
            <w:pPr>
              <w:pStyle w:val="TableContents"/>
              <w:bidi w:val="0"/>
              <w:spacing w:lineRule="auto" w:line="300" w:before="0" w:after="0"/>
              <w:ind w:left="828" w:right="288" w:hanging="0"/>
              <w:jc w:val="left"/>
              <w:rPr>
                <w:b/>
              </w:rPr>
            </w:pPr>
            <w:r>
              <w:rPr>
                <w:b/>
              </w:rPr>
              <w:t xml:space="preserve">Name: Shuki Nir </w:t>
            </w:r>
          </w:p>
          <w:p>
            <w:pPr>
              <w:pStyle w:val="TableContents"/>
              <w:bidi w:val="0"/>
              <w:spacing w:lineRule="auto" w:line="300" w:before="0" w:after="0"/>
              <w:ind w:left="828" w:right="288" w:hanging="0"/>
              <w:jc w:val="left"/>
              <w:rPr>
                <w:b/>
              </w:rPr>
            </w:pPr>
            <w:r>
              <w:rPr>
                <w:b/>
              </w:rPr>
            </w:r>
          </w:p>
          <w:p>
            <w:pPr>
              <w:pStyle w:val="TableContents"/>
              <w:bidi w:val="0"/>
              <w:spacing w:lineRule="auto" w:line="300" w:before="0" w:after="0"/>
              <w:ind w:left="828" w:right="288" w:hanging="0"/>
              <w:jc w:val="left"/>
              <w:rPr>
                <w:b/>
              </w:rPr>
            </w:pPr>
            <w:r>
              <w:rPr>
                <w:b/>
              </w:rPr>
              <w:t>Title: CEO</w:t>
            </w:r>
          </w:p>
          <w:p>
            <w:pPr>
              <w:pStyle w:val="TableContents"/>
              <w:bidi w:val="0"/>
              <w:spacing w:lineRule="auto" w:line="300" w:before="0" w:after="0"/>
              <w:ind w:left="828" w:right="288" w:hanging="0"/>
              <w:jc w:val="left"/>
              <w:rPr>
                <w:b/>
              </w:rPr>
            </w:pPr>
            <w:r>
              <w:rPr>
                <w:b/>
              </w:rPr>
            </w:r>
          </w:p>
          <w:p>
            <w:pPr>
              <w:pStyle w:val="TableContents"/>
              <w:bidi w:val="0"/>
              <w:spacing w:lineRule="auto" w:line="300" w:before="0" w:after="0"/>
              <w:ind w:left="828" w:right="0" w:hanging="0"/>
              <w:jc w:val="left"/>
              <w:rPr/>
            </w:pPr>
            <w:r>
              <w:rPr>
                <w:b/>
              </w:rPr>
              <w:t>Dated:</w:t>
            </w:r>
            <w:r>
              <w:rPr/>
              <w:t xml:space="preserve"> __________________</w:t>
            </w:r>
          </w:p>
        </w:tc>
        <w:tc>
          <w:tcPr>
            <w:tcW w:w="2870" w:type="dxa"/>
            <w:tcBorders/>
            <w:vAlign w:val="center"/>
          </w:tcPr>
          <w:p>
            <w:pPr>
              <w:pStyle w:val="TableContents"/>
              <w:bidi w:val="0"/>
              <w:spacing w:lineRule="auto" w:line="300" w:before="0" w:after="0"/>
              <w:jc w:val="left"/>
              <w:rPr>
                <w:b/>
              </w:rPr>
            </w:pPr>
            <w:r>
              <w:rPr>
                <w:b/>
              </w:rPr>
              <w:t xml:space="preserve">Name: Maoz Sigron </w:t>
            </w:r>
          </w:p>
          <w:p>
            <w:pPr>
              <w:pStyle w:val="TableContents"/>
              <w:bidi w:val="0"/>
              <w:spacing w:lineRule="auto" w:line="300" w:before="0" w:after="0"/>
              <w:jc w:val="left"/>
              <w:rPr>
                <w:b/>
              </w:rPr>
            </w:pPr>
            <w:r>
              <w:rPr>
                <w:b/>
              </w:rPr>
            </w:r>
          </w:p>
          <w:p>
            <w:pPr>
              <w:pStyle w:val="TableContents"/>
              <w:bidi w:val="0"/>
              <w:spacing w:lineRule="auto" w:line="300" w:before="0" w:after="0"/>
              <w:jc w:val="left"/>
              <w:rPr>
                <w:b/>
              </w:rPr>
            </w:pPr>
            <w:r>
              <w:rPr>
                <w:b/>
              </w:rPr>
              <w:t>Signature</w:t>
            </w:r>
            <w:r>
              <w:rPr>
                <w:b/>
                <w:i/>
              </w:rPr>
              <w:t>:</w:t>
            </w:r>
            <w:r>
              <w:rPr>
                <w:b/>
              </w:rPr>
              <w:t xml:space="preserve"> </w:t>
            </w:r>
            <w:r>
              <w:rPr>
                <w:b w:val="false"/>
              </w:rPr>
              <w:t>______________</w:t>
            </w:r>
          </w:p>
          <w:p>
            <w:pPr>
              <w:pStyle w:val="TableContents"/>
              <w:bidi w:val="0"/>
              <w:spacing w:lineRule="auto" w:line="300" w:before="0" w:after="0"/>
              <w:jc w:val="left"/>
              <w:rPr>
                <w:b/>
              </w:rPr>
            </w:pPr>
            <w:r>
              <w:rPr>
                <w:b/>
              </w:rPr>
            </w:r>
          </w:p>
          <w:p>
            <w:pPr>
              <w:pStyle w:val="TableContents"/>
              <w:bidi w:val="0"/>
              <w:spacing w:lineRule="auto" w:line="300" w:before="0" w:after="0"/>
              <w:jc w:val="left"/>
              <w:rPr>
                <w:b/>
              </w:rPr>
            </w:pPr>
            <w:r>
              <w:rPr>
                <w:b/>
              </w:rPr>
              <w:t>Dated:__________________</w:t>
            </w:r>
          </w:p>
        </w:tc>
      </w:tr>
    </w:tbl>
    <w:p>
      <w:pPr>
        <w:pStyle w:val="TextBody"/>
        <w:bidi w:val="0"/>
        <w:spacing w:lineRule="auto" w:line="300" w:before="0" w:after="0"/>
        <w:jc w:val="left"/>
        <w:rPr/>
      </w:pPr>
      <w:r>
        <w:rPr/>
      </w:r>
    </w:p>
    <w:p>
      <w:pPr>
        <w:pStyle w:val="HorizontalLine"/>
        <w:pBdr>
          <w:bottom w:val="single" w:sz="12" w:space="0" w:color="808080"/>
        </w:pBdr>
        <w:bidi w:val="0"/>
        <w:spacing w:lineRule="auto" w:line="300" w:before="200" w:after="200"/>
        <w:jc w:val="left"/>
        <w:rPr/>
      </w:pPr>
      <w:r>
        <w:rPr/>
      </w:r>
    </w:p>
    <w:p>
      <w:pPr>
        <w:pStyle w:val="TextBody"/>
        <w:bidi w:val="0"/>
        <w:spacing w:lineRule="auto" w:line="300" w:before="0" w:after="0"/>
        <w:jc w:val="left"/>
        <w:rPr/>
      </w:pPr>
      <w:r>
        <w:rPr/>
      </w:r>
    </w:p>
    <w:p>
      <w:pPr>
        <w:pStyle w:val="TextBody"/>
        <w:bidi w:val="0"/>
        <w:spacing w:lineRule="auto" w:line="300" w:before="0" w:after="0"/>
        <w:jc w:val="center"/>
        <w:rPr>
          <w:rFonts w:ascii="Times New Roman;Times;serif" w:hAnsi="Times New Roman;Times;serif"/>
          <w:b/>
          <w:color w:val="000000"/>
          <w:sz w:val="20"/>
        </w:rPr>
      </w:pPr>
      <w:r>
        <w:rPr>
          <w:rFonts w:ascii="Times New Roman;Times;serif" w:hAnsi="Times New Roman;Times;serif"/>
          <w:b/>
          <w:color w:val="000000"/>
          <w:sz w:val="20"/>
        </w:rPr>
        <w:t>EXHIBIT A</w:t>
      </w:r>
    </w:p>
    <w:p>
      <w:pPr>
        <w:pStyle w:val="TextBody"/>
        <w:bidi w:val="0"/>
        <w:spacing w:lineRule="auto" w:line="300" w:before="0" w:after="0"/>
        <w:jc w:val="center"/>
        <w:rPr>
          <w:rFonts w:ascii="Times New Roman;Times;serif" w:hAnsi="Times New Roman;Times;serif"/>
          <w:b/>
          <w:color w:val="000000"/>
          <w:sz w:val="20"/>
        </w:rPr>
      </w:pPr>
      <w:r>
        <w:rPr>
          <w:rFonts w:ascii="Times New Roman;Times;serif" w:hAnsi="Times New Roman;Times;serif"/>
          <w:b/>
          <w:color w:val="000000"/>
          <w:sz w:val="20"/>
        </w:rPr>
        <w:t>SUMMARY OF TERMS OF THE EMPLOYMENT AGREEMENT</w:t>
      </w:r>
    </w:p>
    <w:p>
      <w:pPr>
        <w:pStyle w:val="TextBody"/>
        <w:bidi w:val="0"/>
        <w:spacing w:lineRule="auto" w:line="300" w:before="0" w:after="0"/>
        <w:jc w:val="left"/>
        <w:rPr>
          <w:color w:val="000000"/>
        </w:rPr>
      </w:pPr>
      <w:r>
        <w:rPr>
          <w:color w:val="000000"/>
        </w:rPr>
        <w:t> </w:t>
      </w:r>
    </w:p>
    <w:p>
      <w:pPr>
        <w:pStyle w:val="Normal"/>
        <w:bidi w:val="0"/>
        <w:spacing w:lineRule="auto" w:line="300" w:before="0" w:after="0"/>
        <w:jc w:val="left"/>
        <w:rPr>
          <w:sz w:val="4"/>
          <w:szCs w:val="4"/>
        </w:rPr>
      </w:pPr>
      <w:r>
        <w:rPr>
          <w:sz w:val="4"/>
          <w:szCs w:val="4"/>
        </w:rPr>
      </w:r>
      <w:bookmarkStart w:id="110" w:name="z9000984275744fdf8f89ae089e24a420"/>
      <w:bookmarkStart w:id="111" w:name="z9000984275744fdf8f89ae089e24a420"/>
      <w:bookmarkEnd w:id="111"/>
    </w:p>
    <w:tbl>
      <w:tblPr>
        <w:tblW w:w="7498" w:type="dxa"/>
        <w:jc w:val="left"/>
        <w:tblInd w:w="-15" w:type="dxa"/>
        <w:tblLayout w:type="fixed"/>
        <w:tblCellMar>
          <w:top w:w="28" w:type="dxa"/>
          <w:left w:w="28" w:type="dxa"/>
          <w:bottom w:w="0" w:type="dxa"/>
          <w:right w:w="0" w:type="dxa"/>
        </w:tblCellMar>
      </w:tblPr>
      <w:tblGrid>
        <w:gridCol w:w="2633"/>
        <w:gridCol w:w="4865"/>
      </w:tblGrid>
      <w:tr>
        <w:trPr/>
        <w:tc>
          <w:tcPr>
            <w:tcW w:w="2633" w:type="dxa"/>
            <w:tcBorders>
              <w:top w:val="single" w:sz="12" w:space="0" w:color="000000"/>
              <w:left w:val="single" w:sz="12" w:space="0" w:color="000000"/>
            </w:tcBorders>
            <w:vAlign w:val="center"/>
          </w:tcPr>
          <w:p>
            <w:pPr>
              <w:pStyle w:val="TableContents"/>
              <w:bidi w:val="0"/>
              <w:spacing w:lineRule="auto" w:line="300" w:before="0" w:after="0"/>
              <w:ind w:left="12" w:right="0" w:hanging="0"/>
              <w:jc w:val="center"/>
              <w:rPr>
                <w:b/>
              </w:rPr>
            </w:pPr>
            <w:r>
              <w:rPr>
                <w:b/>
              </w:rPr>
              <w:t>Name of Employee:</w:t>
            </w:r>
          </w:p>
        </w:tc>
        <w:tc>
          <w:tcPr>
            <w:tcW w:w="4865" w:type="dxa"/>
            <w:tcBorders>
              <w:top w:val="single" w:sz="12" w:space="0" w:color="000000"/>
              <w:left w:val="single" w:sz="12" w:space="0" w:color="000000"/>
              <w:right w:val="single" w:sz="12" w:space="0" w:color="000000"/>
            </w:tcBorders>
            <w:tcMar>
              <w:right w:w="28" w:type="dxa"/>
            </w:tcMar>
            <w:vAlign w:val="center"/>
          </w:tcPr>
          <w:p>
            <w:pPr>
              <w:pStyle w:val="TableContents"/>
              <w:bidi w:val="0"/>
              <w:spacing w:lineRule="auto" w:line="300" w:before="0" w:after="0"/>
              <w:ind w:left="6" w:right="0" w:hanging="0"/>
              <w:jc w:val="center"/>
              <w:rPr/>
            </w:pPr>
            <w:r>
              <w:rPr/>
              <w:t>MAOZ SIGRON</w:t>
            </w:r>
          </w:p>
        </w:tc>
      </w:tr>
      <w:tr>
        <w:trPr/>
        <w:tc>
          <w:tcPr>
            <w:tcW w:w="2633" w:type="dxa"/>
            <w:tcBorders>
              <w:top w:val="single" w:sz="12" w:space="0" w:color="000000"/>
              <w:left w:val="single" w:sz="12" w:space="0" w:color="000000"/>
            </w:tcBorders>
            <w:vAlign w:val="center"/>
          </w:tcPr>
          <w:p>
            <w:pPr>
              <w:pStyle w:val="TableContents"/>
              <w:bidi w:val="0"/>
              <w:spacing w:lineRule="auto" w:line="300" w:before="0" w:after="0"/>
              <w:ind w:left="12" w:right="3" w:hanging="0"/>
              <w:jc w:val="center"/>
              <w:rPr>
                <w:b/>
              </w:rPr>
            </w:pPr>
            <w:r>
              <w:rPr>
                <w:b/>
              </w:rPr>
              <w:t>ID No. of Employee:</w:t>
            </w:r>
          </w:p>
        </w:tc>
        <w:tc>
          <w:tcPr>
            <w:tcW w:w="4865" w:type="dxa"/>
            <w:tcBorders>
              <w:top w:val="single" w:sz="12" w:space="0" w:color="000000"/>
              <w:left w:val="single" w:sz="12" w:space="0" w:color="000000"/>
              <w:right w:val="single" w:sz="12" w:space="0" w:color="000000"/>
            </w:tcBorders>
            <w:tcMar>
              <w:right w:w="28" w:type="dxa"/>
            </w:tcMar>
            <w:vAlign w:val="center"/>
          </w:tcPr>
          <w:p>
            <w:pPr>
              <w:pStyle w:val="TableContents"/>
              <w:bidi w:val="0"/>
              <w:spacing w:before="0" w:after="283"/>
              <w:jc w:val="center"/>
              <w:rPr>
                <w:shd w:fill="000000" w:val="clear"/>
              </w:rPr>
            </w:pPr>
            <w:r>
              <w:rPr>
                <w:shd w:fill="000000" w:val="clear"/>
              </w:rPr>
              <w:t xml:space="preserve">                                    </w:t>
            </w:r>
          </w:p>
        </w:tc>
      </w:tr>
      <w:tr>
        <w:trPr/>
        <w:tc>
          <w:tcPr>
            <w:tcW w:w="2633" w:type="dxa"/>
            <w:tcBorders>
              <w:top w:val="single" w:sz="12" w:space="0" w:color="000000"/>
              <w:left w:val="single" w:sz="12" w:space="0" w:color="000000"/>
            </w:tcBorders>
            <w:vAlign w:val="center"/>
          </w:tcPr>
          <w:p>
            <w:pPr>
              <w:pStyle w:val="TableContents"/>
              <w:bidi w:val="0"/>
              <w:spacing w:lineRule="auto" w:line="300" w:before="0" w:after="0"/>
              <w:ind w:left="12" w:right="1" w:hanging="0"/>
              <w:jc w:val="center"/>
              <w:rPr>
                <w:b/>
              </w:rPr>
            </w:pPr>
            <w:r>
              <w:rPr>
                <w:b/>
              </w:rPr>
              <w:t>Address of Employee:</w:t>
            </w:r>
          </w:p>
        </w:tc>
        <w:tc>
          <w:tcPr>
            <w:tcW w:w="4865" w:type="dxa"/>
            <w:tcBorders>
              <w:top w:val="single" w:sz="12" w:space="0" w:color="000000"/>
              <w:left w:val="single" w:sz="12" w:space="0" w:color="000000"/>
              <w:right w:val="single" w:sz="12" w:space="0" w:color="000000"/>
            </w:tcBorders>
            <w:tcMar>
              <w:right w:w="28" w:type="dxa"/>
            </w:tcMar>
            <w:vAlign w:val="center"/>
          </w:tcPr>
          <w:p>
            <w:pPr>
              <w:pStyle w:val="TableContents"/>
              <w:bidi w:val="0"/>
              <w:spacing w:before="0" w:after="283"/>
              <w:jc w:val="center"/>
              <w:rPr/>
            </w:pPr>
            <w:r>
              <w:rPr>
                <w:shd w:fill="000000" w:val="clear"/>
              </w:rPr>
              <w:t>                                   </w:t>
            </w:r>
            <w:r>
              <w:rPr/>
              <w:t xml:space="preserve"> </w:t>
            </w:r>
          </w:p>
        </w:tc>
      </w:tr>
      <w:tr>
        <w:trPr/>
        <w:tc>
          <w:tcPr>
            <w:tcW w:w="2633" w:type="dxa"/>
            <w:tcBorders>
              <w:top w:val="single" w:sz="12" w:space="0" w:color="000000"/>
              <w:left w:val="single" w:sz="12" w:space="0" w:color="000000"/>
            </w:tcBorders>
            <w:vAlign w:val="center"/>
          </w:tcPr>
          <w:p>
            <w:pPr>
              <w:pStyle w:val="TableContents"/>
              <w:bidi w:val="0"/>
              <w:spacing w:lineRule="auto" w:line="300" w:before="0" w:after="0"/>
              <w:ind w:left="12" w:right="3" w:hanging="0"/>
              <w:jc w:val="center"/>
              <w:rPr>
                <w:b/>
              </w:rPr>
            </w:pPr>
            <w:r>
              <w:rPr>
                <w:b/>
              </w:rPr>
              <w:t>Position:</w:t>
            </w:r>
          </w:p>
        </w:tc>
        <w:tc>
          <w:tcPr>
            <w:tcW w:w="4865" w:type="dxa"/>
            <w:tcBorders>
              <w:top w:val="single" w:sz="12" w:space="0" w:color="000000"/>
              <w:left w:val="single" w:sz="12" w:space="0" w:color="000000"/>
              <w:right w:val="single" w:sz="12" w:space="0" w:color="000000"/>
            </w:tcBorders>
            <w:tcMar>
              <w:right w:w="28" w:type="dxa"/>
            </w:tcMar>
            <w:vAlign w:val="center"/>
          </w:tcPr>
          <w:p>
            <w:pPr>
              <w:pStyle w:val="TableContents"/>
              <w:bidi w:val="0"/>
              <w:spacing w:lineRule="auto" w:line="300" w:before="0" w:after="0"/>
              <w:ind w:left="8" w:right="0" w:hanging="0"/>
              <w:jc w:val="center"/>
              <w:rPr>
                <w:b/>
              </w:rPr>
            </w:pPr>
            <w:r>
              <w:rPr>
                <w:b/>
              </w:rPr>
              <w:t>CFO</w:t>
            </w:r>
          </w:p>
        </w:tc>
      </w:tr>
      <w:tr>
        <w:trPr/>
        <w:tc>
          <w:tcPr>
            <w:tcW w:w="2633" w:type="dxa"/>
            <w:tcBorders>
              <w:top w:val="single" w:sz="12" w:space="0" w:color="000000"/>
              <w:left w:val="single" w:sz="12" w:space="0" w:color="000000"/>
            </w:tcBorders>
            <w:vAlign w:val="center"/>
          </w:tcPr>
          <w:p>
            <w:pPr>
              <w:pStyle w:val="TableContents"/>
              <w:bidi w:val="0"/>
              <w:spacing w:lineRule="auto" w:line="300" w:before="0" w:after="0"/>
              <w:ind w:left="12" w:right="2" w:hanging="0"/>
              <w:jc w:val="center"/>
              <w:rPr>
                <w:b/>
              </w:rPr>
            </w:pPr>
            <w:r>
              <w:rPr>
                <w:b/>
              </w:rPr>
              <w:t>Supervisor:</w:t>
            </w:r>
          </w:p>
        </w:tc>
        <w:tc>
          <w:tcPr>
            <w:tcW w:w="4865" w:type="dxa"/>
            <w:tcBorders>
              <w:top w:val="single" w:sz="12" w:space="0" w:color="000000"/>
              <w:left w:val="single" w:sz="12" w:space="0" w:color="000000"/>
              <w:right w:val="single" w:sz="12" w:space="0" w:color="000000"/>
            </w:tcBorders>
            <w:tcMar>
              <w:right w:w="28" w:type="dxa"/>
            </w:tcMar>
            <w:vAlign w:val="center"/>
          </w:tcPr>
          <w:p>
            <w:pPr>
              <w:pStyle w:val="TableContents"/>
              <w:bidi w:val="0"/>
              <w:spacing w:lineRule="auto" w:line="300" w:before="0" w:after="0"/>
              <w:ind w:left="4" w:right="0" w:hanging="0"/>
              <w:jc w:val="center"/>
              <w:rPr>
                <w:b/>
              </w:rPr>
            </w:pPr>
            <w:r>
              <w:rPr>
                <w:b/>
              </w:rPr>
              <w:t>CEO</w:t>
            </w:r>
          </w:p>
        </w:tc>
      </w:tr>
      <w:tr>
        <w:trPr/>
        <w:tc>
          <w:tcPr>
            <w:tcW w:w="2633" w:type="dxa"/>
            <w:tcBorders>
              <w:top w:val="single" w:sz="12" w:space="0" w:color="000000"/>
              <w:left w:val="single" w:sz="12" w:space="0" w:color="000000"/>
            </w:tcBorders>
            <w:vAlign w:val="center"/>
          </w:tcPr>
          <w:p>
            <w:pPr>
              <w:pStyle w:val="TableContents"/>
              <w:bidi w:val="0"/>
              <w:spacing w:lineRule="auto" w:line="300" w:before="0" w:after="0"/>
              <w:ind w:left="12" w:right="1" w:hanging="0"/>
              <w:jc w:val="center"/>
              <w:rPr>
                <w:b/>
              </w:rPr>
            </w:pPr>
            <w:r>
              <w:rPr>
                <w:b/>
              </w:rPr>
              <w:t>Commencement Date:</w:t>
            </w:r>
          </w:p>
        </w:tc>
        <w:tc>
          <w:tcPr>
            <w:tcW w:w="4865" w:type="dxa"/>
            <w:tcBorders>
              <w:top w:val="single" w:sz="12" w:space="0" w:color="000000"/>
              <w:left w:val="single" w:sz="12" w:space="0" w:color="000000"/>
              <w:right w:val="single" w:sz="12" w:space="0" w:color="000000"/>
            </w:tcBorders>
            <w:tcMar>
              <w:right w:w="28" w:type="dxa"/>
            </w:tcMar>
            <w:vAlign w:val="center"/>
          </w:tcPr>
          <w:p>
            <w:pPr>
              <w:pStyle w:val="TableContents"/>
              <w:bidi w:val="0"/>
              <w:spacing w:lineRule="auto" w:line="300" w:before="0" w:after="0"/>
              <w:ind w:left="8" w:right="0" w:hanging="0"/>
              <w:jc w:val="center"/>
              <w:rPr>
                <w:b/>
              </w:rPr>
            </w:pPr>
            <w:r>
              <w:rPr>
                <w:b/>
              </w:rPr>
              <w:t>MAY 30, 2026</w:t>
            </w:r>
          </w:p>
        </w:tc>
      </w:tr>
      <w:tr>
        <w:trPr/>
        <w:tc>
          <w:tcPr>
            <w:tcW w:w="2633" w:type="dxa"/>
            <w:tcBorders>
              <w:top w:val="single" w:sz="12" w:space="0" w:color="000000"/>
              <w:left w:val="single" w:sz="12" w:space="0" w:color="000000"/>
            </w:tcBorders>
            <w:vAlign w:val="center"/>
          </w:tcPr>
          <w:p>
            <w:pPr>
              <w:pStyle w:val="TableContents"/>
              <w:bidi w:val="0"/>
              <w:spacing w:lineRule="auto" w:line="300" w:before="0" w:after="0"/>
              <w:ind w:left="12" w:right="0" w:hanging="0"/>
              <w:jc w:val="center"/>
              <w:rPr>
                <w:b/>
              </w:rPr>
            </w:pPr>
            <w:r>
              <w:rPr>
                <w:b/>
              </w:rPr>
              <w:t>Base Salary:</w:t>
            </w:r>
          </w:p>
        </w:tc>
        <w:tc>
          <w:tcPr>
            <w:tcW w:w="4865" w:type="dxa"/>
            <w:tcBorders>
              <w:top w:val="single" w:sz="12" w:space="0" w:color="000000"/>
              <w:left w:val="single" w:sz="12" w:space="0" w:color="000000"/>
              <w:right w:val="single" w:sz="12" w:space="0" w:color="000000"/>
            </w:tcBorders>
            <w:tcMar>
              <w:right w:w="28" w:type="dxa"/>
            </w:tcMar>
            <w:vAlign w:val="center"/>
          </w:tcPr>
          <w:p>
            <w:pPr>
              <w:pStyle w:val="TableContents"/>
              <w:bidi w:val="0"/>
              <w:spacing w:lineRule="auto" w:line="300" w:before="0" w:after="0"/>
              <w:ind w:left="10" w:right="0" w:hanging="0"/>
              <w:jc w:val="center"/>
              <w:rPr>
                <w:b/>
              </w:rPr>
            </w:pPr>
            <w:r>
              <w:rPr>
                <w:b/>
              </w:rPr>
              <w:t>91,000 NIS</w:t>
            </w:r>
          </w:p>
        </w:tc>
      </w:tr>
      <w:tr>
        <w:trPr/>
        <w:tc>
          <w:tcPr>
            <w:tcW w:w="2633" w:type="dxa"/>
            <w:tcBorders>
              <w:top w:val="single" w:sz="12" w:space="0" w:color="000000"/>
              <w:left w:val="single" w:sz="12" w:space="0" w:color="000000"/>
            </w:tcBorders>
            <w:vAlign w:val="center"/>
          </w:tcPr>
          <w:p>
            <w:pPr>
              <w:pStyle w:val="TableContents"/>
              <w:bidi w:val="0"/>
              <w:spacing w:lineRule="auto" w:line="300" w:before="0" w:after="0"/>
              <w:ind w:left="12" w:right="3" w:hanging="0"/>
              <w:jc w:val="center"/>
              <w:rPr>
                <w:b/>
              </w:rPr>
            </w:pPr>
            <w:r>
              <w:rPr>
                <w:b/>
              </w:rPr>
              <w:t>Overtime Compensation:</w:t>
            </w:r>
          </w:p>
        </w:tc>
        <w:tc>
          <w:tcPr>
            <w:tcW w:w="4865" w:type="dxa"/>
            <w:tcBorders>
              <w:top w:val="single" w:sz="12" w:space="0" w:color="000000"/>
              <w:left w:val="single" w:sz="12" w:space="0" w:color="000000"/>
              <w:right w:val="single" w:sz="12" w:space="0" w:color="000000"/>
            </w:tcBorders>
            <w:tcMar>
              <w:right w:w="28" w:type="dxa"/>
            </w:tcMar>
            <w:vAlign w:val="center"/>
          </w:tcPr>
          <w:p>
            <w:pPr>
              <w:pStyle w:val="TableContents"/>
              <w:bidi w:val="0"/>
              <w:spacing w:lineRule="auto" w:line="300" w:before="0" w:after="0"/>
              <w:ind w:left="63" w:right="0" w:hanging="0"/>
              <w:jc w:val="center"/>
              <w:rPr>
                <w:b/>
              </w:rPr>
            </w:pPr>
            <w:r>
              <w:rPr>
                <w:b/>
              </w:rPr>
              <w:t>39,000 NIS</w:t>
            </w:r>
          </w:p>
        </w:tc>
      </w:tr>
      <w:tr>
        <w:trPr/>
        <w:tc>
          <w:tcPr>
            <w:tcW w:w="2633" w:type="dxa"/>
            <w:tcBorders>
              <w:top w:val="single" w:sz="12" w:space="0" w:color="000000"/>
              <w:left w:val="single" w:sz="12" w:space="0" w:color="000000"/>
            </w:tcBorders>
            <w:vAlign w:val="center"/>
          </w:tcPr>
          <w:p>
            <w:pPr>
              <w:pStyle w:val="TableContents"/>
              <w:bidi w:val="0"/>
              <w:spacing w:lineRule="auto" w:line="300" w:before="0" w:after="0"/>
              <w:ind w:left="12" w:right="2" w:hanging="0"/>
              <w:jc w:val="center"/>
              <w:rPr>
                <w:b/>
              </w:rPr>
            </w:pPr>
            <w:r>
              <w:rPr>
                <w:b/>
              </w:rPr>
              <w:t>Annual Vacation Days:</w:t>
            </w:r>
          </w:p>
        </w:tc>
        <w:tc>
          <w:tcPr>
            <w:tcW w:w="4865" w:type="dxa"/>
            <w:tcBorders>
              <w:top w:val="single" w:sz="12" w:space="0" w:color="000000"/>
              <w:left w:val="single" w:sz="12" w:space="0" w:color="000000"/>
              <w:right w:val="single" w:sz="12" w:space="0" w:color="000000"/>
            </w:tcBorders>
            <w:tcMar>
              <w:right w:w="28" w:type="dxa"/>
            </w:tcMar>
            <w:vAlign w:val="center"/>
          </w:tcPr>
          <w:p>
            <w:pPr>
              <w:pStyle w:val="TableContents"/>
              <w:bidi w:val="0"/>
              <w:spacing w:lineRule="auto" w:line="300" w:before="0" w:after="0"/>
              <w:ind w:left="5" w:right="0" w:hanging="0"/>
              <w:jc w:val="center"/>
              <w:rPr>
                <w:b/>
              </w:rPr>
            </w:pPr>
            <w:r>
              <w:rPr>
                <w:b/>
              </w:rPr>
              <w:t>PER APPLICABLE LAW</w:t>
            </w:r>
          </w:p>
        </w:tc>
      </w:tr>
      <w:tr>
        <w:trPr/>
        <w:tc>
          <w:tcPr>
            <w:tcW w:w="2633" w:type="dxa"/>
            <w:tcBorders>
              <w:top w:val="single" w:sz="12" w:space="0" w:color="000000"/>
              <w:left w:val="single" w:sz="12" w:space="0" w:color="000000"/>
            </w:tcBorders>
            <w:vAlign w:val="center"/>
          </w:tcPr>
          <w:p>
            <w:pPr>
              <w:pStyle w:val="TableContents"/>
              <w:bidi w:val="0"/>
              <w:spacing w:lineRule="auto" w:line="300" w:before="0" w:after="0"/>
              <w:ind w:left="12" w:right="0" w:hanging="0"/>
              <w:jc w:val="center"/>
              <w:rPr>
                <w:b/>
              </w:rPr>
            </w:pPr>
            <w:r>
              <w:rPr>
                <w:b/>
              </w:rPr>
              <w:t>Notice Period:</w:t>
            </w:r>
          </w:p>
        </w:tc>
        <w:tc>
          <w:tcPr>
            <w:tcW w:w="4865" w:type="dxa"/>
            <w:tcBorders>
              <w:top w:val="single" w:sz="12" w:space="0" w:color="000000"/>
              <w:left w:val="single" w:sz="12" w:space="0" w:color="000000"/>
              <w:right w:val="single" w:sz="12" w:space="0" w:color="000000"/>
            </w:tcBorders>
            <w:tcMar>
              <w:right w:w="28" w:type="dxa"/>
            </w:tcMar>
            <w:vAlign w:val="center"/>
          </w:tcPr>
          <w:p>
            <w:pPr>
              <w:pStyle w:val="TableContents"/>
              <w:bidi w:val="0"/>
              <w:spacing w:lineRule="auto" w:line="300" w:before="0" w:after="0"/>
              <w:ind w:left="7" w:right="0" w:hanging="0"/>
              <w:jc w:val="center"/>
              <w:rPr>
                <w:b/>
              </w:rPr>
            </w:pPr>
            <w:r>
              <w:rPr>
                <w:b/>
              </w:rPr>
              <w:t>90 DAYS</w:t>
            </w:r>
          </w:p>
        </w:tc>
      </w:tr>
      <w:tr>
        <w:trPr/>
        <w:tc>
          <w:tcPr>
            <w:tcW w:w="2633" w:type="dxa"/>
            <w:tcBorders>
              <w:top w:val="single" w:sz="12" w:space="0" w:color="000000"/>
              <w:left w:val="single" w:sz="12" w:space="0" w:color="000000"/>
            </w:tcBorders>
            <w:vAlign w:val="center"/>
          </w:tcPr>
          <w:p>
            <w:pPr>
              <w:pStyle w:val="TableContents"/>
              <w:bidi w:val="0"/>
              <w:spacing w:lineRule="auto" w:line="300" w:before="0" w:after="0"/>
              <w:ind w:left="12" w:right="3" w:hanging="0"/>
              <w:jc w:val="center"/>
              <w:rPr>
                <w:b/>
              </w:rPr>
            </w:pPr>
            <w:r>
              <w:rPr>
                <w:b/>
              </w:rPr>
              <w:t>Transportation Costs:</w:t>
            </w:r>
          </w:p>
        </w:tc>
        <w:tc>
          <w:tcPr>
            <w:tcW w:w="4865" w:type="dxa"/>
            <w:tcBorders>
              <w:top w:val="single" w:sz="12" w:space="0" w:color="000000"/>
              <w:left w:val="single" w:sz="12" w:space="0" w:color="000000"/>
              <w:right w:val="single" w:sz="12" w:space="0" w:color="000000"/>
            </w:tcBorders>
            <w:tcMar>
              <w:right w:w="28" w:type="dxa"/>
            </w:tcMar>
            <w:vAlign w:val="center"/>
          </w:tcPr>
          <w:p>
            <w:pPr>
              <w:pStyle w:val="TableContents"/>
              <w:bidi w:val="0"/>
              <w:spacing w:lineRule="auto" w:line="300" w:before="0" w:after="0"/>
              <w:ind w:left="11" w:right="0" w:hanging="0"/>
              <w:jc w:val="center"/>
              <w:rPr>
                <w:b/>
              </w:rPr>
            </w:pPr>
            <w:r>
              <w:rPr>
                <w:b/>
              </w:rPr>
              <w:t>700 ILS</w:t>
            </w:r>
          </w:p>
        </w:tc>
      </w:tr>
      <w:tr>
        <w:trPr/>
        <w:tc>
          <w:tcPr>
            <w:tcW w:w="2633" w:type="dxa"/>
            <w:tcBorders>
              <w:top w:val="single" w:sz="12" w:space="0" w:color="000000"/>
              <w:left w:val="single" w:sz="12" w:space="0" w:color="000000"/>
            </w:tcBorders>
            <w:vAlign w:val="center"/>
          </w:tcPr>
          <w:p>
            <w:pPr>
              <w:pStyle w:val="TableContents"/>
              <w:bidi w:val="0"/>
              <w:spacing w:lineRule="auto" w:line="300" w:before="0" w:after="0"/>
              <w:ind w:left="12" w:right="5" w:hanging="0"/>
              <w:jc w:val="center"/>
              <w:rPr>
                <w:b/>
              </w:rPr>
            </w:pPr>
            <w:r>
              <w:rPr>
                <w:b/>
              </w:rPr>
              <w:t>Education Fund:</w:t>
            </w:r>
          </w:p>
        </w:tc>
        <w:tc>
          <w:tcPr>
            <w:tcW w:w="4865" w:type="dxa"/>
            <w:tcBorders>
              <w:top w:val="single" w:sz="12" w:space="0" w:color="000000"/>
              <w:left w:val="single" w:sz="12" w:space="0" w:color="000000"/>
              <w:right w:val="single" w:sz="12" w:space="0" w:color="000000"/>
            </w:tcBorders>
            <w:tcMar>
              <w:right w:w="28" w:type="dxa"/>
            </w:tcMar>
            <w:vAlign w:val="center"/>
          </w:tcPr>
          <w:p>
            <w:pPr>
              <w:pStyle w:val="TableContents"/>
              <w:bidi w:val="0"/>
              <w:spacing w:lineRule="auto" w:line="300" w:before="0" w:after="0"/>
              <w:ind w:left="7" w:right="0" w:hanging="0"/>
              <w:jc w:val="center"/>
              <w:rPr>
                <w:b/>
              </w:rPr>
            </w:pPr>
            <w:r>
              <w:rPr>
                <w:b/>
              </w:rPr>
              <w:t>YES</w:t>
            </w:r>
          </w:p>
        </w:tc>
      </w:tr>
      <w:tr>
        <w:trPr/>
        <w:tc>
          <w:tcPr>
            <w:tcW w:w="2633" w:type="dxa"/>
            <w:tcBorders>
              <w:top w:val="single" w:sz="12" w:space="0" w:color="000000"/>
              <w:left w:val="single" w:sz="12" w:space="0" w:color="000000"/>
            </w:tcBorders>
            <w:vAlign w:val="center"/>
          </w:tcPr>
          <w:p>
            <w:pPr>
              <w:pStyle w:val="TableContents"/>
              <w:bidi w:val="0"/>
              <w:spacing w:lineRule="auto" w:line="300" w:before="0" w:after="0"/>
              <w:ind w:left="12" w:right="2" w:hanging="0"/>
              <w:jc w:val="center"/>
              <w:rPr>
                <w:b/>
              </w:rPr>
            </w:pPr>
            <w:r>
              <w:rPr>
                <w:b/>
              </w:rPr>
              <w:t>RSU Award $:</w:t>
            </w:r>
          </w:p>
        </w:tc>
        <w:tc>
          <w:tcPr>
            <w:tcW w:w="4865" w:type="dxa"/>
            <w:tcBorders>
              <w:top w:val="single" w:sz="12" w:space="0" w:color="000000"/>
              <w:left w:val="single" w:sz="12" w:space="0" w:color="000000"/>
              <w:right w:val="single" w:sz="12" w:space="0" w:color="000000"/>
            </w:tcBorders>
            <w:tcMar>
              <w:right w:w="28" w:type="dxa"/>
            </w:tcMar>
            <w:vAlign w:val="center"/>
          </w:tcPr>
          <w:p>
            <w:pPr>
              <w:pStyle w:val="TableContents"/>
              <w:bidi w:val="0"/>
              <w:spacing w:lineRule="auto" w:line="300" w:before="0" w:after="0"/>
              <w:ind w:left="11" w:right="0" w:hanging="0"/>
              <w:jc w:val="center"/>
              <w:rPr>
                <w:b/>
              </w:rPr>
            </w:pPr>
            <w:r>
              <w:rPr>
                <w:b/>
              </w:rPr>
              <w:t>700,000</w:t>
            </w:r>
          </w:p>
        </w:tc>
      </w:tr>
      <w:tr>
        <w:trPr/>
        <w:tc>
          <w:tcPr>
            <w:tcW w:w="2633" w:type="dxa"/>
            <w:tcBorders>
              <w:top w:val="single" w:sz="12" w:space="0" w:color="000000"/>
              <w:left w:val="single" w:sz="12" w:space="0" w:color="000000"/>
            </w:tcBorders>
            <w:vAlign w:val="center"/>
          </w:tcPr>
          <w:p>
            <w:pPr>
              <w:pStyle w:val="TableContents"/>
              <w:bidi w:val="0"/>
              <w:spacing w:lineRule="auto" w:line="300" w:before="0" w:after="0"/>
              <w:ind w:left="12" w:right="0" w:hanging="0"/>
              <w:jc w:val="center"/>
              <w:rPr>
                <w:b/>
              </w:rPr>
            </w:pPr>
            <w:r>
              <w:rPr>
                <w:b/>
              </w:rPr>
              <w:t>PSU Award $</w:t>
            </w:r>
          </w:p>
        </w:tc>
        <w:tc>
          <w:tcPr>
            <w:tcW w:w="4865" w:type="dxa"/>
            <w:tcBorders>
              <w:top w:val="single" w:sz="12" w:space="0" w:color="000000"/>
              <w:left w:val="single" w:sz="12" w:space="0" w:color="000000"/>
              <w:right w:val="single" w:sz="12" w:space="0" w:color="000000"/>
            </w:tcBorders>
            <w:tcMar>
              <w:right w:w="28" w:type="dxa"/>
            </w:tcMar>
            <w:vAlign w:val="center"/>
          </w:tcPr>
          <w:p>
            <w:pPr>
              <w:pStyle w:val="TableContents"/>
              <w:bidi w:val="0"/>
              <w:spacing w:lineRule="auto" w:line="300" w:before="0" w:after="0"/>
              <w:ind w:left="11" w:right="0" w:hanging="0"/>
              <w:jc w:val="center"/>
              <w:rPr>
                <w:b/>
              </w:rPr>
            </w:pPr>
            <w:r>
              <w:rPr>
                <w:b/>
              </w:rPr>
              <w:t>700,000</w:t>
            </w:r>
          </w:p>
          <w:p>
            <w:pPr>
              <w:pStyle w:val="TableContents"/>
              <w:bidi w:val="0"/>
              <w:spacing w:lineRule="auto" w:line="300" w:before="0" w:after="0"/>
              <w:ind w:left="5" w:right="0" w:hanging="0"/>
              <w:jc w:val="center"/>
              <w:rPr>
                <w:b/>
              </w:rPr>
            </w:pPr>
            <w:r>
              <w:rPr>
                <w:b/>
              </w:rPr>
              <w:t>ADDITIONAL 700,000 OVERALLOTMENT</w:t>
            </w:r>
          </w:p>
        </w:tc>
      </w:tr>
      <w:tr>
        <w:trPr/>
        <w:tc>
          <w:tcPr>
            <w:tcW w:w="2633" w:type="dxa"/>
            <w:tcBorders>
              <w:top w:val="single" w:sz="12" w:space="0" w:color="000000"/>
              <w:left w:val="single" w:sz="12" w:space="0" w:color="000000"/>
              <w:bottom w:val="single" w:sz="12" w:space="0" w:color="000000"/>
            </w:tcBorders>
            <w:tcMar>
              <w:bottom w:w="28" w:type="dxa"/>
            </w:tcMar>
            <w:vAlign w:val="center"/>
          </w:tcPr>
          <w:p>
            <w:pPr>
              <w:pStyle w:val="TableContents"/>
              <w:bidi w:val="0"/>
              <w:spacing w:lineRule="auto" w:line="300" w:before="0" w:after="0"/>
              <w:ind w:left="12" w:right="3" w:hanging="0"/>
              <w:jc w:val="center"/>
              <w:rPr>
                <w:b/>
              </w:rPr>
            </w:pPr>
            <w:r>
              <w:rPr>
                <w:b/>
              </w:rPr>
              <w:t>10bis</w:t>
            </w:r>
          </w:p>
        </w:tc>
        <w:tc>
          <w:tcPr>
            <w:tcW w:w="4865" w:type="dxa"/>
            <w:tcBorders>
              <w:top w:val="single" w:sz="12" w:space="0" w:color="000000"/>
              <w:left w:val="single" w:sz="12" w:space="0" w:color="000000"/>
              <w:bottom w:val="single" w:sz="12" w:space="0" w:color="000000"/>
              <w:right w:val="single" w:sz="12" w:space="0" w:color="000000"/>
            </w:tcBorders>
            <w:tcMar>
              <w:bottom w:w="28" w:type="dxa"/>
              <w:right w:w="28" w:type="dxa"/>
            </w:tcMar>
            <w:vAlign w:val="center"/>
          </w:tcPr>
          <w:p>
            <w:pPr>
              <w:pStyle w:val="TableContents"/>
              <w:bidi w:val="0"/>
              <w:spacing w:lineRule="auto" w:line="300" w:before="0" w:after="0"/>
              <w:ind w:left="7" w:right="0" w:hanging="0"/>
              <w:jc w:val="center"/>
              <w:rPr>
                <w:b/>
              </w:rPr>
            </w:pPr>
            <w:r>
              <w:rPr>
                <w:b/>
              </w:rPr>
              <w:t>YES</w:t>
            </w:r>
          </w:p>
        </w:tc>
      </w:tr>
    </w:tbl>
    <w:p>
      <w:pPr>
        <w:pStyle w:val="TextBody"/>
        <w:bidi w:val="0"/>
        <w:spacing w:lineRule="auto" w:line="300" w:before="0" w:after="0"/>
        <w:jc w:val="left"/>
        <w:rPr>
          <w:color w:val="000000"/>
        </w:rPr>
      </w:pPr>
      <w:r>
        <w:rPr>
          <w:color w:val="000000"/>
        </w:rPr>
        <w:t> </w:t>
      </w:r>
    </w:p>
    <w:p>
      <w:pPr>
        <w:pStyle w:val="Normal"/>
        <w:bidi w:val="0"/>
        <w:spacing w:lineRule="auto" w:line="300" w:before="0" w:after="0"/>
        <w:jc w:val="left"/>
        <w:rPr>
          <w:sz w:val="4"/>
          <w:szCs w:val="4"/>
        </w:rPr>
      </w:pPr>
      <w:r>
        <w:rPr>
          <w:sz w:val="4"/>
          <w:szCs w:val="4"/>
        </w:rPr>
      </w:r>
      <w:bookmarkStart w:id="112" w:name="zb193af488f524b48acb5530b15a82fd7"/>
      <w:bookmarkStart w:id="113" w:name="zb193af488f524b48acb5530b15a82fd7"/>
      <w:bookmarkEnd w:id="113"/>
    </w:p>
    <w:tbl>
      <w:tblPr>
        <w:tblW w:w="7715" w:type="dxa"/>
        <w:jc w:val="left"/>
        <w:tblInd w:w="0" w:type="dxa"/>
        <w:tblLayout w:type="fixed"/>
        <w:tblCellMar>
          <w:top w:w="0" w:type="dxa"/>
          <w:left w:w="0" w:type="dxa"/>
          <w:bottom w:w="0" w:type="dxa"/>
          <w:right w:w="0" w:type="dxa"/>
        </w:tblCellMar>
      </w:tblPr>
      <w:tblGrid>
        <w:gridCol w:w="4050"/>
        <w:gridCol w:w="3665"/>
      </w:tblGrid>
      <w:tr>
        <w:trPr/>
        <w:tc>
          <w:tcPr>
            <w:tcW w:w="4050" w:type="dxa"/>
            <w:tcBorders/>
            <w:vAlign w:val="center"/>
          </w:tcPr>
          <w:p>
            <w:pPr>
              <w:pStyle w:val="TableContents"/>
              <w:bidi w:val="0"/>
              <w:spacing w:lineRule="auto" w:line="300" w:before="0" w:after="0"/>
              <w:ind w:left="828" w:right="0" w:hanging="0"/>
              <w:jc w:val="left"/>
              <w:rPr>
                <w:b/>
              </w:rPr>
            </w:pPr>
            <w:r>
              <w:rPr>
                <w:b/>
              </w:rPr>
              <w:t xml:space="preserve">SolarEdge Technologies Ltd. By: </w:t>
            </w:r>
          </w:p>
          <w:p>
            <w:pPr>
              <w:pStyle w:val="TableContents"/>
              <w:bidi w:val="0"/>
              <w:spacing w:lineRule="auto" w:line="300" w:before="0" w:after="0"/>
              <w:ind w:left="828" w:right="0" w:hanging="0"/>
              <w:jc w:val="left"/>
              <w:rPr>
                <w:b/>
              </w:rPr>
            </w:pPr>
            <w:r>
              <w:rPr>
                <w:b/>
              </w:rPr>
              <w:t>Name: Shuki Nir</w:t>
            </w:r>
          </w:p>
          <w:p>
            <w:pPr>
              <w:pStyle w:val="TableContents"/>
              <w:bidi w:val="0"/>
              <w:spacing w:lineRule="auto" w:line="300" w:before="0" w:after="0"/>
              <w:ind w:left="828" w:right="1045" w:hanging="0"/>
              <w:jc w:val="left"/>
              <w:rPr>
                <w:b/>
              </w:rPr>
            </w:pPr>
            <w:r>
              <w:rPr>
                <w:b/>
              </w:rPr>
              <w:t xml:space="preserve">Title: CEO </w:t>
            </w:r>
          </w:p>
          <w:p>
            <w:pPr>
              <w:pStyle w:val="TableContents"/>
              <w:bidi w:val="0"/>
              <w:spacing w:lineRule="auto" w:line="300" w:before="0" w:after="0"/>
              <w:ind w:left="828" w:right="1045" w:hanging="0"/>
              <w:jc w:val="left"/>
              <w:rPr/>
            </w:pPr>
            <w:r>
              <w:rPr>
                <w:b/>
              </w:rPr>
              <w:t>Signature:</w:t>
            </w:r>
            <w:r>
              <w:rPr/>
              <w:t>________________</w:t>
            </w:r>
          </w:p>
          <w:p>
            <w:pPr>
              <w:pStyle w:val="TableContents"/>
              <w:bidi w:val="0"/>
              <w:spacing w:lineRule="auto" w:line="300" w:before="0" w:after="0"/>
              <w:ind w:left="828" w:right="1045" w:hanging="0"/>
              <w:jc w:val="left"/>
              <w:rPr/>
            </w:pPr>
            <w:r>
              <w:rPr>
                <w:b/>
              </w:rPr>
              <w:t xml:space="preserve">Dated: </w:t>
            </w:r>
            <w:r>
              <w:rPr/>
              <w:t>________________</w:t>
            </w:r>
          </w:p>
        </w:tc>
        <w:tc>
          <w:tcPr>
            <w:tcW w:w="3665" w:type="dxa"/>
            <w:tcBorders/>
            <w:vAlign w:val="center"/>
          </w:tcPr>
          <w:p>
            <w:pPr>
              <w:pStyle w:val="TableContents"/>
              <w:bidi w:val="0"/>
              <w:spacing w:before="0" w:after="0"/>
              <w:jc w:val="left"/>
              <w:rPr/>
            </w:pPr>
            <w:r>
              <w:rPr/>
              <w:t xml:space="preserve">  </w:t>
            </w:r>
          </w:p>
          <w:p>
            <w:pPr>
              <w:pStyle w:val="TableContents"/>
              <w:bidi w:val="0"/>
              <w:spacing w:lineRule="auto" w:line="300" w:before="0" w:after="0"/>
              <w:jc w:val="left"/>
              <w:rPr>
                <w:b/>
              </w:rPr>
            </w:pPr>
            <w:r>
              <w:rPr>
                <w:b/>
              </w:rPr>
              <w:t xml:space="preserve">Signature:  ________________         </w:t>
            </w:r>
          </w:p>
          <w:p>
            <w:pPr>
              <w:pStyle w:val="TableContents"/>
              <w:bidi w:val="0"/>
              <w:spacing w:lineRule="auto" w:line="300" w:before="0" w:after="0"/>
              <w:jc w:val="left"/>
              <w:rPr>
                <w:b/>
              </w:rPr>
            </w:pPr>
            <w:r>
              <w:rPr>
                <w:b/>
              </w:rPr>
              <w:t>Dated: ________________</w:t>
            </w:r>
          </w:p>
        </w:tc>
      </w:tr>
    </w:tbl>
    <w:p>
      <w:pPr>
        <w:pStyle w:val="TextBody"/>
        <w:bidi w:val="0"/>
        <w:spacing w:lineRule="auto" w:line="300" w:before="0" w:after="0"/>
        <w:jc w:val="left"/>
        <w:rPr/>
      </w:pPr>
      <w:r>
        <w:rPr/>
      </w:r>
    </w:p>
    <w:p>
      <w:pPr>
        <w:pStyle w:val="HorizontalLine"/>
        <w:pBdr>
          <w:bottom w:val="single" w:sz="12" w:space="0" w:color="808080"/>
        </w:pBdr>
        <w:bidi w:val="0"/>
        <w:spacing w:lineRule="auto" w:line="300" w:before="200" w:after="200"/>
        <w:jc w:val="left"/>
        <w:rPr/>
      </w:pPr>
      <w:r>
        <w:rPr/>
      </w:r>
    </w:p>
    <w:p>
      <w:pPr>
        <w:pStyle w:val="TextBody"/>
        <w:bidi w:val="0"/>
        <w:spacing w:lineRule="auto" w:line="300" w:before="0" w:after="0"/>
        <w:jc w:val="left"/>
        <w:rPr/>
      </w:pPr>
      <w:r>
        <w:rPr/>
      </w:r>
    </w:p>
    <w:p>
      <w:pPr>
        <w:pStyle w:val="TextBody"/>
        <w:bidi w:val="0"/>
        <w:spacing w:lineRule="auto" w:line="300" w:before="0" w:after="0"/>
        <w:ind w:left="372" w:right="3" w:hanging="0"/>
        <w:jc w:val="center"/>
        <w:rPr>
          <w:rFonts w:ascii="Times New Roman;Times;serif" w:hAnsi="Times New Roman;Times;serif"/>
          <w:b/>
          <w:color w:val="000000"/>
          <w:sz w:val="20"/>
        </w:rPr>
      </w:pPr>
      <w:r>
        <w:rPr>
          <w:rFonts w:ascii="Times New Roman;Times;serif" w:hAnsi="Times New Roman;Times;serif"/>
          <w:b/>
          <w:color w:val="000000"/>
          <w:sz w:val="20"/>
        </w:rPr>
        <w:t>EXHIBIT B</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3061" w:right="2693" w:hanging="0"/>
        <w:jc w:val="center"/>
        <w:rPr>
          <w:rFonts w:ascii="Times New Roman;Times;serif" w:hAnsi="Times New Roman;Times;serif"/>
          <w:b/>
          <w:color w:val="000000"/>
          <w:sz w:val="20"/>
        </w:rPr>
      </w:pPr>
      <w:r>
        <w:rPr>
          <w:rFonts w:ascii="Times New Roman;Times;serif" w:hAnsi="Times New Roman;Times;serif"/>
          <w:b/>
          <w:color w:val="000000"/>
          <w:sz w:val="20"/>
        </w:rPr>
        <w:t xml:space="preserve">SOLAREDGE TECHNOLOGIES LTD. </w:t>
      </w:r>
    </w:p>
    <w:p>
      <w:pPr>
        <w:pStyle w:val="TextBody"/>
        <w:bidi w:val="0"/>
        <w:spacing w:lineRule="auto" w:line="300" w:before="0" w:after="0"/>
        <w:ind w:left="3061" w:right="2693" w:hanging="0"/>
        <w:jc w:val="center"/>
        <w:rPr>
          <w:rFonts w:ascii="Times New Roman;Times;serif" w:hAnsi="Times New Roman;Times;serif"/>
          <w:b/>
          <w:color w:val="000000"/>
          <w:sz w:val="20"/>
        </w:rPr>
      </w:pPr>
      <w:r>
        <w:rPr>
          <w:rFonts w:ascii="Times New Roman;Times;serif" w:hAnsi="Times New Roman;Times;serif"/>
          <w:b/>
          <w:color w:val="000000"/>
          <w:sz w:val="20"/>
        </w:rPr>
        <w:t>EMPLOYEE PROPRIETARY</w:t>
      </w:r>
    </w:p>
    <w:p>
      <w:pPr>
        <w:pStyle w:val="TextBody"/>
        <w:bidi w:val="0"/>
        <w:spacing w:lineRule="auto" w:line="300" w:before="0" w:after="0"/>
        <w:ind w:left="372" w:right="8" w:hanging="0"/>
        <w:jc w:val="center"/>
        <w:rPr>
          <w:rFonts w:ascii="Times New Roman;Times;serif" w:hAnsi="Times New Roman;Times;serif"/>
          <w:b/>
          <w:color w:val="000000"/>
          <w:sz w:val="20"/>
        </w:rPr>
      </w:pPr>
      <w:r>
        <w:rPr>
          <w:rFonts w:ascii="Times New Roman;Times;serif" w:hAnsi="Times New Roman;Times;serif"/>
          <w:b/>
          <w:color w:val="000000"/>
          <w:sz w:val="20"/>
        </w:rPr>
        <w:t>INFORMATION AND NON-COMPETITION AGREEMENT</w:t>
      </w:r>
    </w:p>
    <w:p>
      <w:pPr>
        <w:pStyle w:val="TextBody"/>
        <w:bidi w:val="0"/>
        <w:spacing w:lineRule="auto" w:line="300" w:before="0" w:after="0"/>
        <w:ind w:left="372" w:right="8" w:hanging="0"/>
        <w:jc w:val="center"/>
        <w:rPr>
          <w:b/>
        </w:rPr>
      </w:pPr>
      <w:r>
        <w:rPr>
          <w:b/>
        </w:rPr>
      </w:r>
    </w:p>
    <w:p>
      <w:pPr>
        <w:pStyle w:val="TextBody"/>
        <w:bidi w:val="0"/>
        <w:spacing w:lineRule="auto" w:line="300" w:before="0" w:after="0"/>
        <w:ind w:left="720" w:right="0" w:firstLine="566"/>
        <w:jc w:val="left"/>
        <w:rPr>
          <w:rFonts w:ascii="Times New Roman;Times;serif" w:hAnsi="Times New Roman;Times;serif"/>
          <w:color w:val="000000"/>
          <w:sz w:val="20"/>
        </w:rPr>
      </w:pPr>
      <w:r>
        <w:rPr>
          <w:rFonts w:ascii="Times New Roman;Times;serif" w:hAnsi="Times New Roman;Times;serif"/>
          <w:color w:val="000000"/>
          <w:sz w:val="20"/>
        </w:rPr>
        <w:t xml:space="preserve">In consideration and as a condition of my employment, by </w:t>
      </w:r>
      <w:r>
        <w:rPr>
          <w:rFonts w:ascii="Times New Roman;Times;serif" w:hAnsi="Times New Roman;Times;serif"/>
          <w:b/>
          <w:color w:val="000000"/>
          <w:sz w:val="20"/>
        </w:rPr>
        <w:t xml:space="preserve">SolarEdge Technologies Ltd. </w:t>
      </w:r>
      <w:r>
        <w:rPr>
          <w:rFonts w:ascii="Times New Roman;Times;serif" w:hAnsi="Times New Roman;Times;serif"/>
          <w:color w:val="000000"/>
          <w:sz w:val="20"/>
        </w:rPr>
        <w:t>and/or by companies which it owns, controls, or by which it is owned or controlled, or with which it is affiliated, or their successors in business (the “</w:t>
      </w:r>
      <w:r>
        <w:rPr>
          <w:rFonts w:ascii="Times New Roman;Times;serif" w:hAnsi="Times New Roman;Times;serif"/>
          <w:b/>
          <w:color w:val="000000"/>
          <w:sz w:val="20"/>
        </w:rPr>
        <w:t>Company</w:t>
      </w:r>
      <w:r>
        <w:rPr>
          <w:rFonts w:ascii="Times New Roman;Times;serif" w:hAnsi="Times New Roman;Times;serif"/>
          <w:color w:val="000000"/>
          <w:sz w:val="20"/>
        </w:rPr>
        <w:t>”), and the compensation paid therefor:</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720" w:right="355" w:firstLine="566"/>
        <w:jc w:val="both"/>
        <w:rPr>
          <w:rFonts w:ascii="Times New Roman;Times;serif" w:hAnsi="Times New Roman;Times;serif"/>
          <w:color w:val="000000"/>
          <w:sz w:val="20"/>
        </w:rPr>
      </w:pPr>
      <w:r>
        <w:rPr>
          <w:rFonts w:ascii="Times New Roman;Times;serif" w:hAnsi="Times New Roman;Times;serif"/>
          <w:color w:val="000000"/>
          <w:sz w:val="20"/>
        </w:rPr>
        <w:t>This Exhibit forms an integral part of the Employment Agreement made and entered into between the Company and me dated...........................................(the “</w:t>
      </w:r>
      <w:r>
        <w:rPr>
          <w:rFonts w:ascii="Times New Roman;Times;serif" w:hAnsi="Times New Roman;Times;serif"/>
          <w:b/>
          <w:color w:val="000000"/>
          <w:sz w:val="20"/>
        </w:rPr>
        <w:t>Employment Agreement</w:t>
      </w:r>
      <w:r>
        <w:rPr>
          <w:rFonts w:ascii="Times New Roman;Times;serif" w:hAnsi="Times New Roman;Times;serif"/>
          <w:color w:val="000000"/>
          <w:sz w:val="20"/>
        </w:rPr>
        <w:t xml:space="preserve">”), and is intended to add and not to derogate from the provisions of the Employment Agreement, and incorporates all the applicable terms and conditions of said Employment Agreement. </w:t>
      </w:r>
    </w:p>
    <w:p>
      <w:pPr>
        <w:pStyle w:val="TextBody"/>
        <w:bidi w:val="0"/>
        <w:spacing w:lineRule="auto" w:line="300" w:before="0" w:after="0"/>
        <w:jc w:val="left"/>
        <w:rPr/>
      </w:pPr>
      <w:r>
        <w:rPr/>
      </w:r>
    </w:p>
    <w:p>
      <w:pPr>
        <w:pStyle w:val="Normal"/>
        <w:bidi w:val="0"/>
        <w:spacing w:before="0" w:after="0"/>
        <w:jc w:val="left"/>
        <w:rPr>
          <w:sz w:val="4"/>
          <w:szCs w:val="4"/>
        </w:rPr>
      </w:pPr>
      <w:r>
        <w:rPr>
          <w:sz w:val="4"/>
          <w:szCs w:val="4"/>
        </w:rPr>
      </w:r>
      <w:bookmarkStart w:id="114" w:name="zb8b61ae8963742bbbba9aace8af20464"/>
      <w:bookmarkStart w:id="115" w:name="zb8b61ae8963742bbbba9aace8af20464"/>
      <w:bookmarkEnd w:id="115"/>
    </w:p>
    <w:tbl>
      <w:tblPr>
        <w:tblW w:w="1848" w:type="dxa"/>
        <w:jc w:val="left"/>
        <w:tblInd w:w="0" w:type="dxa"/>
        <w:tblLayout w:type="fixed"/>
        <w:tblCellMar>
          <w:top w:w="0" w:type="dxa"/>
          <w:left w:w="0" w:type="dxa"/>
          <w:bottom w:w="0" w:type="dxa"/>
          <w:right w:w="0" w:type="dxa"/>
        </w:tblCellMar>
      </w:tblPr>
      <w:tblGrid>
        <w:gridCol w:w="38"/>
        <w:gridCol w:w="200"/>
        <w:gridCol w:w="1610"/>
      </w:tblGrid>
      <w:tr>
        <w:trPr/>
        <w:tc>
          <w:tcPr>
            <w:tcW w:w="38" w:type="dxa"/>
            <w:tcBorders/>
            <w:vAlign w:val="center"/>
          </w:tcPr>
          <w:p>
            <w:pPr>
              <w:pStyle w:val="TableContents"/>
              <w:bidi w:val="0"/>
              <w:spacing w:before="0" w:after="283"/>
              <w:jc w:val="left"/>
              <w:rPr/>
            </w:pPr>
            <w:r>
              <w:rPr/>
            </w:r>
          </w:p>
        </w:tc>
        <w:tc>
          <w:tcPr>
            <w:tcW w:w="200" w:type="dxa"/>
            <w:tcBorders/>
            <w:vAlign w:val="center"/>
          </w:tcPr>
          <w:p>
            <w:pPr>
              <w:pStyle w:val="TableContents"/>
              <w:bidi w:val="0"/>
              <w:spacing w:before="0" w:after="283"/>
              <w:jc w:val="left"/>
              <w:rPr>
                <w:b/>
              </w:rPr>
            </w:pPr>
            <w:r>
              <w:rPr>
                <w:b/>
              </w:rPr>
              <w:t>1.</w:t>
            </w:r>
          </w:p>
        </w:tc>
        <w:tc>
          <w:tcPr>
            <w:tcW w:w="1610" w:type="dxa"/>
            <w:tcBorders/>
            <w:vAlign w:val="center"/>
          </w:tcPr>
          <w:p>
            <w:pPr>
              <w:pStyle w:val="TableContents"/>
              <w:bidi w:val="0"/>
              <w:spacing w:before="0" w:after="0"/>
              <w:jc w:val="left"/>
              <w:rPr>
                <w:b/>
                <w:u w:val="single"/>
              </w:rPr>
            </w:pPr>
            <w:r>
              <w:rPr>
                <w:b/>
                <w:u w:val="single"/>
              </w:rPr>
              <w:t>Confidentiality.</w:t>
            </w:r>
          </w:p>
        </w:tc>
      </w:tr>
    </w:tbl>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720" w:right="354" w:firstLine="566"/>
        <w:jc w:val="both"/>
        <w:rPr>
          <w:rFonts w:ascii="Times New Roman;Times;serif" w:hAnsi="Times New Roman;Times;serif"/>
          <w:color w:val="000000"/>
          <w:sz w:val="20"/>
        </w:rPr>
      </w:pPr>
      <w:r>
        <w:rPr>
          <w:rFonts w:ascii="Times New Roman;Times;serif" w:hAnsi="Times New Roman;Times;serif"/>
          <w:color w:val="000000"/>
          <w:sz w:val="20"/>
        </w:rPr>
        <w:t>Except as the Company may otherwise consent in writing, I agree to keep confidential and not disclose or make any use of, except for the benefit of the Company, at any time either during or subsequent to my employment by the Company, without limitation regarding time or place, any trade secrets or confidential or proprietary information of the Company (patentable or not), including without limitation knowledge, data, or other information relating to products, concepts, methods of manufacture, processes, know-how, techniques, designs, formulae, test data, costs, customer lists, employees, business plans, marketing plans and strategies, pricing, or other subject matter pertaining to any past, existing or contemplated business of the Company or any of its employees, clients, customers, consultants, agents, licensees, or affiliates, which I may produce, obtain or otherwise acquire during the course of or in connection with my employment (“</w:t>
      </w:r>
      <w:r>
        <w:rPr>
          <w:rFonts w:ascii="Times New Roman;Times;serif" w:hAnsi="Times New Roman;Times;serif"/>
          <w:b/>
          <w:color w:val="000000"/>
          <w:sz w:val="20"/>
        </w:rPr>
        <w:t>Company Confidential Information</w:t>
      </w:r>
      <w:r>
        <w:rPr>
          <w:rFonts w:ascii="Times New Roman;Times;serif" w:hAnsi="Times New Roman;Times;serif"/>
          <w:color w:val="000000"/>
          <w:sz w:val="20"/>
        </w:rPr>
        <w:t>”) or otherwise relating to the business, products, software, technologies, techniques, processes, services, or research and development of the Company. I further agree not to deliver, reproduce, or in any way allow any Company Confidential Information or any documentation relating thereto to be delivered or used by any third parties without specific direction or consent of the Company.</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720" w:right="355" w:firstLine="566"/>
        <w:jc w:val="both"/>
        <w:rPr>
          <w:rFonts w:ascii="Times New Roman;Times;serif" w:hAnsi="Times New Roman;Times;serif"/>
          <w:color w:val="000000"/>
          <w:sz w:val="20"/>
        </w:rPr>
      </w:pPr>
      <w:r>
        <w:rPr>
          <w:rFonts w:ascii="Times New Roman;Times;serif" w:hAnsi="Times New Roman;Times;serif"/>
          <w:color w:val="000000"/>
          <w:sz w:val="20"/>
        </w:rPr>
        <w:t>All Company Confidential Information, whether contained in documents, electronic media, magnetic media, servers or otherwise, including, but not limited to, notebooks, notes, memoranda, records, diagrams, blueprints, bulletins, formulas, reports, computer programs, other data of any kind coming into my possession or prepared by me or others (collectively, the “</w:t>
      </w:r>
      <w:r>
        <w:rPr>
          <w:rFonts w:ascii="Times New Roman;Times;serif" w:hAnsi="Times New Roman;Times;serif"/>
          <w:b/>
          <w:color w:val="000000"/>
          <w:sz w:val="20"/>
        </w:rPr>
        <w:t>Documents</w:t>
      </w:r>
      <w:r>
        <w:rPr>
          <w:rFonts w:ascii="Times New Roman;Times;serif" w:hAnsi="Times New Roman;Times;serif"/>
          <w:color w:val="000000"/>
          <w:sz w:val="20"/>
        </w:rPr>
        <w:t>”), are the sole and exclusive property of the Company and/ or of the Company's affiliates, as the case may be. I agree to return to the Company all such Documents immediately upon the earlier of: (i) demand from the Company; or (ii) termination of my employment with the Company for any reasons whatsoever. I will not have any rights of lien with respect to Confidential Information, as defined above.</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720" w:right="354" w:firstLine="566"/>
        <w:jc w:val="both"/>
        <w:rPr>
          <w:rFonts w:ascii="Times New Roman;Times;serif" w:hAnsi="Times New Roman;Times;serif"/>
          <w:color w:val="000000"/>
          <w:sz w:val="20"/>
        </w:rPr>
      </w:pPr>
      <w:r>
        <w:rPr>
          <w:rFonts w:ascii="Times New Roman;Times;serif" w:hAnsi="Times New Roman;Times;serif"/>
          <w:color w:val="000000"/>
          <w:sz w:val="20"/>
        </w:rPr>
        <w:t>I acknowledge that all Company Confidential Information, including but not limited to trade secrets, is essential commercial and proprietary information of the Company or the Company's affiliates (or of third parties to whom the Company or the Company's affiliates owe a duty of confidentiality), which is not public information and cannot easily be discovered by others, whose confidentiality provides the Company or the Company's affiliates a commercial advantage over its competitors, and the Company and/or the Company's affiliates are taking reasonable measures to safeguard its confidentiality.</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720" w:right="359" w:firstLine="566"/>
        <w:jc w:val="both"/>
        <w:rPr>
          <w:rFonts w:ascii="Times New Roman;Times;serif" w:hAnsi="Times New Roman;Times;serif"/>
          <w:color w:val="000000"/>
          <w:sz w:val="20"/>
        </w:rPr>
      </w:pPr>
      <w:r>
        <w:rPr>
          <w:rFonts w:ascii="Times New Roman;Times;serif" w:hAnsi="Times New Roman;Times;serif"/>
          <w:color w:val="000000"/>
          <w:sz w:val="20"/>
        </w:rPr>
        <w:t>Nothing in this Agreement restricts or prohibits me (with or without notice to the Company) from reporting violations of U.S. federal or state laws or regulations to a relevant government agency, from making disclosures that are protected under U.S. federal and state whistleblower laws and regulations or from accepting any monetary reward in connection therewith.</w:t>
      </w:r>
    </w:p>
    <w:p>
      <w:pPr>
        <w:pStyle w:val="HorizontalLine"/>
        <w:pBdr>
          <w:bottom w:val="single" w:sz="12" w:space="0" w:color="808080"/>
        </w:pBdr>
        <w:bidi w:val="0"/>
        <w:spacing w:before="200" w:after="200"/>
        <w:jc w:val="left"/>
        <w:rPr/>
      </w:pPr>
      <w:r>
        <w:rPr/>
      </w:r>
    </w:p>
    <w:p>
      <w:pPr>
        <w:pStyle w:val="TextBody"/>
        <w:bidi w:val="0"/>
        <w:spacing w:lineRule="auto" w:line="300" w:before="0" w:after="0"/>
        <w:jc w:val="left"/>
        <w:rPr/>
      </w:pPr>
      <w:r>
        <w:rPr/>
      </w:r>
    </w:p>
    <w:p>
      <w:pPr>
        <w:pStyle w:val="Normal"/>
        <w:bidi w:val="0"/>
        <w:spacing w:before="0" w:after="0"/>
        <w:jc w:val="left"/>
        <w:rPr>
          <w:sz w:val="4"/>
          <w:szCs w:val="4"/>
        </w:rPr>
      </w:pPr>
      <w:r>
        <w:rPr>
          <w:sz w:val="4"/>
          <w:szCs w:val="4"/>
        </w:rPr>
      </w:r>
      <w:bookmarkStart w:id="116" w:name="z8cb2f1307fb24a79b6014e4a82cc510d"/>
      <w:bookmarkStart w:id="117" w:name="z8cb2f1307fb24a79b6014e4a82cc510d"/>
      <w:bookmarkEnd w:id="117"/>
    </w:p>
    <w:tbl>
      <w:tblPr>
        <w:tblW w:w="2898" w:type="dxa"/>
        <w:jc w:val="left"/>
        <w:tblInd w:w="0" w:type="dxa"/>
        <w:tblLayout w:type="fixed"/>
        <w:tblCellMar>
          <w:top w:w="0" w:type="dxa"/>
          <w:left w:w="0" w:type="dxa"/>
          <w:bottom w:w="0" w:type="dxa"/>
          <w:right w:w="0" w:type="dxa"/>
        </w:tblCellMar>
      </w:tblPr>
      <w:tblGrid>
        <w:gridCol w:w="38"/>
        <w:gridCol w:w="200"/>
        <w:gridCol w:w="2660"/>
      </w:tblGrid>
      <w:tr>
        <w:trPr/>
        <w:tc>
          <w:tcPr>
            <w:tcW w:w="38" w:type="dxa"/>
            <w:tcBorders/>
            <w:vAlign w:val="center"/>
          </w:tcPr>
          <w:p>
            <w:pPr>
              <w:pStyle w:val="TableContents"/>
              <w:bidi w:val="0"/>
              <w:spacing w:before="0" w:after="283"/>
              <w:jc w:val="left"/>
              <w:rPr/>
            </w:pPr>
            <w:r>
              <w:rPr/>
            </w:r>
          </w:p>
        </w:tc>
        <w:tc>
          <w:tcPr>
            <w:tcW w:w="200" w:type="dxa"/>
            <w:tcBorders/>
            <w:vAlign w:val="center"/>
          </w:tcPr>
          <w:p>
            <w:pPr>
              <w:pStyle w:val="TableContents"/>
              <w:bidi w:val="0"/>
              <w:spacing w:before="0" w:after="283"/>
              <w:jc w:val="left"/>
              <w:rPr>
                <w:b/>
              </w:rPr>
            </w:pPr>
            <w:r>
              <w:rPr>
                <w:b/>
              </w:rPr>
              <w:t>2.</w:t>
            </w:r>
          </w:p>
        </w:tc>
        <w:tc>
          <w:tcPr>
            <w:tcW w:w="2660" w:type="dxa"/>
            <w:tcBorders/>
            <w:vAlign w:val="center"/>
          </w:tcPr>
          <w:p>
            <w:pPr>
              <w:pStyle w:val="TableContents"/>
              <w:bidi w:val="0"/>
              <w:spacing w:before="0" w:after="0"/>
              <w:jc w:val="left"/>
              <w:rPr>
                <w:b/>
                <w:u w:val="single"/>
              </w:rPr>
            </w:pPr>
            <w:r>
              <w:rPr>
                <w:b/>
                <w:u w:val="single"/>
              </w:rPr>
              <w:t>Assignment of Inventions.</w:t>
            </w:r>
          </w:p>
        </w:tc>
      </w:tr>
    </w:tbl>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720" w:right="354" w:firstLine="566"/>
        <w:jc w:val="both"/>
        <w:rPr>
          <w:rFonts w:ascii="Times New Roman;Times;serif" w:hAnsi="Times New Roman;Times;serif"/>
          <w:color w:val="000000"/>
          <w:sz w:val="20"/>
        </w:rPr>
      </w:pPr>
      <w:r>
        <w:rPr>
          <w:rFonts w:ascii="Times New Roman;Times;serif" w:hAnsi="Times New Roman;Times;serif"/>
          <w:color w:val="000000"/>
          <w:sz w:val="20"/>
        </w:rPr>
        <w:t>As used in this Agreement, “</w:t>
      </w:r>
      <w:r>
        <w:rPr>
          <w:rFonts w:ascii="Times New Roman;Times;serif" w:hAnsi="Times New Roman;Times;serif"/>
          <w:b/>
          <w:color w:val="000000"/>
          <w:sz w:val="20"/>
        </w:rPr>
        <w:t>Invention</w:t>
      </w:r>
      <w:r>
        <w:rPr>
          <w:rFonts w:ascii="Times New Roman;Times;serif" w:hAnsi="Times New Roman;Times;serif"/>
          <w:color w:val="000000"/>
          <w:sz w:val="20"/>
        </w:rPr>
        <w:t>” shall include but not be limited to : (i) utility models, patents (including all reissues, divisionals, provisionals, continuations and continuations-in-part, reissues, re-examinations, renewals, substitutions and extensions thereof), patent applications, plant patents, certificates of plant variety protection and inventions (whether patentable or not) and rights in inventions; (ii) trademarks, trade names, logos, service marks, trade dress, corporate names, and other designations of source, and registrations and applications for registration thereof, together with the goodwill connected with the use of and symbolized by the foregoing; (iii) copyrights, designs, mask works, database rights and semiconductor topography rights, and registrations and applications for registration thereof and works of authorship (whether copyrightable or not); (iv) internet domain names and related registrations; (v) trade secrets, confidential information, and other proprietary rights, including ideas, formulas, compositions, inventions (whether patentable or unpatentable), know-how, manufacturing and production processes and techniques, research and development information, drawings, specifications, designs, plans, proposals, technical data, financial and marketing plans and customer and supplier lists and information; (vi) computer software (source and object code), modules, libraries, code, or other components, and documentation for the foregoing; (vii) any other intellectual property rights, moral rights, or industrial property rights not otherwise set forth in (i) through (vi) above, whether registered or unregistered, as recognized by law in the applicable jurisdiction; and (viii) all copies and tangible embodiments of any of the foregoing (in whatever form or medium).</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720" w:right="353" w:firstLine="566"/>
        <w:jc w:val="both"/>
        <w:rPr>
          <w:rFonts w:ascii="Times New Roman;Times;serif" w:hAnsi="Times New Roman;Times;serif"/>
          <w:color w:val="000000"/>
          <w:sz w:val="20"/>
        </w:rPr>
      </w:pPr>
      <w:r>
        <w:rPr>
          <w:rFonts w:ascii="Times New Roman;Times;serif" w:hAnsi="Times New Roman;Times;serif"/>
          <w:color w:val="000000"/>
          <w:sz w:val="20"/>
        </w:rPr>
        <w:t>Without additional compensation and consideration beyond the Salary, as defined in the Employment Agreement, I hereby irrevocably and unconditionally assign to the Company all right title and interest to all Inventions made or conceived by me (solely or jointly with others) during the period of, and/or in connection with my employment with the Company, or otherwise relating in any manner to the business, products, technologies, techniques, processes, services, or research and development of the Company, including all rights to sue for past, present, and future infringements or misappropriations of such Inventions, upon their inception at any time, and whether or not any such Inventions are protectable by patent, trademark, copyright, or mask work right, and whether or not used by the Company. I agree that all such Inventions shall belong exclusively to the Company. In addition, I hereby waive any moral rights in copyrightable Proprietary Developments or any part thereof, (to the extent such waiver is allowed under applicable law)</w:t>
      </w:r>
    </w:p>
    <w:p>
      <w:pPr>
        <w:pStyle w:val="TextBody"/>
        <w:bidi w:val="0"/>
        <w:spacing w:lineRule="auto" w:line="300" w:before="0" w:after="0"/>
        <w:jc w:val="left"/>
        <w:rPr>
          <w:color w:val="000000"/>
        </w:rPr>
      </w:pPr>
      <w:r>
        <w:rPr>
          <w:color w:val="000000"/>
        </w:rPr>
        <w:t> </w:t>
      </w:r>
    </w:p>
    <w:p>
      <w:pPr>
        <w:pStyle w:val="Normal"/>
        <w:bidi w:val="0"/>
        <w:spacing w:before="0" w:after="0"/>
        <w:jc w:val="left"/>
        <w:rPr>
          <w:sz w:val="4"/>
          <w:szCs w:val="4"/>
        </w:rPr>
      </w:pPr>
      <w:r>
        <w:rPr>
          <w:sz w:val="4"/>
          <w:szCs w:val="4"/>
        </w:rPr>
      </w:r>
      <w:bookmarkStart w:id="118" w:name="ze1462d3b4e5b46bda32ee5ccded51df5"/>
      <w:bookmarkStart w:id="119" w:name="ze1462d3b4e5b46bda32ee5ccded51df5"/>
      <w:bookmarkEnd w:id="119"/>
    </w:p>
    <w:tbl>
      <w:tblPr>
        <w:tblW w:w="7053" w:type="dxa"/>
        <w:jc w:val="left"/>
        <w:tblInd w:w="0" w:type="dxa"/>
        <w:tblLayout w:type="fixed"/>
        <w:tblCellMar>
          <w:top w:w="0" w:type="dxa"/>
          <w:left w:w="0" w:type="dxa"/>
          <w:bottom w:w="0" w:type="dxa"/>
          <w:right w:w="0" w:type="dxa"/>
        </w:tblCellMar>
      </w:tblPr>
      <w:tblGrid>
        <w:gridCol w:w="38"/>
        <w:gridCol w:w="200"/>
        <w:gridCol w:w="6815"/>
      </w:tblGrid>
      <w:tr>
        <w:trPr/>
        <w:tc>
          <w:tcPr>
            <w:tcW w:w="38" w:type="dxa"/>
            <w:tcBorders/>
            <w:vAlign w:val="center"/>
          </w:tcPr>
          <w:p>
            <w:pPr>
              <w:pStyle w:val="TableContents"/>
              <w:bidi w:val="0"/>
              <w:spacing w:before="0" w:after="283"/>
              <w:jc w:val="left"/>
              <w:rPr/>
            </w:pPr>
            <w:r>
              <w:rPr/>
            </w:r>
          </w:p>
        </w:tc>
        <w:tc>
          <w:tcPr>
            <w:tcW w:w="200" w:type="dxa"/>
            <w:tcBorders/>
            <w:vAlign w:val="center"/>
          </w:tcPr>
          <w:p>
            <w:pPr>
              <w:pStyle w:val="TableContents"/>
              <w:bidi w:val="0"/>
              <w:spacing w:before="0" w:after="283"/>
              <w:jc w:val="left"/>
              <w:rPr>
                <w:b/>
              </w:rPr>
            </w:pPr>
            <w:r>
              <w:rPr>
                <w:b/>
              </w:rPr>
              <w:t>3.</w:t>
            </w:r>
          </w:p>
        </w:tc>
        <w:tc>
          <w:tcPr>
            <w:tcW w:w="6815" w:type="dxa"/>
            <w:tcBorders/>
            <w:vAlign w:val="center"/>
          </w:tcPr>
          <w:p>
            <w:pPr>
              <w:pStyle w:val="TableContents"/>
              <w:bidi w:val="0"/>
              <w:spacing w:before="0" w:after="0"/>
              <w:jc w:val="left"/>
              <w:rPr>
                <w:b/>
                <w:u w:val="single"/>
              </w:rPr>
            </w:pPr>
            <w:r>
              <w:rPr>
                <w:b/>
                <w:u w:val="single"/>
              </w:rPr>
              <w:t>Disclosure of Inventions, Assignment and Execution of Documents.</w:t>
            </w:r>
          </w:p>
        </w:tc>
      </w:tr>
    </w:tbl>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720" w:right="356" w:firstLine="566"/>
        <w:jc w:val="both"/>
        <w:rPr>
          <w:rFonts w:ascii="Times New Roman;Times;serif" w:hAnsi="Times New Roman;Times;serif"/>
          <w:color w:val="000000"/>
          <w:sz w:val="20"/>
        </w:rPr>
      </w:pPr>
      <w:r>
        <w:rPr>
          <w:rFonts w:ascii="Times New Roman;Times;serif" w:hAnsi="Times New Roman;Times;serif"/>
          <w:color w:val="000000"/>
          <w:sz w:val="20"/>
        </w:rPr>
        <w:t>I agree to disclose each Invention promptly in writing to the Board of Directors and the Chief Executive Officer of the Company, in order to permit the Company to determine rights to which it may be entitled under this Agreement. I hereby assign to the Company any Invention required to be assigned by Section 2 above (“</w:t>
      </w:r>
      <w:r>
        <w:rPr>
          <w:rFonts w:ascii="Times New Roman;Times;serif" w:hAnsi="Times New Roman;Times;serif"/>
          <w:b/>
          <w:color w:val="000000"/>
          <w:sz w:val="20"/>
        </w:rPr>
        <w:t>Assignable Invention</w:t>
      </w:r>
      <w:r>
        <w:rPr>
          <w:rFonts w:ascii="Times New Roman;Times;serif" w:hAnsi="Times New Roman;Times;serif"/>
          <w:color w:val="000000"/>
          <w:sz w:val="20"/>
        </w:rPr>
        <w:t>”). I agree that Assignable Inventions shall be and remain the sole and exclusive property of the Company or its nominee, whether or not used by the Company or protected by patent, trademark, copyright, mask work right or trade secrecy. I agree to preserve any Assignable Invention as Company Confidential Information.</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720" w:right="353" w:firstLine="566"/>
        <w:jc w:val="both"/>
        <w:rPr>
          <w:rFonts w:ascii="Times New Roman;Times;serif" w:hAnsi="Times New Roman;Times;serif"/>
          <w:color w:val="000000"/>
          <w:sz w:val="20"/>
        </w:rPr>
      </w:pPr>
      <w:r>
        <w:rPr>
          <w:rFonts w:ascii="Times New Roman;Times;serif" w:hAnsi="Times New Roman;Times;serif"/>
          <w:color w:val="000000"/>
          <w:sz w:val="20"/>
        </w:rPr>
        <w:t>I acknowledge and agree that the salary and other benefits which I am entitled to receive from the Company by virtue of my employment or engagement with the Company constitute the sole and exclusive consideration to which I am entitled, by virtue of any contract or law (including, but not limited to, the Israel Patent Law, 5727-1967), in respect of any and all Assignable Inventions, and I hereby waive all past, present and future demands, contentions, allegations or other claims, of any kind, in respect thereof, including the right to receive any additional royalties, consideration or other payments. Without derogating from the aforesaid, it is hereby clarified that the level of my compensation and consideration has been established based upon the aforementioned waiver of rights to receive any such additional royalties, consideration or other payment. For the avoidance of doubt, the foregoing will apply to any “Service Inventions” as defined in the Israeli Patent Law, 1967 (the “</w:t>
      </w:r>
      <w:r>
        <w:rPr>
          <w:rFonts w:ascii="Times New Roman;Times;serif" w:hAnsi="Times New Roman;Times;serif"/>
          <w:b/>
          <w:color w:val="000000"/>
          <w:sz w:val="20"/>
        </w:rPr>
        <w:t>Patent Law</w:t>
      </w:r>
      <w:r>
        <w:rPr>
          <w:rFonts w:ascii="Times New Roman;Times;serif" w:hAnsi="Times New Roman;Times;serif"/>
          <w:color w:val="000000"/>
          <w:sz w:val="20"/>
        </w:rPr>
        <w:t xml:space="preserve">”), it being clarified that under no circumstances will I be deemed to have any proprietary right in any such Service Invention, notwithstanding the provision or non-provision of any notice of an invention and/or company response to any such notice, under Section 132(b) of the Patent Law. This agreement if expressly intended to be an agreement with regard to the terms and conditions of consideration for Service Inventions in accordance with Section 134 of the Patent Law. </w:t>
      </w:r>
    </w:p>
    <w:p>
      <w:pPr>
        <w:pStyle w:val="HorizontalLine"/>
        <w:pBdr>
          <w:bottom w:val="single" w:sz="12" w:space="0" w:color="808080"/>
        </w:pBdr>
        <w:bidi w:val="0"/>
        <w:spacing w:before="200" w:after="200"/>
        <w:jc w:val="left"/>
        <w:rPr/>
      </w:pPr>
      <w:r>
        <w:rPr/>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720" w:right="0" w:firstLine="566"/>
        <w:jc w:val="left"/>
        <w:rPr>
          <w:rFonts w:ascii="Times New Roman;Times;serif" w:hAnsi="Times New Roman;Times;serif"/>
          <w:color w:val="000000"/>
          <w:sz w:val="20"/>
        </w:rPr>
      </w:pPr>
      <w:r>
        <w:rPr>
          <w:rFonts w:ascii="Times New Roman;Times;serif" w:hAnsi="Times New Roman;Times;serif"/>
          <w:color w:val="000000"/>
          <w:sz w:val="20"/>
        </w:rPr>
        <w:t>I agree to assist the Company, upon request and at its expense, during and after my employment in every reasonable way, to obtain for its own benefit patents, trademarks, copyrights, mask work rights or other proprietary rights for Assignable Inventions in any and all countries. I agree to execute such papers and perform such lawful acts as the Company deems to be necessary to allow it to exercise all rights, title and interest in such patents, trademarks copyrights, and mask work rights, including executing, acknowledging, and/or delivering to the Company upon request and at its expense, applications.</w:t>
      </w:r>
    </w:p>
    <w:p>
      <w:pPr>
        <w:pStyle w:val="TextBody"/>
        <w:bidi w:val="0"/>
        <w:spacing w:lineRule="auto" w:line="300" w:before="0" w:after="0"/>
        <w:jc w:val="left"/>
        <w:rPr/>
      </w:pPr>
      <w:r>
        <w:rPr/>
      </w:r>
    </w:p>
    <w:p>
      <w:pPr>
        <w:pStyle w:val="TextBody"/>
        <w:bidi w:val="0"/>
        <w:spacing w:lineRule="auto" w:line="300" w:before="0" w:after="0"/>
        <w:ind w:left="720" w:right="354" w:firstLine="566"/>
        <w:jc w:val="both"/>
        <w:rPr>
          <w:rFonts w:ascii="Times New Roman;Times;serif" w:hAnsi="Times New Roman;Times;serif"/>
          <w:color w:val="000000"/>
          <w:sz w:val="20"/>
        </w:rPr>
      </w:pPr>
      <w:r>
        <w:rPr>
          <w:rFonts w:ascii="Times New Roman;Times;serif" w:hAnsi="Times New Roman;Times;serif"/>
          <w:color w:val="000000"/>
          <w:sz w:val="20"/>
        </w:rPr>
        <w:t>In the event the Company is unable to secure my signature on any document needed to apply for or prosecute any patent, copyright, or other right or protection relating to an Invention. I hereby irrevocably designate and appoint the Company and its duly authorized officers and agents as my agent and attorney-in-fact to act for and on my behalf to execute, verify and file any such document and to do all other lawfully permitted acts to further the prosecution thereon with the same legal force and effect as if executed by me.</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720" w:right="353" w:firstLine="566"/>
        <w:jc w:val="both"/>
        <w:rPr>
          <w:rFonts w:ascii="Times New Roman;Times;serif" w:hAnsi="Times New Roman;Times;serif"/>
          <w:color w:val="000000"/>
          <w:sz w:val="20"/>
        </w:rPr>
      </w:pPr>
      <w:r>
        <w:rPr>
          <w:rFonts w:ascii="Times New Roman;Times;serif" w:hAnsi="Times New Roman;Times;serif"/>
          <w:color w:val="000000"/>
          <w:sz w:val="20"/>
        </w:rPr>
        <w:t>Section 2 above will not apply with respect to inventions, if any, patented or unpatented, which I made prior to the commencement of my engagement with the Company. I have listed below, a complete list of all inventions to which I claim ownership and desire to remove from the scope of this Agreement, and acknowledge that such list is complete (“</w:t>
      </w:r>
      <w:r>
        <w:rPr>
          <w:rFonts w:ascii="Times New Roman;Times;serif" w:hAnsi="Times New Roman;Times;serif"/>
          <w:b/>
          <w:color w:val="000000"/>
          <w:sz w:val="20"/>
        </w:rPr>
        <w:t>Prior Inventions</w:t>
      </w:r>
      <w:r>
        <w:rPr>
          <w:rFonts w:ascii="Times New Roman;Times;serif" w:hAnsi="Times New Roman;Times;serif"/>
          <w:color w:val="000000"/>
          <w:sz w:val="20"/>
        </w:rPr>
        <w:t>”). If no such list is provided below, I hereby represent that I have no such Prior Inventions at the time of this Agreement. If, in the course of my employment with the Company, I incorporate a Prior Invention into a Company product, process or machine, the Company is hereby granted and shall have a nonexclusive, royalty-free, irrevocable, perpetual, worldwide license (with rights to sublicense through multiple tiers of sublicenses) to make, have made, modify, use and sell such Prior Invention. Notwithstanding the foregoing, I agree that: (i) I will not incorporate, or permit to be incorporated, Prior Inventions in any Company Inventions without the Company’s prior written consent, (ii) my failure to obtain such prior consent shall not affect the grant of the license relating to the Prior Inventions as specified in this Section 3.</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1286" w:right="0" w:hanging="0"/>
        <w:jc w:val="left"/>
        <w:rPr>
          <w:rFonts w:ascii="Times New Roman;Times;serif" w:hAnsi="Times New Roman;Times;serif"/>
          <w:color w:val="000000"/>
          <w:sz w:val="20"/>
        </w:rPr>
      </w:pPr>
      <w:r>
        <w:rPr>
          <w:rFonts w:ascii="Times New Roman;Times;serif" w:hAnsi="Times New Roman;Times;serif"/>
          <w:color w:val="000000"/>
          <w:sz w:val="20"/>
        </w:rPr>
        <w:t>Prior Inventions:</w:t>
      </w:r>
    </w:p>
    <w:p>
      <w:pPr>
        <w:pStyle w:val="TextBody"/>
        <w:bidi w:val="0"/>
        <w:spacing w:lineRule="auto" w:line="300" w:before="0" w:after="0"/>
        <w:ind w:left="1286" w:right="0" w:hanging="0"/>
        <w:jc w:val="left"/>
        <w:rPr>
          <w:rFonts w:ascii="Times New Roman;Times;serif" w:hAnsi="Times New Roman;Times;serif"/>
          <w:color w:val="000000"/>
          <w:sz w:val="20"/>
        </w:rPr>
      </w:pPr>
      <w:r>
        <w:rPr>
          <w:rFonts w:ascii="Times New Roman;Times;serif" w:hAnsi="Times New Roman;Times;serif"/>
          <w:color w:val="000000"/>
          <w:sz w:val="20"/>
        </w:rPr>
        <w:t>_______________________</w:t>
      </w:r>
    </w:p>
    <w:p>
      <w:pPr>
        <w:pStyle w:val="TextBody"/>
        <w:bidi w:val="0"/>
        <w:spacing w:lineRule="auto" w:line="300" w:before="0" w:after="0"/>
        <w:ind w:left="1286" w:right="0" w:hanging="0"/>
        <w:jc w:val="left"/>
        <w:rPr/>
      </w:pPr>
      <w:r>
        <w:rPr/>
      </w:r>
    </w:p>
    <w:p>
      <w:pPr>
        <w:pStyle w:val="TextBody"/>
        <w:bidi w:val="0"/>
        <w:spacing w:lineRule="auto" w:line="300" w:before="0" w:after="0"/>
        <w:ind w:left="1286" w:right="0" w:hanging="0"/>
        <w:jc w:val="left"/>
        <w:rPr>
          <w:rFonts w:ascii="Times New Roman;Times;serif" w:hAnsi="Times New Roman;Times;serif"/>
          <w:color w:val="000000"/>
          <w:sz w:val="20"/>
        </w:rPr>
      </w:pPr>
      <w:r>
        <w:rPr>
          <w:rFonts w:ascii="Times New Roman;Times;serif" w:hAnsi="Times New Roman;Times;serif"/>
          <w:color w:val="000000"/>
          <w:sz w:val="20"/>
        </w:rPr>
        <w:t>_______________________</w:t>
      </w:r>
    </w:p>
    <w:p>
      <w:pPr>
        <w:pStyle w:val="TextBody"/>
        <w:bidi w:val="0"/>
        <w:spacing w:lineRule="auto" w:line="300" w:before="0" w:after="0"/>
        <w:jc w:val="left"/>
        <w:rPr/>
      </w:pPr>
      <w:r>
        <w:rPr/>
      </w:r>
    </w:p>
    <w:p>
      <w:pPr>
        <w:pStyle w:val="Normal"/>
        <w:bidi w:val="0"/>
        <w:spacing w:before="0" w:after="0"/>
        <w:jc w:val="left"/>
        <w:rPr>
          <w:sz w:val="4"/>
          <w:szCs w:val="4"/>
        </w:rPr>
      </w:pPr>
      <w:r>
        <w:rPr>
          <w:sz w:val="4"/>
          <w:szCs w:val="4"/>
        </w:rPr>
      </w:r>
      <w:bookmarkStart w:id="120" w:name="zc618144015d9482081c7e675803968f9"/>
      <w:bookmarkStart w:id="121" w:name="zc618144015d9482081c7e675803968f9"/>
      <w:bookmarkEnd w:id="121"/>
    </w:p>
    <w:tbl>
      <w:tblPr>
        <w:tblW w:w="2808" w:type="dxa"/>
        <w:jc w:val="left"/>
        <w:tblInd w:w="0" w:type="dxa"/>
        <w:tblLayout w:type="fixed"/>
        <w:tblCellMar>
          <w:top w:w="0" w:type="dxa"/>
          <w:left w:w="0" w:type="dxa"/>
          <w:bottom w:w="0" w:type="dxa"/>
          <w:right w:w="0" w:type="dxa"/>
        </w:tblCellMar>
      </w:tblPr>
      <w:tblGrid>
        <w:gridCol w:w="38"/>
        <w:gridCol w:w="200"/>
        <w:gridCol w:w="2570"/>
      </w:tblGrid>
      <w:tr>
        <w:trPr/>
        <w:tc>
          <w:tcPr>
            <w:tcW w:w="38" w:type="dxa"/>
            <w:tcBorders/>
            <w:vAlign w:val="center"/>
          </w:tcPr>
          <w:p>
            <w:pPr>
              <w:pStyle w:val="TableContents"/>
              <w:bidi w:val="0"/>
              <w:spacing w:before="0" w:after="283"/>
              <w:jc w:val="left"/>
              <w:rPr/>
            </w:pPr>
            <w:r>
              <w:rPr/>
            </w:r>
          </w:p>
        </w:tc>
        <w:tc>
          <w:tcPr>
            <w:tcW w:w="200" w:type="dxa"/>
            <w:tcBorders/>
            <w:vAlign w:val="center"/>
          </w:tcPr>
          <w:p>
            <w:pPr>
              <w:pStyle w:val="TableContents"/>
              <w:bidi w:val="0"/>
              <w:spacing w:before="0" w:after="283"/>
              <w:jc w:val="left"/>
              <w:rPr>
                <w:b/>
              </w:rPr>
            </w:pPr>
            <w:r>
              <w:rPr>
                <w:b/>
              </w:rPr>
              <w:t>4.</w:t>
            </w:r>
          </w:p>
        </w:tc>
        <w:tc>
          <w:tcPr>
            <w:tcW w:w="2570" w:type="dxa"/>
            <w:tcBorders/>
            <w:vAlign w:val="center"/>
          </w:tcPr>
          <w:p>
            <w:pPr>
              <w:pStyle w:val="TableContents"/>
              <w:bidi w:val="0"/>
              <w:spacing w:before="0" w:after="0"/>
              <w:jc w:val="left"/>
              <w:rPr>
                <w:b/>
                <w:u w:val="single"/>
              </w:rPr>
            </w:pPr>
            <w:r>
              <w:rPr>
                <w:b/>
                <w:u w:val="single"/>
              </w:rPr>
              <w:t>Maintenance of Records.</w:t>
            </w:r>
          </w:p>
        </w:tc>
      </w:tr>
    </w:tbl>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720" w:right="362" w:firstLine="566"/>
        <w:jc w:val="both"/>
        <w:rPr>
          <w:rFonts w:ascii="Times New Roman;Times;serif" w:hAnsi="Times New Roman;Times;serif"/>
          <w:color w:val="000000"/>
          <w:sz w:val="20"/>
        </w:rPr>
      </w:pPr>
      <w:r>
        <w:rPr>
          <w:rFonts w:ascii="Times New Roman;Times;serif" w:hAnsi="Times New Roman;Times;serif"/>
          <w:color w:val="000000"/>
          <w:sz w:val="20"/>
        </w:rPr>
        <w:t>I agree to keep and maintain adequate and current written records of all Inventions made by me as provided in Section 2 above (in the form of notes, sketches, drawings, and as may be specified by the Company) which records shall be available to and remain the sole property of the Company at all times.</w:t>
      </w:r>
    </w:p>
    <w:p>
      <w:pPr>
        <w:pStyle w:val="HorizontalLine"/>
        <w:pBdr>
          <w:bottom w:val="single" w:sz="12" w:space="0" w:color="808080"/>
        </w:pBdr>
        <w:bidi w:val="0"/>
        <w:spacing w:before="200" w:after="200"/>
        <w:jc w:val="left"/>
        <w:rPr/>
      </w:pPr>
      <w:r>
        <w:rPr/>
      </w:r>
    </w:p>
    <w:p>
      <w:pPr>
        <w:pStyle w:val="TextBody"/>
        <w:bidi w:val="0"/>
        <w:spacing w:lineRule="auto" w:line="300" w:before="0" w:after="0"/>
        <w:jc w:val="left"/>
        <w:rPr>
          <w:color w:val="000000"/>
        </w:rPr>
      </w:pPr>
      <w:r>
        <w:rPr>
          <w:color w:val="000000"/>
        </w:rPr>
        <w:t> </w:t>
      </w:r>
    </w:p>
    <w:p>
      <w:pPr>
        <w:pStyle w:val="Normal"/>
        <w:bidi w:val="0"/>
        <w:spacing w:before="0" w:after="0"/>
        <w:jc w:val="left"/>
        <w:rPr>
          <w:sz w:val="4"/>
          <w:szCs w:val="4"/>
        </w:rPr>
      </w:pPr>
      <w:r>
        <w:rPr>
          <w:sz w:val="4"/>
          <w:szCs w:val="4"/>
        </w:rPr>
      </w:r>
      <w:bookmarkStart w:id="122" w:name="zcbbdf52b3f744eee91bbade9a3b6171c"/>
      <w:bookmarkStart w:id="123" w:name="zcbbdf52b3f744eee91bbade9a3b6171c"/>
      <w:bookmarkEnd w:id="123"/>
    </w:p>
    <w:tbl>
      <w:tblPr>
        <w:tblW w:w="2358" w:type="dxa"/>
        <w:jc w:val="left"/>
        <w:tblInd w:w="0" w:type="dxa"/>
        <w:tblLayout w:type="fixed"/>
        <w:tblCellMar>
          <w:top w:w="0" w:type="dxa"/>
          <w:left w:w="0" w:type="dxa"/>
          <w:bottom w:w="0" w:type="dxa"/>
          <w:right w:w="0" w:type="dxa"/>
        </w:tblCellMar>
      </w:tblPr>
      <w:tblGrid>
        <w:gridCol w:w="38"/>
        <w:gridCol w:w="200"/>
        <w:gridCol w:w="2120"/>
      </w:tblGrid>
      <w:tr>
        <w:trPr/>
        <w:tc>
          <w:tcPr>
            <w:tcW w:w="38" w:type="dxa"/>
            <w:tcBorders/>
            <w:vAlign w:val="center"/>
          </w:tcPr>
          <w:p>
            <w:pPr>
              <w:pStyle w:val="TableContents"/>
              <w:bidi w:val="0"/>
              <w:spacing w:before="0" w:after="283"/>
              <w:jc w:val="left"/>
              <w:rPr/>
            </w:pPr>
            <w:r>
              <w:rPr/>
            </w:r>
          </w:p>
        </w:tc>
        <w:tc>
          <w:tcPr>
            <w:tcW w:w="200" w:type="dxa"/>
            <w:tcBorders/>
            <w:vAlign w:val="center"/>
          </w:tcPr>
          <w:p>
            <w:pPr>
              <w:pStyle w:val="TableContents"/>
              <w:bidi w:val="0"/>
              <w:spacing w:before="0" w:after="283"/>
              <w:jc w:val="left"/>
              <w:rPr>
                <w:b/>
              </w:rPr>
            </w:pPr>
            <w:r>
              <w:rPr>
                <w:b/>
              </w:rPr>
              <w:t>5.</w:t>
            </w:r>
          </w:p>
        </w:tc>
        <w:tc>
          <w:tcPr>
            <w:tcW w:w="2120" w:type="dxa"/>
            <w:tcBorders/>
            <w:vAlign w:val="center"/>
          </w:tcPr>
          <w:p>
            <w:pPr>
              <w:pStyle w:val="TableContents"/>
              <w:bidi w:val="0"/>
              <w:spacing w:before="0" w:after="0"/>
              <w:jc w:val="left"/>
              <w:rPr>
                <w:b/>
                <w:u w:val="single"/>
              </w:rPr>
            </w:pPr>
            <w:r>
              <w:rPr>
                <w:b/>
                <w:u w:val="single"/>
              </w:rPr>
              <w:t>Competitive Activity</w:t>
            </w:r>
          </w:p>
        </w:tc>
      </w:tr>
    </w:tbl>
    <w:p>
      <w:pPr>
        <w:pStyle w:val="TextBody"/>
        <w:bidi w:val="0"/>
        <w:spacing w:lineRule="auto" w:line="300" w:before="0" w:after="0"/>
        <w:jc w:val="left"/>
        <w:rPr/>
      </w:pPr>
      <w:r>
        <w:rPr/>
      </w:r>
    </w:p>
    <w:p>
      <w:pPr>
        <w:pStyle w:val="TextBody"/>
        <w:bidi w:val="0"/>
        <w:spacing w:lineRule="auto" w:line="300" w:before="0" w:after="0"/>
        <w:ind w:left="720" w:right="0" w:firstLine="566"/>
        <w:jc w:val="left"/>
        <w:rPr>
          <w:rFonts w:ascii="Times New Roman;Times;serif" w:hAnsi="Times New Roman;Times;serif"/>
          <w:color w:val="000000"/>
          <w:sz w:val="20"/>
        </w:rPr>
      </w:pPr>
      <w:r>
        <w:rPr>
          <w:rFonts w:ascii="Times New Roman;Times;serif" w:hAnsi="Times New Roman;Times;serif"/>
          <w:color w:val="000000"/>
          <w:sz w:val="20"/>
          <w:u w:val="single"/>
        </w:rPr>
        <w:t>Non-Solicitation.</w:t>
      </w:r>
      <w:r>
        <w:rPr>
          <w:rFonts w:ascii="Times New Roman;Times;serif" w:hAnsi="Times New Roman;Times;serif"/>
          <w:color w:val="000000"/>
          <w:sz w:val="20"/>
        </w:rPr>
        <w:t xml:space="preserve"> During my employment with the Company and for a period of twelve (12) months from the date of termination of my employment for any reason (the “</w:t>
      </w:r>
      <w:r>
        <w:rPr>
          <w:rFonts w:ascii="Times New Roman;Times;serif" w:hAnsi="Times New Roman;Times;serif"/>
          <w:b/>
          <w:color w:val="000000"/>
          <w:sz w:val="20"/>
        </w:rPr>
        <w:t>Termination Date</w:t>
      </w:r>
      <w:r>
        <w:rPr>
          <w:rFonts w:ascii="Times New Roman;Times;serif" w:hAnsi="Times New Roman;Times;serif"/>
          <w:color w:val="000000"/>
          <w:sz w:val="20"/>
        </w:rPr>
        <w:t>”), I will not:</w:t>
      </w:r>
    </w:p>
    <w:p>
      <w:pPr>
        <w:pStyle w:val="TextBody"/>
        <w:bidi w:val="0"/>
        <w:spacing w:lineRule="auto" w:line="300" w:before="0" w:after="0"/>
        <w:jc w:val="left"/>
        <w:rPr>
          <w:color w:val="000000"/>
        </w:rPr>
      </w:pPr>
      <w:r>
        <w:rPr>
          <w:color w:val="000000"/>
        </w:rPr>
        <w:t> </w:t>
      </w:r>
    </w:p>
    <w:tbl>
      <w:tblPr>
        <w:tblW w:w="10205" w:type="dxa"/>
        <w:jc w:val="left"/>
        <w:tblInd w:w="0" w:type="dxa"/>
        <w:tblLayout w:type="fixed"/>
        <w:tblCellMar>
          <w:top w:w="0" w:type="dxa"/>
          <w:left w:w="0" w:type="dxa"/>
          <w:bottom w:w="0" w:type="dxa"/>
          <w:right w:w="0" w:type="dxa"/>
        </w:tblCellMar>
      </w:tblPr>
      <w:tblGrid>
        <w:gridCol w:w="75"/>
        <w:gridCol w:w="350"/>
        <w:gridCol w:w="9780"/>
      </w:tblGrid>
      <w:tr>
        <w:trPr/>
        <w:tc>
          <w:tcPr>
            <w:tcW w:w="75"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left"/>
              <w:rPr>
                <w:b/>
              </w:rPr>
            </w:pPr>
            <w:r>
              <w:rPr>
                <w:b/>
              </w:rPr>
              <w:t>IX.</w:t>
            </w:r>
          </w:p>
        </w:tc>
        <w:tc>
          <w:tcPr>
            <w:tcW w:w="9780" w:type="dxa"/>
            <w:tcBorders/>
            <w:vAlign w:val="center"/>
          </w:tcPr>
          <w:p>
            <w:pPr>
              <w:pStyle w:val="TableContents"/>
              <w:bidi w:val="0"/>
              <w:spacing w:lineRule="auto" w:line="300" w:before="0" w:after="0"/>
              <w:jc w:val="both"/>
              <w:rPr/>
            </w:pPr>
            <w:r>
              <w:rPr/>
              <w:t xml:space="preserve">directly or indirectly, including personally or through any business in which I am an employee, officer, director, shareholder, consultant or contractor, contact or provide any assistance to any other person or organization which seeks to contact any of the Company’s employees, consultants, service providers, customers, licensors, suppliers, distributors, agents or contractors of whatever nature for the purpose of soliciting, inducing or attempting to induce any of the aforesaid to terminate their relationship with the Company. </w:t>
            </w:r>
          </w:p>
        </w:tc>
      </w:tr>
    </w:tbl>
    <w:p>
      <w:pPr>
        <w:pStyle w:val="TextBody"/>
        <w:bidi w:val="0"/>
        <w:spacing w:lineRule="auto" w:line="300" w:before="0" w:after="0"/>
        <w:jc w:val="left"/>
        <w:rPr>
          <w:color w:val="000000"/>
        </w:rPr>
      </w:pPr>
      <w:r>
        <w:rPr>
          <w:color w:val="000000"/>
        </w:rPr>
        <w:t> </w:t>
      </w:r>
    </w:p>
    <w:tbl>
      <w:tblPr>
        <w:tblW w:w="10205" w:type="dxa"/>
        <w:jc w:val="left"/>
        <w:tblInd w:w="0" w:type="dxa"/>
        <w:tblLayout w:type="fixed"/>
        <w:tblCellMar>
          <w:top w:w="0" w:type="dxa"/>
          <w:left w:w="0" w:type="dxa"/>
          <w:bottom w:w="0" w:type="dxa"/>
          <w:right w:w="0" w:type="dxa"/>
        </w:tblCellMar>
      </w:tblPr>
      <w:tblGrid>
        <w:gridCol w:w="75"/>
        <w:gridCol w:w="812"/>
        <w:gridCol w:w="9318"/>
      </w:tblGrid>
      <w:tr>
        <w:trPr/>
        <w:tc>
          <w:tcPr>
            <w:tcW w:w="75" w:type="dxa"/>
            <w:tcBorders/>
            <w:vAlign w:val="center"/>
          </w:tcPr>
          <w:p>
            <w:pPr>
              <w:pStyle w:val="TableContents"/>
              <w:bidi w:val="0"/>
              <w:spacing w:before="0" w:after="283"/>
              <w:jc w:val="left"/>
              <w:rPr/>
            </w:pPr>
            <w:r>
              <w:rPr/>
              <w:t> </w:t>
            </w:r>
          </w:p>
        </w:tc>
        <w:tc>
          <w:tcPr>
            <w:tcW w:w="812" w:type="dxa"/>
            <w:tcBorders/>
            <w:vAlign w:val="center"/>
          </w:tcPr>
          <w:p>
            <w:pPr>
              <w:pStyle w:val="TableContents"/>
              <w:bidi w:val="0"/>
              <w:spacing w:before="0" w:after="283"/>
              <w:jc w:val="left"/>
              <w:rPr/>
            </w:pPr>
            <w:r>
              <w:rPr/>
              <w:t xml:space="preserve">XXXV. </w:t>
            </w:r>
          </w:p>
        </w:tc>
        <w:tc>
          <w:tcPr>
            <w:tcW w:w="9318" w:type="dxa"/>
            <w:tcBorders/>
            <w:vAlign w:val="center"/>
          </w:tcPr>
          <w:p>
            <w:pPr>
              <w:pStyle w:val="TableContents"/>
              <w:bidi w:val="0"/>
              <w:spacing w:lineRule="auto" w:line="300" w:before="0" w:after="0"/>
              <w:jc w:val="both"/>
              <w:rPr/>
            </w:pPr>
            <w:r>
              <w:rPr/>
              <w:t>solicit, canvass or approach or endeavor to solicit, canvass or approach any person who, to my knowledge, was provided with services by the Company (or, if applicable its parent company or any of its or the Company’s subsidiaries) at any time during the twelve (12) months immediately prior to the Termination Date, for the purpose of offering services or products which compete with the Company’s Business.</w:t>
            </w:r>
          </w:p>
        </w:tc>
      </w:tr>
    </w:tbl>
    <w:p>
      <w:pPr>
        <w:pStyle w:val="TextBody"/>
        <w:bidi w:val="0"/>
        <w:spacing w:lineRule="auto" w:line="300" w:before="0" w:after="0"/>
        <w:jc w:val="left"/>
        <w:rPr>
          <w:color w:val="000000"/>
        </w:rPr>
      </w:pPr>
      <w:r>
        <w:rPr>
          <w:color w:val="000000"/>
        </w:rPr>
        <w:t> </w:t>
      </w:r>
    </w:p>
    <w:p>
      <w:pPr>
        <w:pStyle w:val="Normal"/>
        <w:bidi w:val="0"/>
        <w:spacing w:before="0" w:after="0"/>
        <w:jc w:val="left"/>
        <w:rPr>
          <w:sz w:val="4"/>
          <w:szCs w:val="4"/>
        </w:rPr>
      </w:pPr>
      <w:r>
        <w:rPr>
          <w:sz w:val="4"/>
          <w:szCs w:val="4"/>
        </w:rPr>
      </w:r>
      <w:bookmarkStart w:id="124" w:name="z4c6a668cbcd54c99b067f1075d49103e"/>
      <w:bookmarkStart w:id="125" w:name="z4c6a668cbcd54c99b067f1075d49103e"/>
      <w:bookmarkEnd w:id="125"/>
    </w:p>
    <w:tbl>
      <w:tblPr>
        <w:tblW w:w="10205" w:type="dxa"/>
        <w:jc w:val="left"/>
        <w:tblInd w:w="0" w:type="dxa"/>
        <w:tblLayout w:type="fixed"/>
        <w:tblCellMar>
          <w:top w:w="0" w:type="dxa"/>
          <w:left w:w="0" w:type="dxa"/>
          <w:bottom w:w="0" w:type="dxa"/>
          <w:right w:w="0" w:type="dxa"/>
        </w:tblCellMar>
      </w:tblPr>
      <w:tblGrid>
        <w:gridCol w:w="38"/>
        <w:gridCol w:w="230"/>
        <w:gridCol w:w="9937"/>
      </w:tblGrid>
      <w:tr>
        <w:trPr/>
        <w:tc>
          <w:tcPr>
            <w:tcW w:w="38" w:type="dxa"/>
            <w:tcBorders/>
            <w:vAlign w:val="center"/>
          </w:tcPr>
          <w:p>
            <w:pPr>
              <w:pStyle w:val="TableContents"/>
              <w:bidi w:val="0"/>
              <w:spacing w:before="0" w:after="283"/>
              <w:jc w:val="left"/>
              <w:rPr/>
            </w:pPr>
            <w:r>
              <w:rPr/>
            </w:r>
          </w:p>
        </w:tc>
        <w:tc>
          <w:tcPr>
            <w:tcW w:w="230" w:type="dxa"/>
            <w:tcBorders/>
            <w:vAlign w:val="center"/>
          </w:tcPr>
          <w:p>
            <w:pPr>
              <w:pStyle w:val="TableContents"/>
              <w:bidi w:val="0"/>
              <w:spacing w:before="0" w:after="283"/>
              <w:jc w:val="left"/>
              <w:rPr/>
            </w:pPr>
            <w:r>
              <w:rPr/>
              <w:t>II.</w:t>
            </w:r>
          </w:p>
        </w:tc>
        <w:tc>
          <w:tcPr>
            <w:tcW w:w="9937" w:type="dxa"/>
            <w:tcBorders/>
            <w:vAlign w:val="center"/>
          </w:tcPr>
          <w:p>
            <w:pPr>
              <w:pStyle w:val="TableContents"/>
              <w:bidi w:val="0"/>
              <w:spacing w:before="0" w:after="0"/>
              <w:jc w:val="both"/>
              <w:rPr/>
            </w:pPr>
            <w:r>
              <w:rPr>
                <w:u w:val="single"/>
              </w:rPr>
              <w:t>Non-Competition.</w:t>
            </w:r>
            <w:r>
              <w:rPr/>
              <w:t xml:space="preserve"> During the term of my employment and for a period of six (6) months from the Termination Date, I will not directly or indirectly, compete with the Company in Israel , including without limitation:</w:t>
            </w:r>
          </w:p>
        </w:tc>
      </w:tr>
    </w:tbl>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720" w:right="353" w:firstLine="1132"/>
        <w:jc w:val="both"/>
        <w:rPr>
          <w:rFonts w:ascii="Times New Roman;Times;serif" w:hAnsi="Times New Roman;Times;serif"/>
          <w:color w:val="000000"/>
          <w:sz w:val="20"/>
        </w:rPr>
      </w:pPr>
      <w:r>
        <w:rPr>
          <w:rFonts w:ascii="Times New Roman;Times;serif" w:hAnsi="Times New Roman;Times;serif"/>
          <w:color w:val="000000"/>
          <w:sz w:val="20"/>
        </w:rPr>
        <w:t>(i)          carry on or hold an interest in any company, venture, entity or other business (other than a minority interest in a publicly traded company) which competes with the Company’s Business. The foregoing shall not apply to holdings of securities of any company the shares of which are publicly traded on an internationally recognized stock exchange, which do not exceed 3% of the issued share capital of such public company, so long as I have no active role in such public company as a director, officer, employee, consultant (including as an independent consultant) or otherwise; or</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720" w:right="356" w:firstLine="1132"/>
        <w:jc w:val="both"/>
        <w:rPr>
          <w:rFonts w:ascii="Times New Roman;Times;serif" w:hAnsi="Times New Roman;Times;serif"/>
          <w:color w:val="000000"/>
          <w:sz w:val="20"/>
        </w:rPr>
      </w:pPr>
      <w:r>
        <w:rPr>
          <w:rFonts w:ascii="Times New Roman;Times;serif" w:hAnsi="Times New Roman;Times;serif"/>
          <w:color w:val="000000"/>
          <w:sz w:val="20"/>
        </w:rPr>
        <w:t>(ii)          act as a consultant or employee or officer or in any managerial capacity in a business which directly or indirectly competes with the Company’s Business; or</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720" w:right="355" w:firstLine="1132"/>
        <w:jc w:val="both"/>
        <w:rPr>
          <w:rFonts w:ascii="Times New Roman;Times;serif" w:hAnsi="Times New Roman;Times;serif"/>
          <w:color w:val="000000"/>
          <w:sz w:val="20"/>
        </w:rPr>
      </w:pPr>
      <w:r>
        <w:rPr>
          <w:rFonts w:ascii="Times New Roman;Times;serif" w:hAnsi="Times New Roman;Times;serif"/>
          <w:color w:val="000000"/>
          <w:sz w:val="20"/>
        </w:rPr>
        <w:t xml:space="preserve">(iii)         supply in competition with the Company (or, if applicable its parent company or any of its or the Company’s subsidiaries) services or products which compete with the Company’s Business at the Termination Date to any person who, to my knowledge, was provided with services by the Company (or, if applicable its parent company or any of its or the Company’s subsidiaries) any time during the twelve (12) months immediately prior to the Termination Date. </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720" w:right="0" w:firstLine="566"/>
        <w:jc w:val="left"/>
        <w:rPr>
          <w:color w:val="000000"/>
        </w:rPr>
      </w:pPr>
      <w:r>
        <w:rPr>
          <w:color w:val="000000"/>
        </w:rPr>
        <w:t>“</w:t>
      </w:r>
      <w:r>
        <w:rPr>
          <w:rFonts w:ascii="Times New Roman;Times;serif" w:hAnsi="Times New Roman;Times;serif"/>
          <w:b/>
          <w:color w:val="000000"/>
          <w:sz w:val="20"/>
        </w:rPr>
        <w:t>Company’s Business</w:t>
      </w:r>
      <w:r>
        <w:rPr>
          <w:rFonts w:ascii="Times New Roman;Times;serif" w:hAnsi="Times New Roman;Times;serif"/>
          <w:color w:val="000000"/>
          <w:sz w:val="20"/>
        </w:rPr>
        <w:t>” shall mean any business involving PV inverters, power optimizers, and module-level monitoring services, including those products or services contemplated in a plan adopted by the Board of Directors of the Company (or, if applicable its parent company or any of its or the Company’s subsidiaries).</w:t>
      </w:r>
    </w:p>
    <w:p>
      <w:pPr>
        <w:pStyle w:val="TextBody"/>
        <w:bidi w:val="0"/>
        <w:spacing w:lineRule="auto" w:line="300" w:before="0" w:after="0"/>
        <w:jc w:val="left"/>
        <w:rPr>
          <w:color w:val="000000"/>
        </w:rPr>
      </w:pPr>
      <w:r>
        <w:rPr>
          <w:color w:val="000000"/>
        </w:rPr>
        <w:t> </w:t>
      </w:r>
    </w:p>
    <w:p>
      <w:pPr>
        <w:pStyle w:val="Normal"/>
        <w:bidi w:val="0"/>
        <w:spacing w:before="0" w:after="0"/>
        <w:jc w:val="left"/>
        <w:rPr>
          <w:sz w:val="4"/>
          <w:szCs w:val="4"/>
        </w:rPr>
      </w:pPr>
      <w:r>
        <w:rPr>
          <w:sz w:val="4"/>
          <w:szCs w:val="4"/>
        </w:rPr>
      </w:r>
      <w:bookmarkStart w:id="126" w:name="zf1244b2e73054a0e9033fb4960218c9f"/>
      <w:bookmarkStart w:id="127" w:name="zf1244b2e73054a0e9033fb4960218c9f"/>
      <w:bookmarkEnd w:id="127"/>
    </w:p>
    <w:tbl>
      <w:tblPr>
        <w:tblW w:w="4098" w:type="dxa"/>
        <w:jc w:val="left"/>
        <w:tblInd w:w="0" w:type="dxa"/>
        <w:tblLayout w:type="fixed"/>
        <w:tblCellMar>
          <w:top w:w="0" w:type="dxa"/>
          <w:left w:w="0" w:type="dxa"/>
          <w:bottom w:w="0" w:type="dxa"/>
          <w:right w:w="0" w:type="dxa"/>
        </w:tblCellMar>
      </w:tblPr>
      <w:tblGrid>
        <w:gridCol w:w="38"/>
        <w:gridCol w:w="200"/>
        <w:gridCol w:w="3860"/>
      </w:tblGrid>
      <w:tr>
        <w:trPr/>
        <w:tc>
          <w:tcPr>
            <w:tcW w:w="38" w:type="dxa"/>
            <w:tcBorders/>
            <w:vAlign w:val="center"/>
          </w:tcPr>
          <w:p>
            <w:pPr>
              <w:pStyle w:val="TableContents"/>
              <w:bidi w:val="0"/>
              <w:spacing w:before="0" w:after="283"/>
              <w:jc w:val="left"/>
              <w:rPr/>
            </w:pPr>
            <w:r>
              <w:rPr/>
            </w:r>
          </w:p>
        </w:tc>
        <w:tc>
          <w:tcPr>
            <w:tcW w:w="200" w:type="dxa"/>
            <w:tcBorders/>
            <w:vAlign w:val="center"/>
          </w:tcPr>
          <w:p>
            <w:pPr>
              <w:pStyle w:val="TableContents"/>
              <w:bidi w:val="0"/>
              <w:spacing w:before="0" w:after="283"/>
              <w:jc w:val="left"/>
              <w:rPr>
                <w:b/>
              </w:rPr>
            </w:pPr>
            <w:r>
              <w:rPr>
                <w:b/>
              </w:rPr>
              <w:t>6.</w:t>
            </w:r>
          </w:p>
        </w:tc>
        <w:tc>
          <w:tcPr>
            <w:tcW w:w="3860" w:type="dxa"/>
            <w:tcBorders/>
            <w:vAlign w:val="center"/>
          </w:tcPr>
          <w:p>
            <w:pPr>
              <w:pStyle w:val="TableContents"/>
              <w:bidi w:val="0"/>
              <w:spacing w:before="0" w:after="0"/>
              <w:jc w:val="both"/>
              <w:rPr>
                <w:b/>
                <w:u w:val="single"/>
              </w:rPr>
            </w:pPr>
            <w:r>
              <w:rPr>
                <w:b/>
                <w:u w:val="single"/>
              </w:rPr>
              <w:t>No Conflicting Employee Obligations.</w:t>
            </w:r>
          </w:p>
        </w:tc>
      </w:tr>
    </w:tbl>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720" w:right="357" w:firstLine="566"/>
        <w:jc w:val="both"/>
        <w:rPr>
          <w:rFonts w:ascii="Times New Roman;Times;serif" w:hAnsi="Times New Roman;Times;serif"/>
          <w:color w:val="000000"/>
          <w:sz w:val="20"/>
        </w:rPr>
      </w:pPr>
      <w:r>
        <w:rPr>
          <w:rFonts w:ascii="Times New Roman;Times;serif" w:hAnsi="Times New Roman;Times;serif"/>
          <w:color w:val="000000"/>
          <w:sz w:val="20"/>
        </w:rPr>
        <w:t>I am not a party to or bound by any employment agreement, agreement not to compete, or other contract that would prohibit my employment with the Company or that would conflict with my obligation to use my best efforts to promote the interests of the Company, or that would conflict with the business conducted and/or proposed to be conducted by the Company.</w:t>
      </w:r>
    </w:p>
    <w:p>
      <w:pPr>
        <w:pStyle w:val="TextBody"/>
        <w:bidi w:val="0"/>
        <w:spacing w:lineRule="auto" w:line="300" w:before="0" w:after="0"/>
        <w:jc w:val="left"/>
        <w:rPr>
          <w:color w:val="000000"/>
        </w:rPr>
      </w:pPr>
      <w:r>
        <w:rPr>
          <w:color w:val="000000"/>
        </w:rPr>
        <w:t> </w:t>
      </w:r>
    </w:p>
    <w:p>
      <w:pPr>
        <w:pStyle w:val="Normal"/>
        <w:bidi w:val="0"/>
        <w:spacing w:before="0" w:after="0"/>
        <w:jc w:val="left"/>
        <w:rPr>
          <w:sz w:val="4"/>
          <w:szCs w:val="4"/>
        </w:rPr>
      </w:pPr>
      <w:r>
        <w:rPr>
          <w:sz w:val="4"/>
          <w:szCs w:val="4"/>
        </w:rPr>
      </w:r>
      <w:bookmarkStart w:id="128" w:name="zfcbbe669210e4827bdcb069183bae524"/>
      <w:bookmarkStart w:id="129" w:name="zfcbbe669210e4827bdcb069183bae524"/>
      <w:bookmarkEnd w:id="129"/>
    </w:p>
    <w:tbl>
      <w:tblPr>
        <w:tblW w:w="4143" w:type="dxa"/>
        <w:jc w:val="left"/>
        <w:tblInd w:w="0" w:type="dxa"/>
        <w:tblLayout w:type="fixed"/>
        <w:tblCellMar>
          <w:top w:w="0" w:type="dxa"/>
          <w:left w:w="0" w:type="dxa"/>
          <w:bottom w:w="0" w:type="dxa"/>
          <w:right w:w="0" w:type="dxa"/>
        </w:tblCellMar>
      </w:tblPr>
      <w:tblGrid>
        <w:gridCol w:w="38"/>
        <w:gridCol w:w="200"/>
        <w:gridCol w:w="3905"/>
      </w:tblGrid>
      <w:tr>
        <w:trPr/>
        <w:tc>
          <w:tcPr>
            <w:tcW w:w="38" w:type="dxa"/>
            <w:tcBorders/>
            <w:vAlign w:val="center"/>
          </w:tcPr>
          <w:p>
            <w:pPr>
              <w:pStyle w:val="TableContents"/>
              <w:bidi w:val="0"/>
              <w:spacing w:before="0" w:after="283"/>
              <w:jc w:val="left"/>
              <w:rPr/>
            </w:pPr>
            <w:r>
              <w:rPr/>
            </w:r>
          </w:p>
        </w:tc>
        <w:tc>
          <w:tcPr>
            <w:tcW w:w="200" w:type="dxa"/>
            <w:tcBorders/>
            <w:vAlign w:val="center"/>
          </w:tcPr>
          <w:p>
            <w:pPr>
              <w:pStyle w:val="TableContents"/>
              <w:bidi w:val="0"/>
              <w:spacing w:before="0" w:after="283"/>
              <w:jc w:val="left"/>
              <w:rPr>
                <w:b/>
              </w:rPr>
            </w:pPr>
            <w:r>
              <w:rPr>
                <w:b/>
              </w:rPr>
              <w:t>7.</w:t>
            </w:r>
          </w:p>
        </w:tc>
        <w:tc>
          <w:tcPr>
            <w:tcW w:w="3905" w:type="dxa"/>
            <w:tcBorders/>
            <w:vAlign w:val="center"/>
          </w:tcPr>
          <w:p>
            <w:pPr>
              <w:pStyle w:val="TableContents"/>
              <w:bidi w:val="0"/>
              <w:spacing w:before="0" w:after="0"/>
              <w:jc w:val="left"/>
              <w:rPr>
                <w:b/>
                <w:u w:val="single"/>
              </w:rPr>
            </w:pPr>
            <w:r>
              <w:rPr>
                <w:b/>
                <w:u w:val="single"/>
              </w:rPr>
              <w:t>Third Party Confidential information.</w:t>
            </w:r>
          </w:p>
        </w:tc>
      </w:tr>
    </w:tbl>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720" w:right="0" w:firstLine="566"/>
        <w:jc w:val="left"/>
        <w:rPr>
          <w:rFonts w:ascii="Times New Roman;Times;serif" w:hAnsi="Times New Roman;Times;serif"/>
          <w:color w:val="000000"/>
          <w:sz w:val="20"/>
        </w:rPr>
      </w:pPr>
      <w:r>
        <w:rPr>
          <w:rFonts w:ascii="Times New Roman;Times;serif" w:hAnsi="Times New Roman;Times;serif"/>
          <w:color w:val="000000"/>
          <w:sz w:val="20"/>
        </w:rPr>
        <w:t xml:space="preserve">I will not disclose or make available to the Company or use or induce the Company to use any trade secret, confidential or proprietary information or material belonging to any previous employer or other person. I represent that my performance of this Agreement and as an employee of the Company does not and will not breach any agreement to keep in confidence any information, knowledge or data acquired by me in confidence or in trust prior to my employment with the Company. I agree not to enter into any agreement either written or oral in conflict herewith. </w:t>
      </w:r>
    </w:p>
    <w:p>
      <w:pPr>
        <w:pStyle w:val="HorizontalLine"/>
        <w:pBdr>
          <w:bottom w:val="single" w:sz="12" w:space="0" w:color="808080"/>
        </w:pBdr>
        <w:bidi w:val="0"/>
        <w:spacing w:before="200" w:after="200"/>
        <w:jc w:val="left"/>
        <w:rPr/>
      </w:pPr>
      <w:r>
        <w:rPr/>
      </w:r>
    </w:p>
    <w:p>
      <w:pPr>
        <w:pStyle w:val="TextBody"/>
        <w:bidi w:val="0"/>
        <w:spacing w:lineRule="auto" w:line="300" w:before="0" w:after="0"/>
        <w:jc w:val="left"/>
        <w:rPr>
          <w:color w:val="000000"/>
        </w:rPr>
      </w:pPr>
      <w:r>
        <w:rPr>
          <w:color w:val="000000"/>
        </w:rPr>
        <w:t> </w:t>
      </w:r>
    </w:p>
    <w:p>
      <w:pPr>
        <w:pStyle w:val="Normal"/>
        <w:bidi w:val="0"/>
        <w:spacing w:before="0" w:after="0"/>
        <w:jc w:val="left"/>
        <w:rPr>
          <w:sz w:val="4"/>
          <w:szCs w:val="4"/>
        </w:rPr>
      </w:pPr>
      <w:r>
        <w:rPr>
          <w:sz w:val="4"/>
          <w:szCs w:val="4"/>
        </w:rPr>
      </w:r>
      <w:bookmarkStart w:id="130" w:name="zfa7b3e1f2afc4f1793cf1e1cacbd38f8"/>
      <w:bookmarkStart w:id="131" w:name="zfa7b3e1f2afc4f1793cf1e1cacbd38f8"/>
      <w:bookmarkEnd w:id="131"/>
    </w:p>
    <w:tbl>
      <w:tblPr>
        <w:tblW w:w="4098" w:type="dxa"/>
        <w:jc w:val="left"/>
        <w:tblInd w:w="0" w:type="dxa"/>
        <w:tblLayout w:type="fixed"/>
        <w:tblCellMar>
          <w:top w:w="0" w:type="dxa"/>
          <w:left w:w="0" w:type="dxa"/>
          <w:bottom w:w="0" w:type="dxa"/>
          <w:right w:w="0" w:type="dxa"/>
        </w:tblCellMar>
      </w:tblPr>
      <w:tblGrid>
        <w:gridCol w:w="38"/>
        <w:gridCol w:w="200"/>
        <w:gridCol w:w="3860"/>
      </w:tblGrid>
      <w:tr>
        <w:trPr/>
        <w:tc>
          <w:tcPr>
            <w:tcW w:w="38" w:type="dxa"/>
            <w:tcBorders/>
            <w:vAlign w:val="center"/>
          </w:tcPr>
          <w:p>
            <w:pPr>
              <w:pStyle w:val="TableContents"/>
              <w:bidi w:val="0"/>
              <w:spacing w:before="0" w:after="283"/>
              <w:jc w:val="left"/>
              <w:rPr/>
            </w:pPr>
            <w:r>
              <w:rPr/>
            </w:r>
          </w:p>
        </w:tc>
        <w:tc>
          <w:tcPr>
            <w:tcW w:w="200" w:type="dxa"/>
            <w:tcBorders/>
            <w:vAlign w:val="center"/>
          </w:tcPr>
          <w:p>
            <w:pPr>
              <w:pStyle w:val="TableContents"/>
              <w:bidi w:val="0"/>
              <w:spacing w:before="0" w:after="283"/>
              <w:jc w:val="left"/>
              <w:rPr>
                <w:b/>
              </w:rPr>
            </w:pPr>
            <w:r>
              <w:rPr>
                <w:b/>
              </w:rPr>
              <w:t>8.</w:t>
            </w:r>
          </w:p>
        </w:tc>
        <w:tc>
          <w:tcPr>
            <w:tcW w:w="3860" w:type="dxa"/>
            <w:tcBorders/>
            <w:vAlign w:val="center"/>
          </w:tcPr>
          <w:p>
            <w:pPr>
              <w:pStyle w:val="TableContents"/>
              <w:bidi w:val="0"/>
              <w:spacing w:before="0" w:after="0"/>
              <w:jc w:val="left"/>
              <w:rPr>
                <w:b/>
                <w:u w:val="single"/>
              </w:rPr>
            </w:pPr>
            <w:r>
              <w:rPr>
                <w:b/>
                <w:u w:val="single"/>
              </w:rPr>
              <w:t>Acknowledgements and Declarations.</w:t>
            </w:r>
          </w:p>
        </w:tc>
      </w:tr>
    </w:tbl>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720" w:right="0" w:firstLine="566"/>
        <w:jc w:val="left"/>
        <w:rPr>
          <w:rFonts w:ascii="Times New Roman;Times;serif" w:hAnsi="Times New Roman;Times;serif"/>
          <w:color w:val="000000"/>
          <w:sz w:val="20"/>
        </w:rPr>
      </w:pPr>
      <w:r>
        <w:rPr>
          <w:rFonts w:ascii="Times New Roman;Times;serif" w:hAnsi="Times New Roman;Times;serif"/>
          <w:color w:val="000000"/>
          <w:sz w:val="20"/>
        </w:rPr>
        <w:t xml:space="preserve">I hereby declare and acknowledge that </w:t>
      </w:r>
      <w:r>
        <w:rPr>
          <w:rFonts w:ascii="Times New Roman;Times;serif" w:hAnsi="Times New Roman;Times;serif"/>
          <w:b/>
          <w:color w:val="000000"/>
          <w:sz w:val="20"/>
        </w:rPr>
        <w:t>:</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720" w:right="0" w:firstLine="566"/>
        <w:jc w:val="left"/>
        <w:rPr>
          <w:rFonts w:ascii="Times New Roman;Times;serif" w:hAnsi="Times New Roman;Times;serif"/>
          <w:color w:val="000000"/>
          <w:sz w:val="20"/>
        </w:rPr>
      </w:pPr>
      <w:r>
        <w:rPr>
          <w:rFonts w:ascii="Times New Roman;Times;serif" w:hAnsi="Times New Roman;Times;serif"/>
          <w:color w:val="000000"/>
          <w:sz w:val="20"/>
        </w:rPr>
        <w:t>My non-competition obligations under this Exhibit B are fair, reasonable, and proportional, especially in light of the Special Compensation I receive under the Employment Agreement, and are designed to protect the Company's and the Company affiliates' secrets and their confidential information, which constitute the essence of their protected business and commercial advantage in which significant capital investments were made.</w:t>
      </w:r>
    </w:p>
    <w:p>
      <w:pPr>
        <w:pStyle w:val="TextBody"/>
        <w:bidi w:val="0"/>
        <w:spacing w:lineRule="auto" w:line="300" w:before="0" w:after="0"/>
        <w:jc w:val="left"/>
        <w:rPr/>
      </w:pPr>
      <w:r>
        <w:rPr/>
      </w:r>
    </w:p>
    <w:p>
      <w:pPr>
        <w:pStyle w:val="TextBody"/>
        <w:bidi w:val="0"/>
        <w:spacing w:lineRule="auto" w:line="300" w:before="0" w:after="0"/>
        <w:ind w:left="720" w:right="0" w:firstLine="566"/>
        <w:jc w:val="left"/>
        <w:rPr>
          <w:rFonts w:ascii="Times New Roman;Times;serif" w:hAnsi="Times New Roman;Times;serif"/>
          <w:color w:val="000000"/>
          <w:sz w:val="20"/>
        </w:rPr>
      </w:pPr>
      <w:r>
        <w:rPr>
          <w:rFonts w:ascii="Times New Roman;Times;serif" w:hAnsi="Times New Roman;Times;serif"/>
          <w:color w:val="000000"/>
          <w:sz w:val="20"/>
        </w:rPr>
        <w:t>Any breach of my obligations under this Exhibit B shall contradict the nature of the special trust and loyalty between me and the Company, the fair and proper business practices and the duty of good faith and fairness between me and the Company.</w:t>
      </w:r>
    </w:p>
    <w:p>
      <w:pPr>
        <w:pStyle w:val="TextBody"/>
        <w:bidi w:val="0"/>
        <w:spacing w:lineRule="auto" w:line="300" w:before="0" w:after="0"/>
        <w:jc w:val="left"/>
        <w:rPr/>
      </w:pPr>
      <w:r>
        <w:rPr/>
      </w:r>
    </w:p>
    <w:p>
      <w:pPr>
        <w:pStyle w:val="TextBody"/>
        <w:bidi w:val="0"/>
        <w:spacing w:lineRule="auto" w:line="300" w:before="0" w:after="0"/>
        <w:ind w:left="720" w:right="0" w:firstLine="566"/>
        <w:jc w:val="left"/>
        <w:rPr>
          <w:rFonts w:ascii="Times New Roman;Times;serif" w:hAnsi="Times New Roman;Times;serif"/>
          <w:color w:val="000000"/>
          <w:sz w:val="20"/>
        </w:rPr>
      </w:pPr>
      <w:r>
        <w:rPr>
          <w:rFonts w:ascii="Times New Roman;Times;serif" w:hAnsi="Times New Roman;Times;serif"/>
          <w:color w:val="000000"/>
          <w:sz w:val="20"/>
        </w:rPr>
        <w:t>My obligations under this Exhibit B and the restricted period of time and geographical area specified herein are reasonable and proportional, and do not prevent me from developing his general knowledge and professional expertise in the area of my business, without infringing on or breaching any of the Company's rights</w:t>
      </w:r>
      <w:r>
        <w:rPr>
          <w:rFonts w:ascii="Times New Roman;Times;serif" w:hAnsi="Times New Roman;Times;serif"/>
          <w:b/>
          <w:color w:val="000000"/>
          <w:sz w:val="20"/>
        </w:rPr>
        <w:t>.</w:t>
      </w:r>
    </w:p>
    <w:p>
      <w:pPr>
        <w:pStyle w:val="TextBody"/>
        <w:bidi w:val="0"/>
        <w:spacing w:lineRule="auto" w:line="300" w:before="0" w:after="0"/>
        <w:jc w:val="left"/>
        <w:rPr>
          <w:color w:val="000000"/>
        </w:rPr>
      </w:pPr>
      <w:r>
        <w:rPr>
          <w:color w:val="000000"/>
        </w:rPr>
        <w:t> </w:t>
      </w:r>
    </w:p>
    <w:p>
      <w:pPr>
        <w:pStyle w:val="Normal"/>
        <w:bidi w:val="0"/>
        <w:spacing w:before="0" w:after="0"/>
        <w:jc w:val="left"/>
        <w:rPr>
          <w:sz w:val="4"/>
          <w:szCs w:val="4"/>
        </w:rPr>
      </w:pPr>
      <w:r>
        <w:rPr>
          <w:sz w:val="4"/>
          <w:szCs w:val="4"/>
        </w:rPr>
      </w:r>
      <w:bookmarkStart w:id="132" w:name="z8cfc09a58a44463e82fa90ef45f8906c"/>
      <w:bookmarkStart w:id="133" w:name="z8cfc09a58a44463e82fa90ef45f8906c"/>
      <w:bookmarkEnd w:id="133"/>
    </w:p>
    <w:tbl>
      <w:tblPr>
        <w:tblW w:w="1188" w:type="dxa"/>
        <w:jc w:val="left"/>
        <w:tblInd w:w="0" w:type="dxa"/>
        <w:tblLayout w:type="fixed"/>
        <w:tblCellMar>
          <w:top w:w="0" w:type="dxa"/>
          <w:left w:w="0" w:type="dxa"/>
          <w:bottom w:w="0" w:type="dxa"/>
          <w:right w:w="0" w:type="dxa"/>
        </w:tblCellMar>
      </w:tblPr>
      <w:tblGrid>
        <w:gridCol w:w="38"/>
        <w:gridCol w:w="200"/>
        <w:gridCol w:w="950"/>
      </w:tblGrid>
      <w:tr>
        <w:trPr/>
        <w:tc>
          <w:tcPr>
            <w:tcW w:w="38" w:type="dxa"/>
            <w:tcBorders/>
            <w:vAlign w:val="center"/>
          </w:tcPr>
          <w:p>
            <w:pPr>
              <w:pStyle w:val="TableContents"/>
              <w:bidi w:val="0"/>
              <w:spacing w:before="0" w:after="283"/>
              <w:jc w:val="left"/>
              <w:rPr/>
            </w:pPr>
            <w:r>
              <w:rPr/>
            </w:r>
          </w:p>
        </w:tc>
        <w:tc>
          <w:tcPr>
            <w:tcW w:w="200" w:type="dxa"/>
            <w:tcBorders/>
            <w:vAlign w:val="center"/>
          </w:tcPr>
          <w:p>
            <w:pPr>
              <w:pStyle w:val="TableContents"/>
              <w:bidi w:val="0"/>
              <w:spacing w:before="0" w:after="283"/>
              <w:jc w:val="left"/>
              <w:rPr>
                <w:b/>
              </w:rPr>
            </w:pPr>
            <w:r>
              <w:rPr>
                <w:b/>
              </w:rPr>
              <w:t>9.</w:t>
            </w:r>
          </w:p>
        </w:tc>
        <w:tc>
          <w:tcPr>
            <w:tcW w:w="950" w:type="dxa"/>
            <w:tcBorders/>
            <w:vAlign w:val="center"/>
          </w:tcPr>
          <w:p>
            <w:pPr>
              <w:pStyle w:val="TableContents"/>
              <w:bidi w:val="0"/>
              <w:spacing w:before="0" w:after="0"/>
              <w:jc w:val="left"/>
              <w:rPr>
                <w:b/>
                <w:u w:val="single"/>
              </w:rPr>
            </w:pPr>
            <w:r>
              <w:rPr>
                <w:b/>
                <w:u w:val="single"/>
              </w:rPr>
              <w:t>Survival.</w:t>
            </w:r>
          </w:p>
        </w:tc>
      </w:tr>
    </w:tbl>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720" w:right="0" w:firstLine="566"/>
        <w:jc w:val="left"/>
        <w:rPr>
          <w:rFonts w:ascii="Times New Roman;Times;serif" w:hAnsi="Times New Roman;Times;serif"/>
          <w:color w:val="000000"/>
          <w:sz w:val="20"/>
        </w:rPr>
      </w:pPr>
      <w:r>
        <w:rPr>
          <w:rFonts w:ascii="Times New Roman;Times;serif" w:hAnsi="Times New Roman;Times;serif"/>
          <w:color w:val="000000"/>
          <w:sz w:val="20"/>
        </w:rPr>
        <w:t>The provisions of this Exhibit shall continue and remain in full force and effect following the expiration or termination of the employment relationship between the Company and me for whatever reason.</w:t>
      </w:r>
    </w:p>
    <w:p>
      <w:pPr>
        <w:pStyle w:val="TextBody"/>
        <w:bidi w:val="0"/>
        <w:spacing w:lineRule="auto" w:line="300" w:before="0" w:after="0"/>
        <w:jc w:val="left"/>
        <w:rPr>
          <w:color w:val="000000"/>
        </w:rPr>
      </w:pPr>
      <w:r>
        <w:rPr>
          <w:color w:val="000000"/>
        </w:rPr>
        <w:t> </w:t>
      </w:r>
    </w:p>
    <w:p>
      <w:pPr>
        <w:pStyle w:val="Normal"/>
        <w:bidi w:val="0"/>
        <w:spacing w:before="0" w:after="0"/>
        <w:jc w:val="left"/>
        <w:rPr>
          <w:sz w:val="4"/>
          <w:szCs w:val="4"/>
        </w:rPr>
      </w:pPr>
      <w:r>
        <w:rPr>
          <w:sz w:val="4"/>
          <w:szCs w:val="4"/>
        </w:rPr>
      </w:r>
      <w:bookmarkStart w:id="134" w:name="za6d5e176f25945908e20661e78688dee"/>
      <w:bookmarkStart w:id="135" w:name="za6d5e176f25945908e20661e78688dee"/>
      <w:bookmarkEnd w:id="135"/>
    </w:p>
    <w:tbl>
      <w:tblPr>
        <w:tblW w:w="1743" w:type="dxa"/>
        <w:jc w:val="left"/>
        <w:tblInd w:w="0" w:type="dxa"/>
        <w:tblLayout w:type="fixed"/>
        <w:tblCellMar>
          <w:top w:w="0" w:type="dxa"/>
          <w:left w:w="0" w:type="dxa"/>
          <w:bottom w:w="0" w:type="dxa"/>
          <w:right w:w="0" w:type="dxa"/>
        </w:tblCellMar>
      </w:tblPr>
      <w:tblGrid>
        <w:gridCol w:w="38"/>
        <w:gridCol w:w="320"/>
        <w:gridCol w:w="1385"/>
      </w:tblGrid>
      <w:tr>
        <w:trPr/>
        <w:tc>
          <w:tcPr>
            <w:tcW w:w="38" w:type="dxa"/>
            <w:tcBorders/>
            <w:vAlign w:val="center"/>
          </w:tcPr>
          <w:p>
            <w:pPr>
              <w:pStyle w:val="TableContents"/>
              <w:bidi w:val="0"/>
              <w:spacing w:before="0" w:after="283"/>
              <w:jc w:val="left"/>
              <w:rPr/>
            </w:pPr>
            <w:r>
              <w:rPr/>
            </w:r>
          </w:p>
        </w:tc>
        <w:tc>
          <w:tcPr>
            <w:tcW w:w="320" w:type="dxa"/>
            <w:tcBorders/>
            <w:vAlign w:val="center"/>
          </w:tcPr>
          <w:p>
            <w:pPr>
              <w:pStyle w:val="TableContents"/>
              <w:bidi w:val="0"/>
              <w:spacing w:before="0" w:after="283"/>
              <w:jc w:val="left"/>
              <w:rPr>
                <w:b/>
              </w:rPr>
            </w:pPr>
            <w:r>
              <w:rPr>
                <w:b/>
              </w:rPr>
              <w:t>10.</w:t>
            </w:r>
          </w:p>
        </w:tc>
        <w:tc>
          <w:tcPr>
            <w:tcW w:w="1385" w:type="dxa"/>
            <w:tcBorders/>
            <w:vAlign w:val="center"/>
          </w:tcPr>
          <w:p>
            <w:pPr>
              <w:pStyle w:val="TableContents"/>
              <w:bidi w:val="0"/>
              <w:spacing w:before="0" w:after="0"/>
              <w:jc w:val="left"/>
              <w:rPr>
                <w:b/>
                <w:u w:val="single"/>
              </w:rPr>
            </w:pPr>
            <w:r>
              <w:rPr>
                <w:b/>
                <w:u w:val="single"/>
              </w:rPr>
              <w:t>Modification.</w:t>
            </w:r>
          </w:p>
        </w:tc>
      </w:tr>
    </w:tbl>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720" w:right="356" w:firstLine="566"/>
        <w:jc w:val="both"/>
        <w:rPr>
          <w:rFonts w:ascii="Times New Roman;Times;serif" w:hAnsi="Times New Roman;Times;serif"/>
          <w:color w:val="000000"/>
          <w:sz w:val="20"/>
        </w:rPr>
      </w:pPr>
      <w:r>
        <w:rPr>
          <w:rFonts w:ascii="Times New Roman;Times;serif" w:hAnsi="Times New Roman;Times;serif"/>
          <w:color w:val="000000"/>
          <w:sz w:val="20"/>
        </w:rPr>
        <w:t>This Agreement may not be supplemented, modified, released, discharged, abandoned, or otherwise amended, in whole or in part, except by an instrument in writing, signed by me and an officer of the Company. I agree that any subsequent change or changes in my duties, salary, or compensation shall not affect the validity or scope of this Agreement. I further agree that either the Company or I can terminate my employment at any time and for any reason and nothing in this Agreement changes or restricts that right.</w:t>
      </w:r>
    </w:p>
    <w:p>
      <w:pPr>
        <w:pStyle w:val="TextBody"/>
        <w:bidi w:val="0"/>
        <w:spacing w:lineRule="auto" w:line="300" w:before="0" w:after="0"/>
        <w:jc w:val="left"/>
        <w:rPr>
          <w:color w:val="000000"/>
        </w:rPr>
      </w:pPr>
      <w:r>
        <w:rPr>
          <w:color w:val="000000"/>
        </w:rPr>
        <w:t> </w:t>
      </w:r>
    </w:p>
    <w:p>
      <w:pPr>
        <w:pStyle w:val="Normal"/>
        <w:bidi w:val="0"/>
        <w:spacing w:before="0" w:after="0"/>
        <w:jc w:val="left"/>
        <w:rPr>
          <w:sz w:val="4"/>
          <w:szCs w:val="4"/>
        </w:rPr>
      </w:pPr>
      <w:r>
        <w:rPr>
          <w:sz w:val="4"/>
          <w:szCs w:val="4"/>
        </w:rPr>
      </w:r>
      <w:bookmarkStart w:id="136" w:name="zd8b0b7639b8044dab946661cc928a6c2"/>
      <w:bookmarkStart w:id="137" w:name="zd8b0b7639b8044dab946661cc928a6c2"/>
      <w:bookmarkEnd w:id="137"/>
    </w:p>
    <w:tbl>
      <w:tblPr>
        <w:tblW w:w="2283" w:type="dxa"/>
        <w:jc w:val="left"/>
        <w:tblInd w:w="0" w:type="dxa"/>
        <w:tblLayout w:type="fixed"/>
        <w:tblCellMar>
          <w:top w:w="0" w:type="dxa"/>
          <w:left w:w="0" w:type="dxa"/>
          <w:bottom w:w="0" w:type="dxa"/>
          <w:right w:w="0" w:type="dxa"/>
        </w:tblCellMar>
      </w:tblPr>
      <w:tblGrid>
        <w:gridCol w:w="38"/>
        <w:gridCol w:w="320"/>
        <w:gridCol w:w="1925"/>
      </w:tblGrid>
      <w:tr>
        <w:trPr/>
        <w:tc>
          <w:tcPr>
            <w:tcW w:w="38" w:type="dxa"/>
            <w:tcBorders/>
            <w:vAlign w:val="center"/>
          </w:tcPr>
          <w:p>
            <w:pPr>
              <w:pStyle w:val="TableContents"/>
              <w:bidi w:val="0"/>
              <w:spacing w:before="0" w:after="283"/>
              <w:jc w:val="left"/>
              <w:rPr/>
            </w:pPr>
            <w:r>
              <w:rPr/>
            </w:r>
          </w:p>
        </w:tc>
        <w:tc>
          <w:tcPr>
            <w:tcW w:w="320" w:type="dxa"/>
            <w:tcBorders/>
            <w:vAlign w:val="center"/>
          </w:tcPr>
          <w:p>
            <w:pPr>
              <w:pStyle w:val="TableContents"/>
              <w:bidi w:val="0"/>
              <w:spacing w:before="0" w:after="283"/>
              <w:jc w:val="left"/>
              <w:rPr>
                <w:b/>
              </w:rPr>
            </w:pPr>
            <w:r>
              <w:rPr>
                <w:b/>
              </w:rPr>
              <w:t>11.</w:t>
            </w:r>
          </w:p>
        </w:tc>
        <w:tc>
          <w:tcPr>
            <w:tcW w:w="1925" w:type="dxa"/>
            <w:tcBorders/>
            <w:vAlign w:val="center"/>
          </w:tcPr>
          <w:p>
            <w:pPr>
              <w:pStyle w:val="TableContents"/>
              <w:bidi w:val="0"/>
              <w:spacing w:before="0" w:after="0"/>
              <w:jc w:val="left"/>
              <w:rPr>
                <w:b/>
                <w:u w:val="single"/>
              </w:rPr>
            </w:pPr>
            <w:r>
              <w:rPr>
                <w:b/>
                <w:u w:val="single"/>
              </w:rPr>
              <w:t>Entire Agreement.</w:t>
            </w:r>
          </w:p>
        </w:tc>
      </w:tr>
    </w:tbl>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720" w:right="356" w:firstLine="566"/>
        <w:jc w:val="both"/>
        <w:rPr>
          <w:rFonts w:ascii="Times New Roman;Times;serif" w:hAnsi="Times New Roman;Times;serif"/>
          <w:color w:val="000000"/>
          <w:sz w:val="20"/>
        </w:rPr>
      </w:pPr>
      <w:r>
        <w:rPr>
          <w:rFonts w:ascii="Times New Roman;Times;serif" w:hAnsi="Times New Roman;Times;serif"/>
          <w:color w:val="000000"/>
          <w:sz w:val="20"/>
        </w:rPr>
        <w:t>I acknowledge receipt of this Agreement as part of my Employment Agreement with the Company, and agree that with respect to the subject matter hereof, it is my entire agreement with the Company, superseding any previous oral or written communications, representations, understandings, or agreements with the Company or any officer or representative thereof.</w:t>
      </w:r>
    </w:p>
    <w:p>
      <w:pPr>
        <w:pStyle w:val="TextBody"/>
        <w:bidi w:val="0"/>
        <w:spacing w:lineRule="auto" w:line="300" w:before="0" w:after="0"/>
        <w:jc w:val="left"/>
        <w:rPr/>
      </w:pPr>
      <w:r>
        <w:rPr/>
      </w:r>
    </w:p>
    <w:p>
      <w:pPr>
        <w:pStyle w:val="Normal"/>
        <w:bidi w:val="0"/>
        <w:spacing w:before="0" w:after="0"/>
        <w:jc w:val="left"/>
        <w:rPr>
          <w:sz w:val="4"/>
          <w:szCs w:val="4"/>
        </w:rPr>
      </w:pPr>
      <w:r>
        <w:rPr>
          <w:sz w:val="4"/>
          <w:szCs w:val="4"/>
        </w:rPr>
      </w:r>
      <w:bookmarkStart w:id="138" w:name="z1f8571f89efb4d30a8fabe3f61a0e4f4"/>
      <w:bookmarkStart w:id="139" w:name="z1f8571f89efb4d30a8fabe3f61a0e4f4"/>
      <w:bookmarkEnd w:id="139"/>
    </w:p>
    <w:tbl>
      <w:tblPr>
        <w:tblW w:w="1653" w:type="dxa"/>
        <w:jc w:val="left"/>
        <w:tblInd w:w="0" w:type="dxa"/>
        <w:tblLayout w:type="fixed"/>
        <w:tblCellMar>
          <w:top w:w="0" w:type="dxa"/>
          <w:left w:w="0" w:type="dxa"/>
          <w:bottom w:w="0" w:type="dxa"/>
          <w:right w:w="0" w:type="dxa"/>
        </w:tblCellMar>
      </w:tblPr>
      <w:tblGrid>
        <w:gridCol w:w="38"/>
        <w:gridCol w:w="320"/>
        <w:gridCol w:w="1295"/>
      </w:tblGrid>
      <w:tr>
        <w:trPr/>
        <w:tc>
          <w:tcPr>
            <w:tcW w:w="38" w:type="dxa"/>
            <w:tcBorders/>
            <w:vAlign w:val="center"/>
          </w:tcPr>
          <w:p>
            <w:pPr>
              <w:pStyle w:val="TableContents"/>
              <w:bidi w:val="0"/>
              <w:spacing w:before="0" w:after="283"/>
              <w:jc w:val="left"/>
              <w:rPr/>
            </w:pPr>
            <w:r>
              <w:rPr/>
            </w:r>
          </w:p>
        </w:tc>
        <w:tc>
          <w:tcPr>
            <w:tcW w:w="320" w:type="dxa"/>
            <w:tcBorders/>
            <w:vAlign w:val="center"/>
          </w:tcPr>
          <w:p>
            <w:pPr>
              <w:pStyle w:val="TableContents"/>
              <w:bidi w:val="0"/>
              <w:spacing w:before="0" w:after="283"/>
              <w:jc w:val="left"/>
              <w:rPr>
                <w:b/>
              </w:rPr>
            </w:pPr>
            <w:r>
              <w:rPr>
                <w:b/>
              </w:rPr>
              <w:t>12.</w:t>
            </w:r>
          </w:p>
        </w:tc>
        <w:tc>
          <w:tcPr>
            <w:tcW w:w="1295" w:type="dxa"/>
            <w:tcBorders/>
            <w:vAlign w:val="center"/>
          </w:tcPr>
          <w:p>
            <w:pPr>
              <w:pStyle w:val="TableContents"/>
              <w:bidi w:val="0"/>
              <w:spacing w:before="0" w:after="0"/>
              <w:jc w:val="left"/>
              <w:rPr>
                <w:b/>
                <w:u w:val="single"/>
              </w:rPr>
            </w:pPr>
            <w:r>
              <w:rPr>
                <w:b/>
                <w:u w:val="single"/>
              </w:rPr>
              <w:t>Severability.</w:t>
            </w:r>
          </w:p>
        </w:tc>
      </w:tr>
    </w:tbl>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720" w:right="0" w:firstLine="566"/>
        <w:jc w:val="left"/>
        <w:rPr>
          <w:rFonts w:ascii="Times New Roman;Times;serif" w:hAnsi="Times New Roman;Times;serif"/>
          <w:color w:val="000000"/>
          <w:sz w:val="20"/>
        </w:rPr>
      </w:pPr>
      <w:r>
        <w:rPr>
          <w:rFonts w:ascii="Times New Roman;Times;serif" w:hAnsi="Times New Roman;Times;serif"/>
          <w:color w:val="000000"/>
          <w:sz w:val="20"/>
        </w:rPr>
        <w:t xml:space="preserve">In the event that any paragraph or provision of this Agreement shall be held to be illegal or unenforceable, such paragraph or provision shall be severed from this Agreement, and the entire Agreement shall not fail on account thereof but shall otherwise remain in full force and effect, and shall be interpreted as if such provision were so excluded and shall be enforceable in accordance with its terms; provided, however, that in such event this Agreement shall be interpreted so as to give effect, to the greatest extent consistent with and permitted by applicable law, to the meaning and intention of the excluded provision as determined by such court of competent jurisdiction. </w:t>
      </w:r>
    </w:p>
    <w:p>
      <w:pPr>
        <w:pStyle w:val="HorizontalLine"/>
        <w:pBdr>
          <w:bottom w:val="single" w:sz="12" w:space="0" w:color="808080"/>
        </w:pBdr>
        <w:bidi w:val="0"/>
        <w:spacing w:before="200" w:after="200"/>
        <w:jc w:val="left"/>
        <w:rPr/>
      </w:pPr>
      <w:r>
        <w:rPr/>
      </w:r>
    </w:p>
    <w:p>
      <w:pPr>
        <w:pStyle w:val="TextBody"/>
        <w:bidi w:val="0"/>
        <w:spacing w:lineRule="auto" w:line="300" w:before="0" w:after="0"/>
        <w:jc w:val="left"/>
        <w:rPr>
          <w:color w:val="000000"/>
        </w:rPr>
      </w:pPr>
      <w:r>
        <w:rPr>
          <w:color w:val="000000"/>
        </w:rPr>
        <w:t> </w:t>
      </w:r>
    </w:p>
    <w:p>
      <w:pPr>
        <w:pStyle w:val="Normal"/>
        <w:bidi w:val="0"/>
        <w:spacing w:before="0" w:after="0"/>
        <w:jc w:val="left"/>
        <w:rPr>
          <w:sz w:val="4"/>
          <w:szCs w:val="4"/>
        </w:rPr>
      </w:pPr>
      <w:r>
        <w:rPr>
          <w:sz w:val="4"/>
          <w:szCs w:val="4"/>
        </w:rPr>
      </w:r>
      <w:bookmarkStart w:id="140" w:name="z4d6c6f96242d40d1a37d90dd05481293"/>
      <w:bookmarkStart w:id="141" w:name="z4d6c6f96242d40d1a37d90dd05481293"/>
      <w:bookmarkEnd w:id="141"/>
    </w:p>
    <w:tbl>
      <w:tblPr>
        <w:tblW w:w="2808" w:type="dxa"/>
        <w:jc w:val="left"/>
        <w:tblInd w:w="0" w:type="dxa"/>
        <w:tblLayout w:type="fixed"/>
        <w:tblCellMar>
          <w:top w:w="0" w:type="dxa"/>
          <w:left w:w="0" w:type="dxa"/>
          <w:bottom w:w="0" w:type="dxa"/>
          <w:right w:w="0" w:type="dxa"/>
        </w:tblCellMar>
      </w:tblPr>
      <w:tblGrid>
        <w:gridCol w:w="38"/>
        <w:gridCol w:w="320"/>
        <w:gridCol w:w="2450"/>
      </w:tblGrid>
      <w:tr>
        <w:trPr/>
        <w:tc>
          <w:tcPr>
            <w:tcW w:w="38" w:type="dxa"/>
            <w:tcBorders/>
            <w:vAlign w:val="center"/>
          </w:tcPr>
          <w:p>
            <w:pPr>
              <w:pStyle w:val="TableContents"/>
              <w:bidi w:val="0"/>
              <w:spacing w:before="0" w:after="283"/>
              <w:jc w:val="left"/>
              <w:rPr/>
            </w:pPr>
            <w:r>
              <w:rPr/>
            </w:r>
          </w:p>
        </w:tc>
        <w:tc>
          <w:tcPr>
            <w:tcW w:w="320" w:type="dxa"/>
            <w:tcBorders/>
            <w:vAlign w:val="center"/>
          </w:tcPr>
          <w:p>
            <w:pPr>
              <w:pStyle w:val="TableContents"/>
              <w:bidi w:val="0"/>
              <w:spacing w:before="0" w:after="283"/>
              <w:jc w:val="left"/>
              <w:rPr>
                <w:b/>
              </w:rPr>
            </w:pPr>
            <w:r>
              <w:rPr>
                <w:b/>
              </w:rPr>
              <w:t>13.</w:t>
            </w:r>
          </w:p>
        </w:tc>
        <w:tc>
          <w:tcPr>
            <w:tcW w:w="2450" w:type="dxa"/>
            <w:tcBorders/>
            <w:vAlign w:val="center"/>
          </w:tcPr>
          <w:p>
            <w:pPr>
              <w:pStyle w:val="TableContents"/>
              <w:bidi w:val="0"/>
              <w:spacing w:before="0" w:after="0"/>
              <w:jc w:val="left"/>
              <w:rPr>
                <w:b/>
                <w:u w:val="single"/>
              </w:rPr>
            </w:pPr>
            <w:r>
              <w:rPr>
                <w:b/>
                <w:u w:val="single"/>
              </w:rPr>
              <w:t>Successors and Assigns.</w:t>
            </w:r>
          </w:p>
        </w:tc>
      </w:tr>
    </w:tbl>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720" w:right="0" w:firstLine="566"/>
        <w:jc w:val="left"/>
        <w:rPr>
          <w:rFonts w:ascii="Times New Roman;Times;serif" w:hAnsi="Times New Roman;Times;serif"/>
          <w:color w:val="000000"/>
          <w:sz w:val="20"/>
        </w:rPr>
      </w:pPr>
      <w:r>
        <w:rPr>
          <w:rFonts w:ascii="Times New Roman;Times;serif" w:hAnsi="Times New Roman;Times;serif"/>
          <w:color w:val="000000"/>
          <w:sz w:val="20"/>
        </w:rPr>
        <w:t>This Agreement shall be binding upon my heirs, executors, administrators, or other legal representatives and is for the benefit of the Company, its affiliates, successors and assigns.</w:t>
      </w:r>
    </w:p>
    <w:p>
      <w:pPr>
        <w:pStyle w:val="TextBody"/>
        <w:bidi w:val="0"/>
        <w:spacing w:lineRule="auto" w:line="300" w:before="0" w:after="0"/>
        <w:jc w:val="left"/>
        <w:rPr>
          <w:color w:val="000000"/>
        </w:rPr>
      </w:pPr>
      <w:r>
        <w:rPr>
          <w:color w:val="000000"/>
        </w:rPr>
        <w:t> </w:t>
      </w:r>
    </w:p>
    <w:p>
      <w:pPr>
        <w:pStyle w:val="Normal"/>
        <w:bidi w:val="0"/>
        <w:spacing w:before="0" w:after="0"/>
        <w:jc w:val="left"/>
        <w:rPr>
          <w:sz w:val="4"/>
          <w:szCs w:val="4"/>
        </w:rPr>
      </w:pPr>
      <w:r>
        <w:rPr>
          <w:sz w:val="4"/>
          <w:szCs w:val="4"/>
        </w:rPr>
      </w:r>
      <w:bookmarkStart w:id="142" w:name="z109355edb5204745bfc7205e9293c44a"/>
      <w:bookmarkStart w:id="143" w:name="z109355edb5204745bfc7205e9293c44a"/>
      <w:bookmarkEnd w:id="143"/>
    </w:p>
    <w:tbl>
      <w:tblPr>
        <w:tblW w:w="2058" w:type="dxa"/>
        <w:jc w:val="left"/>
        <w:tblInd w:w="0" w:type="dxa"/>
        <w:tblLayout w:type="fixed"/>
        <w:tblCellMar>
          <w:top w:w="0" w:type="dxa"/>
          <w:left w:w="0" w:type="dxa"/>
          <w:bottom w:w="0" w:type="dxa"/>
          <w:right w:w="0" w:type="dxa"/>
        </w:tblCellMar>
      </w:tblPr>
      <w:tblGrid>
        <w:gridCol w:w="38"/>
        <w:gridCol w:w="320"/>
        <w:gridCol w:w="1700"/>
      </w:tblGrid>
      <w:tr>
        <w:trPr/>
        <w:tc>
          <w:tcPr>
            <w:tcW w:w="38" w:type="dxa"/>
            <w:tcBorders/>
            <w:vAlign w:val="center"/>
          </w:tcPr>
          <w:p>
            <w:pPr>
              <w:pStyle w:val="TableContents"/>
              <w:bidi w:val="0"/>
              <w:spacing w:before="0" w:after="283"/>
              <w:jc w:val="left"/>
              <w:rPr/>
            </w:pPr>
            <w:r>
              <w:rPr/>
            </w:r>
          </w:p>
        </w:tc>
        <w:tc>
          <w:tcPr>
            <w:tcW w:w="320" w:type="dxa"/>
            <w:tcBorders/>
            <w:vAlign w:val="center"/>
          </w:tcPr>
          <w:p>
            <w:pPr>
              <w:pStyle w:val="TableContents"/>
              <w:bidi w:val="0"/>
              <w:spacing w:before="0" w:after="283"/>
              <w:jc w:val="left"/>
              <w:rPr>
                <w:b/>
              </w:rPr>
            </w:pPr>
            <w:r>
              <w:rPr>
                <w:b/>
              </w:rPr>
              <w:t>14.</w:t>
            </w:r>
          </w:p>
        </w:tc>
        <w:tc>
          <w:tcPr>
            <w:tcW w:w="1700" w:type="dxa"/>
            <w:tcBorders/>
            <w:vAlign w:val="center"/>
          </w:tcPr>
          <w:p>
            <w:pPr>
              <w:pStyle w:val="TableContents"/>
              <w:bidi w:val="0"/>
              <w:spacing w:before="0" w:after="0"/>
              <w:jc w:val="left"/>
              <w:rPr>
                <w:b/>
                <w:u w:val="single"/>
              </w:rPr>
            </w:pPr>
            <w:r>
              <w:rPr>
                <w:b/>
                <w:u w:val="single"/>
              </w:rPr>
              <w:t>Governing Law.</w:t>
            </w:r>
          </w:p>
        </w:tc>
      </w:tr>
    </w:tbl>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1286" w:right="0" w:hanging="0"/>
        <w:jc w:val="left"/>
        <w:rPr>
          <w:rFonts w:ascii="Times New Roman;Times;serif" w:hAnsi="Times New Roman;Times;serif"/>
          <w:color w:val="000000"/>
          <w:sz w:val="20"/>
        </w:rPr>
      </w:pPr>
      <w:r>
        <w:rPr>
          <w:rFonts w:ascii="Times New Roman;Times;serif" w:hAnsi="Times New Roman;Times;serif"/>
          <w:color w:val="000000"/>
          <w:sz w:val="20"/>
        </w:rPr>
        <w:t>This Agreement shall be governed by the laws of the State of Israel.</w:t>
      </w:r>
    </w:p>
    <w:p>
      <w:pPr>
        <w:pStyle w:val="TextBody"/>
        <w:bidi w:val="0"/>
        <w:spacing w:lineRule="auto" w:line="300" w:before="0" w:after="0"/>
        <w:ind w:left="1286" w:right="0" w:hanging="0"/>
        <w:jc w:val="left"/>
        <w:rPr/>
      </w:pPr>
      <w:r>
        <w:rPr/>
      </w:r>
    </w:p>
    <w:tbl>
      <w:tblPr>
        <w:tblW w:w="3613" w:type="dxa"/>
        <w:jc w:val="left"/>
        <w:tblInd w:w="0" w:type="dxa"/>
        <w:tblLayout w:type="fixed"/>
        <w:tblCellMar>
          <w:top w:w="0" w:type="dxa"/>
          <w:left w:w="0" w:type="dxa"/>
          <w:bottom w:w="0" w:type="dxa"/>
          <w:right w:w="0" w:type="dxa"/>
        </w:tblCellMar>
      </w:tblPr>
      <w:tblGrid>
        <w:gridCol w:w="75"/>
        <w:gridCol w:w="3500"/>
        <w:gridCol w:w="38"/>
      </w:tblGrid>
      <w:tr>
        <w:trPr/>
        <w:tc>
          <w:tcPr>
            <w:tcW w:w="75" w:type="dxa"/>
            <w:tcBorders/>
            <w:vAlign w:val="center"/>
          </w:tcPr>
          <w:p>
            <w:pPr>
              <w:pStyle w:val="TableContents"/>
              <w:bidi w:val="0"/>
              <w:spacing w:before="0" w:after="283"/>
              <w:jc w:val="left"/>
              <w:rPr/>
            </w:pPr>
            <w:r>
              <w:rPr/>
              <w:t> </w:t>
            </w:r>
          </w:p>
        </w:tc>
        <w:tc>
          <w:tcPr>
            <w:tcW w:w="3500" w:type="dxa"/>
            <w:tcBorders/>
            <w:vAlign w:val="center"/>
          </w:tcPr>
          <w:p>
            <w:pPr>
              <w:pStyle w:val="TableContents"/>
              <w:bidi w:val="0"/>
              <w:spacing w:before="0" w:after="0"/>
              <w:jc w:val="left"/>
              <w:rPr>
                <w:b/>
              </w:rPr>
            </w:pPr>
            <w:r>
              <w:rPr>
                <w:b/>
              </w:rPr>
              <w:t>_____________________________</w:t>
            </w:r>
          </w:p>
          <w:p>
            <w:pPr>
              <w:pStyle w:val="TableContents"/>
              <w:bidi w:val="0"/>
              <w:spacing w:before="0" w:after="0"/>
              <w:jc w:val="left"/>
              <w:rPr>
                <w:b w:val="false"/>
              </w:rPr>
            </w:pPr>
            <w:r>
              <w:rPr>
                <w:b w:val="false"/>
              </w:rPr>
              <w:t>Employee’s Signature</w:t>
            </w:r>
          </w:p>
        </w:tc>
        <w:tc>
          <w:tcPr>
            <w:tcW w:w="38" w:type="dxa"/>
            <w:tcBorders/>
            <w:vAlign w:val="center"/>
          </w:tcPr>
          <w:p>
            <w:pPr>
              <w:pStyle w:val="TableContents"/>
              <w:bidi w:val="0"/>
              <w:spacing w:before="0" w:after="0"/>
              <w:jc w:val="left"/>
              <w:rPr>
                <w:b/>
              </w:rPr>
            </w:pPr>
            <w:r>
              <w:rPr>
                <w:b/>
              </w:rPr>
            </w:r>
          </w:p>
        </w:tc>
      </w:tr>
    </w:tbl>
    <w:p>
      <w:pPr>
        <w:pStyle w:val="TextBody"/>
        <w:bidi w:val="0"/>
        <w:spacing w:lineRule="auto" w:line="300" w:before="0" w:after="0"/>
        <w:jc w:val="left"/>
        <w:rPr>
          <w:color w:val="000000"/>
        </w:rPr>
      </w:pPr>
      <w:r>
        <w:rPr>
          <w:color w:val="000000"/>
        </w:rPr>
        <w:t> </w:t>
      </w:r>
    </w:p>
    <w:tbl>
      <w:tblPr>
        <w:tblW w:w="3613" w:type="dxa"/>
        <w:jc w:val="left"/>
        <w:tblInd w:w="0" w:type="dxa"/>
        <w:tblLayout w:type="fixed"/>
        <w:tblCellMar>
          <w:top w:w="0" w:type="dxa"/>
          <w:left w:w="0" w:type="dxa"/>
          <w:bottom w:w="0" w:type="dxa"/>
          <w:right w:w="0" w:type="dxa"/>
        </w:tblCellMar>
      </w:tblPr>
      <w:tblGrid>
        <w:gridCol w:w="75"/>
        <w:gridCol w:w="3500"/>
        <w:gridCol w:w="38"/>
      </w:tblGrid>
      <w:tr>
        <w:trPr/>
        <w:tc>
          <w:tcPr>
            <w:tcW w:w="75" w:type="dxa"/>
            <w:tcBorders/>
            <w:vAlign w:val="center"/>
          </w:tcPr>
          <w:p>
            <w:pPr>
              <w:pStyle w:val="TableContents"/>
              <w:bidi w:val="0"/>
              <w:spacing w:before="0" w:after="283"/>
              <w:jc w:val="left"/>
              <w:rPr/>
            </w:pPr>
            <w:r>
              <w:rPr/>
              <w:t> </w:t>
            </w:r>
          </w:p>
        </w:tc>
        <w:tc>
          <w:tcPr>
            <w:tcW w:w="3500" w:type="dxa"/>
            <w:tcBorders/>
            <w:vAlign w:val="center"/>
          </w:tcPr>
          <w:p>
            <w:pPr>
              <w:pStyle w:val="TableContents"/>
              <w:bidi w:val="0"/>
              <w:spacing w:before="0" w:after="0"/>
              <w:jc w:val="left"/>
              <w:rPr>
                <w:b/>
              </w:rPr>
            </w:pPr>
            <w:r>
              <w:rPr>
                <w:b/>
              </w:rPr>
              <w:t>_____________________________</w:t>
            </w:r>
          </w:p>
          <w:p>
            <w:pPr>
              <w:pStyle w:val="TableContents"/>
              <w:bidi w:val="0"/>
              <w:spacing w:before="0" w:after="0"/>
              <w:jc w:val="left"/>
              <w:rPr>
                <w:b w:val="false"/>
              </w:rPr>
            </w:pPr>
            <w:r>
              <w:rPr>
                <w:b w:val="false"/>
              </w:rPr>
              <w:t>Date</w:t>
            </w:r>
          </w:p>
        </w:tc>
        <w:tc>
          <w:tcPr>
            <w:tcW w:w="38" w:type="dxa"/>
            <w:tcBorders/>
            <w:vAlign w:val="center"/>
          </w:tcPr>
          <w:p>
            <w:pPr>
              <w:pStyle w:val="TableContents"/>
              <w:bidi w:val="0"/>
              <w:spacing w:before="0" w:after="0"/>
              <w:jc w:val="left"/>
              <w:rPr>
                <w:b/>
              </w:rPr>
            </w:pPr>
            <w:r>
              <w:rPr>
                <w:b/>
              </w:rPr>
            </w:r>
          </w:p>
        </w:tc>
      </w:tr>
    </w:tbl>
    <w:p>
      <w:pPr>
        <w:pStyle w:val="TextBody"/>
        <w:bidi w:val="0"/>
        <w:spacing w:lineRule="auto" w:line="300" w:before="0" w:after="0"/>
        <w:jc w:val="left"/>
        <w:rPr>
          <w:color w:val="000000"/>
        </w:rPr>
      </w:pPr>
      <w:r>
        <w:rPr>
          <w:color w:val="000000"/>
        </w:rPr>
        <w:t> </w:t>
      </w:r>
    </w:p>
    <w:p>
      <w:pPr>
        <w:pStyle w:val="HorizontalLine"/>
        <w:pBdr>
          <w:bottom w:val="single" w:sz="12" w:space="0" w:color="808080"/>
        </w:pBdr>
        <w:bidi w:val="0"/>
        <w:spacing w:lineRule="auto" w:line="300" w:before="200" w:after="200"/>
        <w:jc w:val="left"/>
        <w:rPr/>
      </w:pPr>
      <w:r>
        <w:rPr/>
      </w:r>
    </w:p>
    <w:p>
      <w:pPr>
        <w:pStyle w:val="TextBody"/>
        <w:bidi w:val="0"/>
        <w:spacing w:lineRule="auto" w:line="300" w:before="0" w:after="0"/>
        <w:jc w:val="left"/>
        <w:rPr/>
      </w:pPr>
      <w:r>
        <w:rPr/>
      </w:r>
    </w:p>
    <w:p>
      <w:pPr>
        <w:pStyle w:val="TextBody"/>
        <w:bidi w:val="0"/>
        <w:spacing w:lineRule="auto" w:line="300" w:before="0" w:after="0"/>
        <w:jc w:val="center"/>
        <w:rPr>
          <w:rFonts w:ascii="Times New Roman;Times;serif" w:hAnsi="Times New Roman;Times;serif"/>
          <w:b/>
          <w:color w:val="000000"/>
          <w:sz w:val="20"/>
        </w:rPr>
      </w:pPr>
      <w:r>
        <w:rPr>
          <w:rFonts w:ascii="Times New Roman;Times;serif" w:hAnsi="Times New Roman;Times;serif"/>
          <w:b/>
          <w:color w:val="000000"/>
          <w:sz w:val="20"/>
        </w:rPr>
        <w:t>EXHIBIT C</w:t>
      </w:r>
    </w:p>
    <w:p>
      <w:pPr>
        <w:pStyle w:val="TextBody"/>
        <w:bidi w:val="0"/>
        <w:spacing w:lineRule="auto" w:line="300" w:before="0" w:after="0"/>
        <w:jc w:val="left"/>
        <w:rPr>
          <w:color w:val="000000"/>
        </w:rPr>
      </w:pPr>
      <w:r>
        <w:rPr>
          <w:color w:val="000000"/>
        </w:rPr>
        <w:t> </w:t>
      </w:r>
    </w:p>
    <w:p>
      <w:pPr>
        <w:pStyle w:val="TextBody"/>
        <w:bidi w:val="0"/>
        <w:spacing w:lineRule="auto" w:line="300" w:before="0" w:after="0"/>
        <w:jc w:val="center"/>
        <w:rPr>
          <w:rFonts w:ascii="Times New Roman;Times;serif" w:hAnsi="Times New Roman;Times;serif"/>
          <w:b/>
          <w:color w:val="000000"/>
          <w:sz w:val="20"/>
        </w:rPr>
      </w:pPr>
      <w:r>
        <w:rPr>
          <w:rFonts w:ascii="Times New Roman;Times;serif" w:hAnsi="Times New Roman;Times;serif"/>
          <w:b/>
          <w:color w:val="000000"/>
          <w:sz w:val="20"/>
        </w:rPr>
        <w:t>GENERAL APPROVAL OF THE MINISTER OF LABOR AND WELFARE</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720" w:right="356" w:hanging="0"/>
        <w:jc w:val="both"/>
        <w:rPr>
          <w:rFonts w:ascii="Times New Roman;Times;serif" w:hAnsi="Times New Roman;Times;serif"/>
          <w:color w:val="000000"/>
          <w:sz w:val="20"/>
        </w:rPr>
      </w:pPr>
      <w:r>
        <w:rPr>
          <w:rFonts w:ascii="Times New Roman;Times;serif" w:hAnsi="Times New Roman;Times;serif"/>
          <w:color w:val="000000"/>
          <w:sz w:val="20"/>
        </w:rPr>
        <w:t xml:space="preserve">Pursuant to the power granted to me under section 14 of the Severance Pay Law 5723-1963 </w:t>
      </w:r>
      <w:r>
        <w:rPr>
          <w:rFonts w:ascii="Times New Roman;Times;serif" w:hAnsi="Times New Roman;Times;serif"/>
          <w:b/>
          <w:color w:val="000000"/>
          <w:sz w:val="20"/>
        </w:rPr>
        <w:t>(“Law”</w:t>
      </w:r>
      <w:r>
        <w:rPr>
          <w:rFonts w:ascii="Times New Roman;Times;serif" w:hAnsi="Times New Roman;Times;serif"/>
          <w:color w:val="000000"/>
          <w:sz w:val="20"/>
        </w:rPr>
        <w:t xml:space="preserve">) I hereby confirm that payments paid by an employer, commencing the date hereof, to an employee’s comprehensive pension fund into a provident fund which is not an insurance fund, as defined in the Income Tax Regulations (Registration and Management Rules of a Provident Fund) 5724-1964 </w:t>
      </w:r>
      <w:r>
        <w:rPr>
          <w:rFonts w:ascii="Times New Roman;Times;serif" w:hAnsi="Times New Roman;Times;serif"/>
          <w:b/>
          <w:color w:val="000000"/>
          <w:sz w:val="20"/>
        </w:rPr>
        <w:t>(“Pension Fund”</w:t>
      </w:r>
      <w:r>
        <w:rPr>
          <w:rFonts w:ascii="Times New Roman;Times;serif" w:hAnsi="Times New Roman;Times;serif"/>
          <w:color w:val="000000"/>
          <w:sz w:val="20"/>
        </w:rPr>
        <w:t xml:space="preserve">), or to a Manager’s Insurance Fund that includes the possibility of an allowance or a combination of payments to an Allowance Plan and to a plan which is not an Allowance Plan in an Insurance Fund </w:t>
      </w:r>
      <w:r>
        <w:rPr>
          <w:rFonts w:ascii="Times New Roman;Times;serif" w:hAnsi="Times New Roman;Times;serif"/>
          <w:b/>
          <w:color w:val="000000"/>
          <w:sz w:val="20"/>
        </w:rPr>
        <w:t>(“Insurance Fund”</w:t>
      </w:r>
      <w:r>
        <w:rPr>
          <w:rFonts w:ascii="Times New Roman;Times;serif" w:hAnsi="Times New Roman;Times;serif"/>
          <w:color w:val="000000"/>
          <w:sz w:val="20"/>
        </w:rPr>
        <w:t xml:space="preserve">), including payments which the employer paid by combination of payments to a Pension Fund and to an Insurance Fund whether there exists a possibility in the Insurance Fund to an allowance plan </w:t>
      </w:r>
      <w:r>
        <w:rPr>
          <w:rFonts w:ascii="Times New Roman;Times;serif" w:hAnsi="Times New Roman;Times;serif"/>
          <w:b/>
          <w:color w:val="000000"/>
          <w:sz w:val="20"/>
        </w:rPr>
        <w:t>(“Employer Payments”</w:t>
      </w:r>
      <w:r>
        <w:rPr>
          <w:rFonts w:ascii="Times New Roman;Times;serif" w:hAnsi="Times New Roman;Times;serif"/>
          <w:color w:val="000000"/>
          <w:sz w:val="20"/>
        </w:rPr>
        <w:t>), will replace the severance pay that the employee is entitled to for the salary and period of which the payments were paid (“</w:t>
      </w:r>
      <w:r>
        <w:rPr>
          <w:rFonts w:ascii="Times New Roman;Times;serif" w:hAnsi="Times New Roman;Times;serif"/>
          <w:b/>
          <w:color w:val="000000"/>
          <w:sz w:val="20"/>
        </w:rPr>
        <w:t>Exempt Wages”</w:t>
      </w:r>
      <w:r>
        <w:rPr>
          <w:rFonts w:ascii="Times New Roman;Times;serif" w:hAnsi="Times New Roman;Times;serif"/>
          <w:color w:val="000000"/>
          <w:sz w:val="20"/>
        </w:rPr>
        <w:t>) if the following conditions are satisfied:</w:t>
      </w:r>
    </w:p>
    <w:p>
      <w:pPr>
        <w:pStyle w:val="TextBody"/>
        <w:bidi w:val="0"/>
        <w:spacing w:lineRule="auto" w:line="300" w:before="0" w:after="0"/>
        <w:jc w:val="left"/>
        <w:rPr>
          <w:color w:val="000000"/>
        </w:rPr>
      </w:pPr>
      <w:r>
        <w:rPr>
          <w:color w:val="000000"/>
        </w:rPr>
        <w:t> </w:t>
      </w:r>
    </w:p>
    <w:p>
      <w:pPr>
        <w:pStyle w:val="Normal"/>
        <w:bidi w:val="0"/>
        <w:spacing w:before="0" w:after="0"/>
        <w:jc w:val="left"/>
        <w:rPr>
          <w:sz w:val="4"/>
          <w:szCs w:val="4"/>
        </w:rPr>
      </w:pPr>
      <w:r>
        <w:rPr>
          <w:sz w:val="4"/>
          <w:szCs w:val="4"/>
        </w:rPr>
      </w:r>
      <w:bookmarkStart w:id="144" w:name="ze22d2b0e8ed2466e90775e981b3eff11"/>
      <w:bookmarkStart w:id="145" w:name="ze22d2b0e8ed2466e90775e981b3eff11"/>
      <w:bookmarkEnd w:id="145"/>
    </w:p>
    <w:tbl>
      <w:tblPr>
        <w:tblW w:w="2448" w:type="dxa"/>
        <w:jc w:val="left"/>
        <w:tblInd w:w="0" w:type="dxa"/>
        <w:tblLayout w:type="fixed"/>
        <w:tblCellMar>
          <w:top w:w="0" w:type="dxa"/>
          <w:left w:w="0" w:type="dxa"/>
          <w:bottom w:w="0" w:type="dxa"/>
          <w:right w:w="0" w:type="dxa"/>
        </w:tblCellMar>
      </w:tblPr>
      <w:tblGrid>
        <w:gridCol w:w="38"/>
        <w:gridCol w:w="290"/>
        <w:gridCol w:w="2120"/>
      </w:tblGrid>
      <w:tr>
        <w:trPr/>
        <w:tc>
          <w:tcPr>
            <w:tcW w:w="38" w:type="dxa"/>
            <w:tcBorders/>
            <w:vAlign w:val="center"/>
          </w:tcPr>
          <w:p>
            <w:pPr>
              <w:pStyle w:val="TableContents"/>
              <w:bidi w:val="0"/>
              <w:spacing w:before="0" w:after="283"/>
              <w:jc w:val="left"/>
              <w:rPr/>
            </w:pPr>
            <w:r>
              <w:rPr/>
            </w:r>
          </w:p>
        </w:tc>
        <w:tc>
          <w:tcPr>
            <w:tcW w:w="290" w:type="dxa"/>
            <w:tcBorders/>
            <w:vAlign w:val="center"/>
          </w:tcPr>
          <w:p>
            <w:pPr>
              <w:pStyle w:val="TableContents"/>
              <w:bidi w:val="0"/>
              <w:spacing w:before="0" w:after="283"/>
              <w:jc w:val="left"/>
              <w:rPr/>
            </w:pPr>
            <w:r>
              <w:rPr/>
              <w:t>(1)</w:t>
            </w:r>
          </w:p>
        </w:tc>
        <w:tc>
          <w:tcPr>
            <w:tcW w:w="2120" w:type="dxa"/>
            <w:tcBorders/>
            <w:vAlign w:val="center"/>
          </w:tcPr>
          <w:p>
            <w:pPr>
              <w:pStyle w:val="TableContents"/>
              <w:bidi w:val="0"/>
              <w:spacing w:before="0" w:after="0"/>
              <w:jc w:val="both"/>
              <w:rPr/>
            </w:pPr>
            <w:r>
              <w:rPr/>
              <w:t>Employer Payments –</w:t>
            </w:r>
          </w:p>
        </w:tc>
      </w:tr>
    </w:tbl>
    <w:p>
      <w:pPr>
        <w:pStyle w:val="TextBody"/>
        <w:bidi w:val="0"/>
        <w:spacing w:lineRule="auto" w:line="300" w:before="0" w:after="0"/>
        <w:jc w:val="left"/>
        <w:rPr>
          <w:color w:val="000000"/>
        </w:rPr>
      </w:pPr>
      <w:r>
        <w:rPr>
          <w:color w:val="000000"/>
        </w:rPr>
        <w:t> </w:t>
      </w:r>
    </w:p>
    <w:p>
      <w:pPr>
        <w:pStyle w:val="Normal"/>
        <w:bidi w:val="0"/>
        <w:spacing w:before="0" w:after="0"/>
        <w:jc w:val="left"/>
        <w:rPr>
          <w:sz w:val="4"/>
          <w:szCs w:val="4"/>
        </w:rPr>
      </w:pPr>
      <w:r>
        <w:rPr>
          <w:sz w:val="4"/>
          <w:szCs w:val="4"/>
        </w:rPr>
      </w:r>
      <w:bookmarkStart w:id="146" w:name="z20b435a5193c4ecb9a06479da61962d0"/>
      <w:bookmarkStart w:id="147" w:name="z20b435a5193c4ecb9a06479da61962d0"/>
      <w:bookmarkEnd w:id="147"/>
    </w:p>
    <w:tbl>
      <w:tblPr>
        <w:tblW w:w="10205" w:type="dxa"/>
        <w:jc w:val="left"/>
        <w:tblInd w:w="0" w:type="dxa"/>
        <w:tblLayout w:type="fixed"/>
        <w:tblCellMar>
          <w:top w:w="0" w:type="dxa"/>
          <w:left w:w="0" w:type="dxa"/>
          <w:bottom w:w="0" w:type="dxa"/>
          <w:right w:w="0" w:type="dxa"/>
        </w:tblCellMar>
      </w:tblPr>
      <w:tblGrid>
        <w:gridCol w:w="38"/>
        <w:gridCol w:w="292"/>
        <w:gridCol w:w="9875"/>
      </w:tblGrid>
      <w:tr>
        <w:trPr/>
        <w:tc>
          <w:tcPr>
            <w:tcW w:w="38" w:type="dxa"/>
            <w:tcBorders/>
            <w:vAlign w:val="center"/>
          </w:tcPr>
          <w:p>
            <w:pPr>
              <w:pStyle w:val="TableContents"/>
              <w:bidi w:val="0"/>
              <w:spacing w:before="0" w:after="283"/>
              <w:jc w:val="left"/>
              <w:rPr/>
            </w:pPr>
            <w:r>
              <w:rPr/>
            </w:r>
          </w:p>
        </w:tc>
        <w:tc>
          <w:tcPr>
            <w:tcW w:w="292" w:type="dxa"/>
            <w:tcBorders/>
            <w:vAlign w:val="center"/>
          </w:tcPr>
          <w:p>
            <w:pPr>
              <w:pStyle w:val="TableContents"/>
              <w:bidi w:val="0"/>
              <w:spacing w:before="0" w:after="283"/>
              <w:jc w:val="left"/>
              <w:rPr/>
            </w:pPr>
            <w:r>
              <w:rPr/>
              <w:t>(A)</w:t>
            </w:r>
          </w:p>
        </w:tc>
        <w:tc>
          <w:tcPr>
            <w:tcW w:w="9875" w:type="dxa"/>
            <w:tcBorders/>
            <w:vAlign w:val="center"/>
          </w:tcPr>
          <w:p>
            <w:pPr>
              <w:pStyle w:val="TableContents"/>
              <w:bidi w:val="0"/>
              <w:spacing w:before="0" w:after="0"/>
              <w:jc w:val="both"/>
              <w:rPr/>
            </w:pPr>
            <w:r>
              <w:rPr/>
              <w:t>for Pension Funds are not less than 14.33 % of the Exempt Wages or 12% of the Exempt Wages, if the employer pays for his employee an additional payment on behalf of the severance pay completion for a providence fund or Insurance Fund at the rate of 2.33% of the Exempt Wages. If an employer does not pay the additional 2.33% on top of the 12%, then the payment will constitute only 72% of the Severance Pay.</w:t>
            </w:r>
          </w:p>
        </w:tc>
      </w:tr>
    </w:tbl>
    <w:p>
      <w:pPr>
        <w:pStyle w:val="TextBody"/>
        <w:bidi w:val="0"/>
        <w:spacing w:lineRule="auto" w:line="300" w:before="0" w:after="0"/>
        <w:jc w:val="left"/>
        <w:rPr/>
      </w:pPr>
      <w:r>
        <w:rPr/>
      </w:r>
    </w:p>
    <w:p>
      <w:pPr>
        <w:pStyle w:val="Normal"/>
        <w:bidi w:val="0"/>
        <w:spacing w:before="0" w:after="0"/>
        <w:jc w:val="left"/>
        <w:rPr>
          <w:sz w:val="4"/>
          <w:szCs w:val="4"/>
        </w:rPr>
      </w:pPr>
      <w:r>
        <w:rPr>
          <w:sz w:val="4"/>
          <w:szCs w:val="4"/>
        </w:rPr>
      </w:r>
      <w:bookmarkStart w:id="148" w:name="zba3aab68c6ed4056824d8b2812cf6656"/>
      <w:bookmarkStart w:id="149" w:name="zba3aab68c6ed4056824d8b2812cf6656"/>
      <w:bookmarkEnd w:id="149"/>
    </w:p>
    <w:tbl>
      <w:tblPr>
        <w:tblW w:w="6018" w:type="dxa"/>
        <w:jc w:val="left"/>
        <w:tblInd w:w="0" w:type="dxa"/>
        <w:tblLayout w:type="fixed"/>
        <w:tblCellMar>
          <w:top w:w="0" w:type="dxa"/>
          <w:left w:w="0" w:type="dxa"/>
          <w:bottom w:w="0" w:type="dxa"/>
          <w:right w:w="0" w:type="dxa"/>
        </w:tblCellMar>
      </w:tblPr>
      <w:tblGrid>
        <w:gridCol w:w="38"/>
        <w:gridCol w:w="335"/>
        <w:gridCol w:w="5645"/>
      </w:tblGrid>
      <w:tr>
        <w:trPr/>
        <w:tc>
          <w:tcPr>
            <w:tcW w:w="38" w:type="dxa"/>
            <w:tcBorders/>
            <w:vAlign w:val="center"/>
          </w:tcPr>
          <w:p>
            <w:pPr>
              <w:pStyle w:val="TableContents"/>
              <w:bidi w:val="0"/>
              <w:spacing w:before="0" w:after="283"/>
              <w:jc w:val="left"/>
              <w:rPr/>
            </w:pPr>
            <w:r>
              <w:rPr/>
            </w:r>
          </w:p>
        </w:tc>
        <w:tc>
          <w:tcPr>
            <w:tcW w:w="335" w:type="dxa"/>
            <w:tcBorders/>
            <w:vAlign w:val="center"/>
          </w:tcPr>
          <w:p>
            <w:pPr>
              <w:pStyle w:val="TableContents"/>
              <w:bidi w:val="0"/>
              <w:spacing w:before="0" w:after="283"/>
              <w:jc w:val="left"/>
              <w:rPr/>
            </w:pPr>
            <w:r>
              <w:rPr/>
              <w:t>(B)</w:t>
            </w:r>
          </w:p>
        </w:tc>
        <w:tc>
          <w:tcPr>
            <w:tcW w:w="5645" w:type="dxa"/>
            <w:tcBorders/>
            <w:vAlign w:val="center"/>
          </w:tcPr>
          <w:p>
            <w:pPr>
              <w:pStyle w:val="TableContents"/>
              <w:bidi w:val="0"/>
              <w:spacing w:before="0" w:after="0"/>
              <w:jc w:val="left"/>
              <w:rPr/>
            </w:pPr>
            <w:r>
              <w:rPr/>
              <w:t>to the Insurance Fund are not less that one of the following:</w:t>
            </w:r>
          </w:p>
        </w:tc>
      </w:tr>
    </w:tbl>
    <w:p>
      <w:pPr>
        <w:pStyle w:val="TextBody"/>
        <w:bidi w:val="0"/>
        <w:spacing w:lineRule="auto" w:line="300" w:before="0" w:after="0"/>
        <w:jc w:val="left"/>
        <w:rPr>
          <w:color w:val="000000"/>
        </w:rPr>
      </w:pPr>
      <w:r>
        <w:rPr>
          <w:color w:val="000000"/>
        </w:rPr>
        <w:t> </w:t>
      </w:r>
    </w:p>
    <w:p>
      <w:pPr>
        <w:pStyle w:val="Normal"/>
        <w:bidi w:val="0"/>
        <w:spacing w:before="0" w:after="0"/>
        <w:jc w:val="left"/>
        <w:rPr>
          <w:sz w:val="4"/>
          <w:szCs w:val="4"/>
        </w:rPr>
      </w:pPr>
      <w:r>
        <w:rPr>
          <w:sz w:val="4"/>
          <w:szCs w:val="4"/>
        </w:rPr>
      </w:r>
      <w:bookmarkStart w:id="150" w:name="z6c4cc848fb1443648288e1bc2b40001f"/>
      <w:bookmarkStart w:id="151" w:name="z6c4cc848fb1443648288e1bc2b40001f"/>
      <w:bookmarkEnd w:id="151"/>
    </w:p>
    <w:tbl>
      <w:tblPr>
        <w:tblW w:w="10205" w:type="dxa"/>
        <w:jc w:val="left"/>
        <w:tblInd w:w="0" w:type="dxa"/>
        <w:tblLayout w:type="fixed"/>
        <w:tblCellMar>
          <w:top w:w="0" w:type="dxa"/>
          <w:left w:w="0" w:type="dxa"/>
          <w:bottom w:w="0" w:type="dxa"/>
          <w:right w:w="0" w:type="dxa"/>
        </w:tblCellMar>
      </w:tblPr>
      <w:tblGrid>
        <w:gridCol w:w="38"/>
        <w:gridCol w:w="234"/>
        <w:gridCol w:w="9933"/>
      </w:tblGrid>
      <w:tr>
        <w:trPr/>
        <w:tc>
          <w:tcPr>
            <w:tcW w:w="38" w:type="dxa"/>
            <w:tcBorders/>
            <w:vAlign w:val="center"/>
          </w:tcPr>
          <w:p>
            <w:pPr>
              <w:pStyle w:val="TableContents"/>
              <w:bidi w:val="0"/>
              <w:spacing w:before="0" w:after="283"/>
              <w:jc w:val="left"/>
              <w:rPr/>
            </w:pPr>
            <w:r>
              <w:rPr/>
            </w:r>
          </w:p>
        </w:tc>
        <w:tc>
          <w:tcPr>
            <w:tcW w:w="234" w:type="dxa"/>
            <w:tcBorders/>
            <w:vAlign w:val="center"/>
          </w:tcPr>
          <w:p>
            <w:pPr>
              <w:pStyle w:val="TableContents"/>
              <w:bidi w:val="0"/>
              <w:spacing w:before="0" w:after="283"/>
              <w:jc w:val="left"/>
              <w:rPr/>
            </w:pPr>
            <w:r>
              <w:rPr/>
              <w:t>(1)</w:t>
            </w:r>
          </w:p>
        </w:tc>
        <w:tc>
          <w:tcPr>
            <w:tcW w:w="9933" w:type="dxa"/>
            <w:tcBorders/>
            <w:vAlign w:val="center"/>
          </w:tcPr>
          <w:p>
            <w:pPr>
              <w:pStyle w:val="TableContents"/>
              <w:bidi w:val="0"/>
              <w:spacing w:before="0" w:after="0"/>
              <w:jc w:val="both"/>
              <w:rPr/>
            </w:pPr>
            <w:r>
              <w:rPr/>
              <w:t xml:space="preserve">13.33% of the Exempt Wages if the employer pays the employee additional payments to insure his monthly income in case of work disability, in a plan approved by the Supervisor of the Capital Market, Insurance and Savings in the Finance Ministry, at the lower of, a rate required to insure 75% of the Exempt Wages or 2.5% of the Exempt Wages </w:t>
            </w:r>
            <w:r>
              <w:rPr>
                <w:b/>
              </w:rPr>
              <w:t>(“Disability Payment”</w:t>
            </w:r>
            <w:r>
              <w:rPr/>
              <w:t>).</w:t>
            </w:r>
          </w:p>
        </w:tc>
      </w:tr>
    </w:tbl>
    <w:p>
      <w:pPr>
        <w:pStyle w:val="TextBody"/>
        <w:bidi w:val="0"/>
        <w:spacing w:lineRule="auto" w:line="300" w:before="0" w:after="0"/>
        <w:jc w:val="left"/>
        <w:rPr/>
      </w:pPr>
      <w:r>
        <w:rPr/>
      </w:r>
    </w:p>
    <w:p>
      <w:pPr>
        <w:pStyle w:val="Normal"/>
        <w:bidi w:val="0"/>
        <w:spacing w:before="0" w:after="0"/>
        <w:jc w:val="left"/>
        <w:rPr>
          <w:sz w:val="4"/>
          <w:szCs w:val="4"/>
        </w:rPr>
      </w:pPr>
      <w:r>
        <w:rPr>
          <w:sz w:val="4"/>
          <w:szCs w:val="4"/>
        </w:rPr>
      </w:r>
      <w:bookmarkStart w:id="152" w:name="z98607311b0ce4105a891caff951b50f4"/>
      <w:bookmarkStart w:id="153" w:name="z98607311b0ce4105a891caff951b50f4"/>
      <w:bookmarkEnd w:id="153"/>
    </w:p>
    <w:tbl>
      <w:tblPr>
        <w:tblW w:w="10205" w:type="dxa"/>
        <w:jc w:val="left"/>
        <w:tblInd w:w="0" w:type="dxa"/>
        <w:tblLayout w:type="fixed"/>
        <w:tblCellMar>
          <w:top w:w="0" w:type="dxa"/>
          <w:left w:w="0" w:type="dxa"/>
          <w:bottom w:w="0" w:type="dxa"/>
          <w:right w:w="0" w:type="dxa"/>
        </w:tblCellMar>
      </w:tblPr>
      <w:tblGrid>
        <w:gridCol w:w="38"/>
        <w:gridCol w:w="231"/>
        <w:gridCol w:w="9936"/>
      </w:tblGrid>
      <w:tr>
        <w:trPr/>
        <w:tc>
          <w:tcPr>
            <w:tcW w:w="38" w:type="dxa"/>
            <w:tcBorders/>
            <w:vAlign w:val="center"/>
          </w:tcPr>
          <w:p>
            <w:pPr>
              <w:pStyle w:val="TableContents"/>
              <w:bidi w:val="0"/>
              <w:spacing w:before="0" w:after="283"/>
              <w:jc w:val="left"/>
              <w:rPr/>
            </w:pPr>
            <w:r>
              <w:rPr/>
            </w:r>
          </w:p>
        </w:tc>
        <w:tc>
          <w:tcPr>
            <w:tcW w:w="231" w:type="dxa"/>
            <w:tcBorders/>
            <w:vAlign w:val="center"/>
          </w:tcPr>
          <w:p>
            <w:pPr>
              <w:pStyle w:val="TableContents"/>
              <w:bidi w:val="0"/>
              <w:spacing w:before="0" w:after="283"/>
              <w:jc w:val="left"/>
              <w:rPr/>
            </w:pPr>
            <w:r>
              <w:rPr/>
              <w:t>(2)</w:t>
            </w:r>
          </w:p>
        </w:tc>
        <w:tc>
          <w:tcPr>
            <w:tcW w:w="9936" w:type="dxa"/>
            <w:tcBorders/>
            <w:vAlign w:val="center"/>
          </w:tcPr>
          <w:p>
            <w:pPr>
              <w:pStyle w:val="TableContents"/>
              <w:bidi w:val="0"/>
              <w:spacing w:before="0" w:after="0"/>
              <w:jc w:val="both"/>
              <w:rPr/>
            </w:pPr>
            <w:r>
              <w:rPr/>
              <w:t>11% of the Exempt Wages if the employer pays an additional Disability Payment and in this case the Employer Payments will constitute only 72% of the employee’s severance pay; if, in addition to the abovementioned sum, the employer pays 2.33% of the Exempt Wages for the purpose of Severance Pay completion to providence fund or Insurance Funds, the Employer Payments will constitute 100% of the severance pay.</w:t>
            </w:r>
          </w:p>
        </w:tc>
      </w:tr>
    </w:tbl>
    <w:p>
      <w:pPr>
        <w:pStyle w:val="TextBody"/>
        <w:bidi w:val="0"/>
        <w:spacing w:lineRule="auto" w:line="300" w:before="0" w:after="0"/>
        <w:jc w:val="left"/>
        <w:rPr>
          <w:color w:val="000000"/>
        </w:rPr>
      </w:pPr>
      <w:r>
        <w:rPr>
          <w:color w:val="000000"/>
        </w:rPr>
        <w:t> </w:t>
      </w:r>
    </w:p>
    <w:p>
      <w:pPr>
        <w:pStyle w:val="Normal"/>
        <w:bidi w:val="0"/>
        <w:spacing w:before="0" w:after="0"/>
        <w:jc w:val="left"/>
        <w:rPr>
          <w:sz w:val="4"/>
          <w:szCs w:val="4"/>
        </w:rPr>
      </w:pPr>
      <w:r>
        <w:rPr>
          <w:sz w:val="4"/>
          <w:szCs w:val="4"/>
        </w:rPr>
      </w:r>
      <w:bookmarkStart w:id="154" w:name="z8e4a3a5983f64a498d4c2d1ddd150089"/>
      <w:bookmarkStart w:id="155" w:name="z8e4a3a5983f64a498d4c2d1ddd150089"/>
      <w:bookmarkEnd w:id="155"/>
    </w:p>
    <w:tbl>
      <w:tblPr>
        <w:tblW w:w="10205" w:type="dxa"/>
        <w:jc w:val="left"/>
        <w:tblInd w:w="0" w:type="dxa"/>
        <w:tblLayout w:type="fixed"/>
        <w:tblCellMar>
          <w:top w:w="0" w:type="dxa"/>
          <w:left w:w="0" w:type="dxa"/>
          <w:bottom w:w="0" w:type="dxa"/>
          <w:right w:w="0" w:type="dxa"/>
        </w:tblCellMar>
      </w:tblPr>
      <w:tblGrid>
        <w:gridCol w:w="38"/>
        <w:gridCol w:w="260"/>
        <w:gridCol w:w="9907"/>
      </w:tblGrid>
      <w:tr>
        <w:trPr/>
        <w:tc>
          <w:tcPr>
            <w:tcW w:w="38" w:type="dxa"/>
            <w:tcBorders/>
            <w:vAlign w:val="center"/>
          </w:tcPr>
          <w:p>
            <w:pPr>
              <w:pStyle w:val="TableContents"/>
              <w:bidi w:val="0"/>
              <w:spacing w:before="0" w:after="283"/>
              <w:jc w:val="left"/>
              <w:rPr/>
            </w:pPr>
            <w:r>
              <w:rPr/>
            </w:r>
          </w:p>
        </w:tc>
        <w:tc>
          <w:tcPr>
            <w:tcW w:w="260" w:type="dxa"/>
            <w:tcBorders/>
            <w:vAlign w:val="center"/>
          </w:tcPr>
          <w:p>
            <w:pPr>
              <w:pStyle w:val="TableContents"/>
              <w:bidi w:val="0"/>
              <w:spacing w:before="0" w:after="283"/>
              <w:jc w:val="left"/>
              <w:rPr/>
            </w:pPr>
            <w:r>
              <w:rPr/>
              <w:t>(2)</w:t>
            </w:r>
          </w:p>
        </w:tc>
        <w:tc>
          <w:tcPr>
            <w:tcW w:w="9907" w:type="dxa"/>
            <w:tcBorders/>
            <w:vAlign w:val="center"/>
          </w:tcPr>
          <w:p>
            <w:pPr>
              <w:pStyle w:val="TableContents"/>
              <w:bidi w:val="0"/>
              <w:spacing w:before="0" w:after="0"/>
              <w:jc w:val="left"/>
              <w:rPr/>
            </w:pPr>
            <w:r>
              <w:rPr/>
              <w:t>A written agreement must be made between the employer and employee no later than 3 months after the commencement of the Employer Payments that include –</w:t>
            </w:r>
          </w:p>
        </w:tc>
      </w:tr>
    </w:tbl>
    <w:p>
      <w:pPr>
        <w:pStyle w:val="TextBody"/>
        <w:bidi w:val="0"/>
        <w:spacing w:lineRule="auto" w:line="300" w:before="0" w:after="0"/>
        <w:jc w:val="left"/>
        <w:rPr>
          <w:color w:val="000000"/>
        </w:rPr>
      </w:pPr>
      <w:r>
        <w:rPr>
          <w:color w:val="000000"/>
        </w:rPr>
        <w:t> </w:t>
      </w:r>
    </w:p>
    <w:p>
      <w:pPr>
        <w:pStyle w:val="Normal"/>
        <w:bidi w:val="0"/>
        <w:spacing w:before="0" w:after="0"/>
        <w:jc w:val="left"/>
        <w:rPr>
          <w:sz w:val="4"/>
          <w:szCs w:val="4"/>
        </w:rPr>
      </w:pPr>
      <w:r>
        <w:rPr>
          <w:sz w:val="4"/>
          <w:szCs w:val="4"/>
        </w:rPr>
      </w:r>
      <w:bookmarkStart w:id="156" w:name="z50eb86a1252247f9b01268d2b9999bc9"/>
      <w:bookmarkStart w:id="157" w:name="z50eb86a1252247f9b01268d2b9999bc9"/>
      <w:bookmarkEnd w:id="157"/>
    </w:p>
    <w:tbl>
      <w:tblPr>
        <w:tblW w:w="10205" w:type="dxa"/>
        <w:jc w:val="left"/>
        <w:tblInd w:w="0" w:type="dxa"/>
        <w:tblLayout w:type="fixed"/>
        <w:tblCellMar>
          <w:top w:w="0" w:type="dxa"/>
          <w:left w:w="0" w:type="dxa"/>
          <w:bottom w:w="0" w:type="dxa"/>
          <w:right w:w="0" w:type="dxa"/>
        </w:tblCellMar>
      </w:tblPr>
      <w:tblGrid>
        <w:gridCol w:w="38"/>
        <w:gridCol w:w="306"/>
        <w:gridCol w:w="9861"/>
      </w:tblGrid>
      <w:tr>
        <w:trPr/>
        <w:tc>
          <w:tcPr>
            <w:tcW w:w="38" w:type="dxa"/>
            <w:tcBorders/>
            <w:vAlign w:val="center"/>
          </w:tcPr>
          <w:p>
            <w:pPr>
              <w:pStyle w:val="TableContents"/>
              <w:bidi w:val="0"/>
              <w:spacing w:before="0" w:after="283"/>
              <w:jc w:val="left"/>
              <w:rPr/>
            </w:pPr>
            <w:r>
              <w:rPr/>
            </w:r>
          </w:p>
        </w:tc>
        <w:tc>
          <w:tcPr>
            <w:tcW w:w="306" w:type="dxa"/>
            <w:tcBorders/>
            <w:vAlign w:val="center"/>
          </w:tcPr>
          <w:p>
            <w:pPr>
              <w:pStyle w:val="TableContents"/>
              <w:bidi w:val="0"/>
              <w:spacing w:before="0" w:after="283"/>
              <w:jc w:val="left"/>
              <w:rPr/>
            </w:pPr>
            <w:r>
              <w:rPr/>
              <w:t>(A)</w:t>
            </w:r>
          </w:p>
        </w:tc>
        <w:tc>
          <w:tcPr>
            <w:tcW w:w="9861" w:type="dxa"/>
            <w:tcBorders/>
            <w:vAlign w:val="center"/>
          </w:tcPr>
          <w:p>
            <w:pPr>
              <w:pStyle w:val="TableContents"/>
              <w:bidi w:val="0"/>
              <w:spacing w:before="0" w:after="0"/>
              <w:jc w:val="both"/>
              <w:rPr/>
            </w:pPr>
            <w:r>
              <w:rPr/>
              <w:t>the agreement of the employee to the arrangement pursuant to this confirmation which details the Employer Payments and the name of the Pension Fund or Insurance Fund; this agreement must include a copy of this confirmation;</w:t>
            </w:r>
          </w:p>
        </w:tc>
      </w:tr>
    </w:tbl>
    <w:p>
      <w:pPr>
        <w:pStyle w:val="TextBody"/>
        <w:bidi w:val="0"/>
        <w:spacing w:lineRule="auto" w:line="300" w:before="0" w:after="0"/>
        <w:jc w:val="left"/>
        <w:rPr>
          <w:color w:val="000000"/>
        </w:rPr>
      </w:pPr>
      <w:r>
        <w:rPr>
          <w:color w:val="000000"/>
        </w:rPr>
        <w:t> </w:t>
      </w:r>
    </w:p>
    <w:p>
      <w:pPr>
        <w:pStyle w:val="Normal"/>
        <w:bidi w:val="0"/>
        <w:spacing w:before="0" w:after="0"/>
        <w:jc w:val="left"/>
        <w:rPr>
          <w:sz w:val="4"/>
          <w:szCs w:val="4"/>
        </w:rPr>
      </w:pPr>
      <w:r>
        <w:rPr>
          <w:sz w:val="4"/>
          <w:szCs w:val="4"/>
        </w:rPr>
      </w:r>
      <w:bookmarkStart w:id="158" w:name="zcf53841606d4462a8842d1a57cb9a4a6"/>
      <w:bookmarkStart w:id="159" w:name="zcf53841606d4462a8842d1a57cb9a4a6"/>
      <w:bookmarkEnd w:id="159"/>
    </w:p>
    <w:tbl>
      <w:tblPr>
        <w:tblW w:w="10205" w:type="dxa"/>
        <w:jc w:val="left"/>
        <w:tblInd w:w="0" w:type="dxa"/>
        <w:tblLayout w:type="fixed"/>
        <w:tblCellMar>
          <w:top w:w="0" w:type="dxa"/>
          <w:left w:w="0" w:type="dxa"/>
          <w:bottom w:w="0" w:type="dxa"/>
          <w:right w:w="0" w:type="dxa"/>
        </w:tblCellMar>
      </w:tblPr>
      <w:tblGrid>
        <w:gridCol w:w="38"/>
        <w:gridCol w:w="276"/>
        <w:gridCol w:w="9891"/>
      </w:tblGrid>
      <w:tr>
        <w:trPr/>
        <w:tc>
          <w:tcPr>
            <w:tcW w:w="38" w:type="dxa"/>
            <w:tcBorders/>
            <w:vAlign w:val="center"/>
          </w:tcPr>
          <w:p>
            <w:pPr>
              <w:pStyle w:val="TableContents"/>
              <w:bidi w:val="0"/>
              <w:spacing w:before="0" w:after="283"/>
              <w:jc w:val="left"/>
              <w:rPr/>
            </w:pPr>
            <w:r>
              <w:rPr/>
            </w:r>
          </w:p>
        </w:tc>
        <w:tc>
          <w:tcPr>
            <w:tcW w:w="276" w:type="dxa"/>
            <w:tcBorders/>
            <w:vAlign w:val="center"/>
          </w:tcPr>
          <w:p>
            <w:pPr>
              <w:pStyle w:val="TableContents"/>
              <w:bidi w:val="0"/>
              <w:spacing w:before="0" w:after="283"/>
              <w:jc w:val="left"/>
              <w:rPr/>
            </w:pPr>
            <w:r>
              <w:rPr/>
              <w:t>(B)</w:t>
            </w:r>
          </w:p>
        </w:tc>
        <w:tc>
          <w:tcPr>
            <w:tcW w:w="9891" w:type="dxa"/>
            <w:tcBorders/>
            <w:vAlign w:val="center"/>
          </w:tcPr>
          <w:p>
            <w:pPr>
              <w:pStyle w:val="TableContents"/>
              <w:bidi w:val="0"/>
              <w:spacing w:before="0" w:after="0"/>
              <w:jc w:val="both"/>
              <w:rPr/>
            </w:pPr>
            <w:r>
              <w:rPr/>
              <w:t>an advanced waiver of the employer for any right that he could have to have his payments refunded unless the employee’s right to severance pay is denied by judgment according to sections 16 or 17 of the Law, and in case the employee withdrew monies from the Pension Fund or Insurance Fund not for an Approved Event; for this matter, Approved Event or purpose means death, disablement or retirement at the age of 60 or over.</w:t>
            </w:r>
          </w:p>
        </w:tc>
      </w:tr>
    </w:tbl>
    <w:p>
      <w:pPr>
        <w:pStyle w:val="TextBody"/>
        <w:bidi w:val="0"/>
        <w:spacing w:lineRule="auto" w:line="300" w:before="0" w:after="0"/>
        <w:jc w:val="left"/>
        <w:rPr/>
      </w:pPr>
      <w:r>
        <w:rPr/>
      </w:r>
    </w:p>
    <w:p>
      <w:pPr>
        <w:pStyle w:val="Normal"/>
        <w:bidi w:val="0"/>
        <w:spacing w:before="0" w:after="0"/>
        <w:jc w:val="left"/>
        <w:rPr>
          <w:sz w:val="4"/>
          <w:szCs w:val="4"/>
        </w:rPr>
      </w:pPr>
      <w:r>
        <w:rPr>
          <w:sz w:val="4"/>
          <w:szCs w:val="4"/>
        </w:rPr>
      </w:r>
      <w:bookmarkStart w:id="160" w:name="zf3c40cb715184f96b5bd53835c6b05d6"/>
      <w:bookmarkStart w:id="161" w:name="zf3c40cb715184f96b5bd53835c6b05d6"/>
      <w:bookmarkEnd w:id="161"/>
    </w:p>
    <w:tbl>
      <w:tblPr>
        <w:tblW w:w="10205" w:type="dxa"/>
        <w:jc w:val="left"/>
        <w:tblInd w:w="0" w:type="dxa"/>
        <w:tblLayout w:type="fixed"/>
        <w:tblCellMar>
          <w:top w:w="0" w:type="dxa"/>
          <w:left w:w="0" w:type="dxa"/>
          <w:bottom w:w="0" w:type="dxa"/>
          <w:right w:w="0" w:type="dxa"/>
        </w:tblCellMar>
      </w:tblPr>
      <w:tblGrid>
        <w:gridCol w:w="262"/>
        <w:gridCol w:w="9943"/>
      </w:tblGrid>
      <w:tr>
        <w:trPr/>
        <w:tc>
          <w:tcPr>
            <w:tcW w:w="262" w:type="dxa"/>
            <w:tcBorders/>
            <w:vAlign w:val="center"/>
          </w:tcPr>
          <w:p>
            <w:pPr>
              <w:pStyle w:val="TableContents"/>
              <w:bidi w:val="0"/>
              <w:spacing w:before="0" w:after="283"/>
              <w:jc w:val="left"/>
              <w:rPr/>
            </w:pPr>
            <w:r>
              <w:rPr/>
              <w:t>(3)</w:t>
            </w:r>
          </w:p>
        </w:tc>
        <w:tc>
          <w:tcPr>
            <w:tcW w:w="9943" w:type="dxa"/>
            <w:tcBorders/>
            <w:vAlign w:val="center"/>
          </w:tcPr>
          <w:p>
            <w:pPr>
              <w:pStyle w:val="TableContents"/>
              <w:bidi w:val="0"/>
              <w:spacing w:before="0" w:after="0"/>
              <w:jc w:val="left"/>
              <w:rPr/>
            </w:pPr>
            <w:r>
              <w:rPr/>
              <w:t>This confirmation does not derogate from the employee’s entitlement to severance pay according to the Law, Collective Agreement, Extension Order or personal employment agreement, for any salary above the Exempt Wages.</w:t>
            </w:r>
          </w:p>
        </w:tc>
      </w:tr>
    </w:tbl>
    <w:p>
      <w:pPr>
        <w:pStyle w:val="TextBody"/>
        <w:bidi w:val="0"/>
        <w:spacing w:lineRule="auto" w:line="300" w:before="0" w:after="0"/>
        <w:ind w:left="0" w:right="366" w:hanging="0"/>
        <w:jc w:val="right"/>
        <w:rPr/>
      </w:pPr>
      <w:r>
        <w:rPr/>
      </w:r>
    </w:p>
    <w:p>
      <w:pPr>
        <w:pStyle w:val="TextBody"/>
        <w:bidi w:val="0"/>
        <w:spacing w:lineRule="auto" w:line="300" w:before="0" w:after="0"/>
        <w:jc w:val="left"/>
        <w:rPr>
          <w:rFonts w:ascii="Times New Roman;Times;serif" w:hAnsi="Times New Roman;Times;serif"/>
          <w:color w:val="000000"/>
          <w:sz w:val="20"/>
        </w:rPr>
      </w:pPr>
      <w:r>
        <w:rPr>
          <w:rFonts w:ascii="Times New Roman;Times;serif" w:hAnsi="Times New Roman;Times;serif"/>
          <w:color w:val="000000"/>
          <w:sz w:val="20"/>
        </w:rPr>
        <w:t>Employee: __________________</w:t>
      </w:r>
    </w:p>
    <w:p>
      <w:pPr>
        <w:pStyle w:val="TextBody"/>
        <w:bidi w:val="0"/>
        <w:spacing w:lineRule="auto" w:line="300" w:before="0" w:after="0"/>
        <w:jc w:val="left"/>
        <w:rPr/>
      </w:pPr>
      <w:r>
        <w:rPr/>
      </w:r>
    </w:p>
    <w:p>
      <w:pPr>
        <w:pStyle w:val="HorizontalLine"/>
        <w:pBdr>
          <w:bottom w:val="single" w:sz="12" w:space="0" w:color="808080"/>
        </w:pBdr>
        <w:bidi w:val="0"/>
        <w:spacing w:before="200" w:after="200"/>
        <w:jc w:val="left"/>
        <w:rPr/>
      </w:pPr>
      <w:r>
        <w:rPr/>
      </w:r>
    </w:p>
    <w:p>
      <w:pPr>
        <w:pStyle w:val="TextBody"/>
        <w:bidi w:val="0"/>
        <w:spacing w:lineRule="auto" w:line="300" w:before="0" w:after="0"/>
        <w:jc w:val="left"/>
        <w:rPr/>
      </w:pPr>
      <w:r>
        <w:rPr/>
      </w:r>
    </w:p>
    <w:p>
      <w:pPr>
        <w:pStyle w:val="TextBody"/>
        <w:bidi w:val="0"/>
        <w:spacing w:lineRule="auto" w:line="300" w:before="0" w:after="0"/>
        <w:jc w:val="center"/>
        <w:rPr>
          <w:rFonts w:ascii="Times New Roman;Times;serif" w:hAnsi="Times New Roman;Times;serif"/>
          <w:b/>
          <w:color w:val="000000"/>
          <w:sz w:val="20"/>
        </w:rPr>
      </w:pPr>
      <w:r>
        <w:rPr>
          <w:rFonts w:ascii="Times New Roman;Times;serif" w:hAnsi="Times New Roman;Times;serif"/>
          <w:b/>
          <w:color w:val="000000"/>
          <w:sz w:val="20"/>
        </w:rPr>
        <w:t>EXHIBIT D</w:t>
      </w:r>
    </w:p>
    <w:p>
      <w:pPr>
        <w:pStyle w:val="TextBody"/>
        <w:bidi w:val="0"/>
        <w:spacing w:lineRule="auto" w:line="300" w:before="0" w:after="0"/>
        <w:jc w:val="left"/>
        <w:rPr/>
      </w:pPr>
      <w:r>
        <w:rPr/>
      </w:r>
    </w:p>
    <w:p>
      <w:pPr>
        <w:pStyle w:val="TextBody"/>
        <w:bidi w:val="0"/>
        <w:spacing w:lineRule="auto" w:line="300" w:before="0" w:after="0"/>
        <w:jc w:val="center"/>
        <w:rPr>
          <w:rFonts w:ascii="Times New Roman;Times;serif" w:hAnsi="Times New Roman;Times;serif"/>
          <w:color w:val="000000"/>
          <w:sz w:val="20"/>
        </w:rPr>
      </w:pPr>
      <w:r>
        <w:rPr>
          <w:rFonts w:ascii="Times New Roman;Times;serif" w:hAnsi="Times New Roman;Times;serif"/>
          <w:color w:val="000000"/>
          <w:sz w:val="20"/>
        </w:rPr>
        <w:t xml:space="preserve">SOLAREDGE TECHNOLOGIES, INC. </w:t>
      </w:r>
    </w:p>
    <w:p>
      <w:pPr>
        <w:pStyle w:val="TextBody"/>
        <w:bidi w:val="0"/>
        <w:spacing w:lineRule="auto" w:line="300" w:before="0" w:after="0"/>
        <w:ind w:left="3060" w:right="2693" w:hanging="0"/>
        <w:jc w:val="center"/>
        <w:rPr/>
      </w:pPr>
      <w:r>
        <w:rPr/>
      </w:r>
    </w:p>
    <w:p>
      <w:pPr>
        <w:pStyle w:val="TextBody"/>
        <w:bidi w:val="0"/>
        <w:spacing w:lineRule="auto" w:line="300" w:before="0" w:after="0"/>
        <w:jc w:val="center"/>
        <w:rPr>
          <w:rFonts w:ascii="Times New Roman;Times;serif" w:hAnsi="Times New Roman;Times;serif"/>
          <w:color w:val="000000"/>
          <w:sz w:val="20"/>
        </w:rPr>
      </w:pPr>
      <w:r>
        <w:rPr>
          <w:rFonts w:ascii="Times New Roman;Times;serif" w:hAnsi="Times New Roman;Times;serif"/>
          <w:color w:val="000000"/>
          <w:sz w:val="20"/>
        </w:rPr>
        <w:t>EMPLOYEE CODE OF CONDUCT</w:t>
      </w:r>
    </w:p>
    <w:p>
      <w:pPr>
        <w:pStyle w:val="TextBody"/>
        <w:bidi w:val="0"/>
        <w:spacing w:lineRule="auto" w:line="300" w:before="0" w:after="0"/>
        <w:jc w:val="left"/>
        <w:rPr>
          <w:color w:val="000000"/>
        </w:rPr>
      </w:pPr>
      <w:r>
        <w:rPr>
          <w:color w:val="000000"/>
        </w:rPr>
        <w:t> </w:t>
      </w:r>
    </w:p>
    <w:p>
      <w:pPr>
        <w:pStyle w:val="Normal"/>
        <w:bidi w:val="0"/>
        <w:spacing w:before="0" w:after="0"/>
        <w:jc w:val="left"/>
        <w:rPr>
          <w:sz w:val="4"/>
          <w:szCs w:val="4"/>
        </w:rPr>
      </w:pPr>
      <w:r>
        <w:rPr>
          <w:sz w:val="4"/>
          <w:szCs w:val="4"/>
        </w:rPr>
      </w:r>
      <w:bookmarkStart w:id="162" w:name="z25ad0a60f29946a29c69668174e0afd9"/>
      <w:bookmarkStart w:id="163" w:name="z25ad0a60f29946a29c69668174e0afd9"/>
      <w:bookmarkEnd w:id="163"/>
    </w:p>
    <w:tbl>
      <w:tblPr>
        <w:tblW w:w="1218" w:type="dxa"/>
        <w:jc w:val="left"/>
        <w:tblInd w:w="0" w:type="dxa"/>
        <w:tblLayout w:type="fixed"/>
        <w:tblCellMar>
          <w:top w:w="0" w:type="dxa"/>
          <w:left w:w="0" w:type="dxa"/>
          <w:bottom w:w="0" w:type="dxa"/>
          <w:right w:w="0" w:type="dxa"/>
        </w:tblCellMar>
      </w:tblPr>
      <w:tblGrid>
        <w:gridCol w:w="38"/>
        <w:gridCol w:w="170"/>
        <w:gridCol w:w="1010"/>
      </w:tblGrid>
      <w:tr>
        <w:trPr/>
        <w:tc>
          <w:tcPr>
            <w:tcW w:w="38" w:type="dxa"/>
            <w:tcBorders/>
            <w:vAlign w:val="center"/>
          </w:tcPr>
          <w:p>
            <w:pPr>
              <w:pStyle w:val="TableContents"/>
              <w:bidi w:val="0"/>
              <w:spacing w:before="0" w:after="283"/>
              <w:jc w:val="left"/>
              <w:rPr/>
            </w:pPr>
            <w:r>
              <w:rPr/>
            </w:r>
          </w:p>
        </w:tc>
        <w:tc>
          <w:tcPr>
            <w:tcW w:w="170" w:type="dxa"/>
            <w:tcBorders/>
            <w:vAlign w:val="center"/>
          </w:tcPr>
          <w:p>
            <w:pPr>
              <w:pStyle w:val="TableContents"/>
              <w:bidi w:val="0"/>
              <w:spacing w:before="0" w:after="283"/>
              <w:jc w:val="left"/>
              <w:rPr>
                <w:b/>
              </w:rPr>
            </w:pPr>
            <w:r>
              <w:rPr>
                <w:b/>
              </w:rPr>
              <w:t>I.</w:t>
            </w:r>
          </w:p>
        </w:tc>
        <w:tc>
          <w:tcPr>
            <w:tcW w:w="1010" w:type="dxa"/>
            <w:tcBorders/>
            <w:vAlign w:val="center"/>
          </w:tcPr>
          <w:p>
            <w:pPr>
              <w:pStyle w:val="TableContents"/>
              <w:bidi w:val="0"/>
              <w:spacing w:before="0" w:after="0"/>
              <w:jc w:val="left"/>
              <w:rPr>
                <w:b/>
                <w:u w:val="single"/>
              </w:rPr>
            </w:pPr>
            <w:r>
              <w:rPr>
                <w:b/>
                <w:u w:val="single"/>
              </w:rPr>
              <w:t>Overview</w:t>
            </w:r>
          </w:p>
        </w:tc>
      </w:tr>
    </w:tbl>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720" w:right="351" w:firstLine="566"/>
        <w:jc w:val="both"/>
        <w:rPr>
          <w:rFonts w:ascii="Times New Roman;Times;serif" w:hAnsi="Times New Roman;Times;serif"/>
          <w:color w:val="000000"/>
          <w:sz w:val="20"/>
        </w:rPr>
      </w:pPr>
      <w:r>
        <w:rPr>
          <w:rFonts w:ascii="Times New Roman;Times;serif" w:hAnsi="Times New Roman;Times;serif"/>
          <w:color w:val="000000"/>
          <w:sz w:val="20"/>
        </w:rPr>
        <w:t>SolarEdge Technologies, Inc. conducts its business in accordance with the highest ethical standards of corporate leadership and citizenship and expects all its employees to act in accordance with the highest standards of personal and professional integrity. This Code of Conduct (this “</w:t>
      </w:r>
      <w:r>
        <w:rPr>
          <w:rFonts w:ascii="Times New Roman;Times;serif" w:hAnsi="Times New Roman;Times;serif"/>
          <w:b/>
          <w:color w:val="000000"/>
          <w:sz w:val="20"/>
        </w:rPr>
        <w:t>Code</w:t>
      </w:r>
      <w:r>
        <w:rPr>
          <w:rFonts w:ascii="Times New Roman;Times;serif" w:hAnsi="Times New Roman;Times;serif"/>
          <w:color w:val="000000"/>
          <w:sz w:val="20"/>
        </w:rPr>
        <w:t>”) applies to all officers and employees of SolarEdge Technologies, Inc., including all subsidiaries (together, the “</w:t>
      </w:r>
      <w:r>
        <w:rPr>
          <w:rFonts w:ascii="Times New Roman;Times;serif" w:hAnsi="Times New Roman;Times;serif"/>
          <w:b/>
          <w:color w:val="000000"/>
          <w:sz w:val="20"/>
        </w:rPr>
        <w:t>Company</w:t>
      </w:r>
      <w:r>
        <w:rPr>
          <w:rFonts w:ascii="Times New Roman;Times;serif" w:hAnsi="Times New Roman;Times;serif"/>
          <w:color w:val="000000"/>
          <w:sz w:val="20"/>
        </w:rPr>
        <w:t>”) and service providers offering services that are similar in nature to employee services. In the conduct of Company business, all employees shall be guided by the principles described in this Code.</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720" w:right="359" w:firstLine="566"/>
        <w:jc w:val="both"/>
        <w:rPr>
          <w:rFonts w:ascii="Times New Roman;Times;serif" w:hAnsi="Times New Roman;Times;serif"/>
          <w:color w:val="000000"/>
          <w:sz w:val="20"/>
        </w:rPr>
      </w:pPr>
      <w:r>
        <w:rPr>
          <w:rFonts w:ascii="Times New Roman;Times;serif" w:hAnsi="Times New Roman;Times;serif"/>
          <w:color w:val="000000"/>
          <w:sz w:val="20"/>
        </w:rPr>
        <w:t>No code or policy can anticipate every situation or provide definitive answers to all questions that may arise. Accordingly, this Code is intended to highlight areas of ethical risk, provide guidance in recognizing and dealing with ethical issues and establish mechanisms to report unethical conduct. Additional policies and procedures that supplement those contained in this Code can be found in on the Company’s intranet website.</w:t>
      </w:r>
    </w:p>
    <w:p>
      <w:pPr>
        <w:pStyle w:val="TextBody"/>
        <w:bidi w:val="0"/>
        <w:spacing w:lineRule="auto" w:line="300" w:before="0" w:after="0"/>
        <w:jc w:val="left"/>
        <w:rPr/>
      </w:pPr>
      <w:r>
        <w:rPr/>
      </w:r>
    </w:p>
    <w:p>
      <w:pPr>
        <w:pStyle w:val="Normal"/>
        <w:bidi w:val="0"/>
        <w:spacing w:before="0" w:after="0"/>
        <w:jc w:val="left"/>
        <w:rPr>
          <w:sz w:val="4"/>
          <w:szCs w:val="4"/>
        </w:rPr>
      </w:pPr>
      <w:r>
        <w:rPr>
          <w:sz w:val="4"/>
          <w:szCs w:val="4"/>
        </w:rPr>
      </w:r>
      <w:bookmarkStart w:id="164" w:name="z4b060fddc86249c9954c03d4c473f144"/>
      <w:bookmarkStart w:id="165" w:name="z4b060fddc86249c9954c03d4c473f144"/>
      <w:bookmarkEnd w:id="165"/>
    </w:p>
    <w:tbl>
      <w:tblPr>
        <w:tblW w:w="4773" w:type="dxa"/>
        <w:jc w:val="left"/>
        <w:tblInd w:w="0" w:type="dxa"/>
        <w:tblLayout w:type="fixed"/>
        <w:tblCellMar>
          <w:top w:w="0" w:type="dxa"/>
          <w:left w:w="0" w:type="dxa"/>
          <w:bottom w:w="0" w:type="dxa"/>
          <w:right w:w="0" w:type="dxa"/>
        </w:tblCellMar>
      </w:tblPr>
      <w:tblGrid>
        <w:gridCol w:w="38"/>
        <w:gridCol w:w="260"/>
        <w:gridCol w:w="4475"/>
      </w:tblGrid>
      <w:tr>
        <w:trPr/>
        <w:tc>
          <w:tcPr>
            <w:tcW w:w="38" w:type="dxa"/>
            <w:tcBorders/>
            <w:vAlign w:val="center"/>
          </w:tcPr>
          <w:p>
            <w:pPr>
              <w:pStyle w:val="TableContents"/>
              <w:bidi w:val="0"/>
              <w:spacing w:before="0" w:after="283"/>
              <w:jc w:val="left"/>
              <w:rPr/>
            </w:pPr>
            <w:r>
              <w:rPr/>
            </w:r>
          </w:p>
        </w:tc>
        <w:tc>
          <w:tcPr>
            <w:tcW w:w="260" w:type="dxa"/>
            <w:tcBorders/>
            <w:vAlign w:val="center"/>
          </w:tcPr>
          <w:p>
            <w:pPr>
              <w:pStyle w:val="TableContents"/>
              <w:bidi w:val="0"/>
              <w:spacing w:before="0" w:after="283"/>
              <w:jc w:val="left"/>
              <w:rPr>
                <w:b/>
              </w:rPr>
            </w:pPr>
            <w:r>
              <w:rPr>
                <w:b/>
              </w:rPr>
              <w:t>II.</w:t>
            </w:r>
          </w:p>
        </w:tc>
        <w:tc>
          <w:tcPr>
            <w:tcW w:w="4475" w:type="dxa"/>
            <w:tcBorders/>
            <w:vAlign w:val="center"/>
          </w:tcPr>
          <w:p>
            <w:pPr>
              <w:pStyle w:val="TableContents"/>
              <w:bidi w:val="0"/>
              <w:spacing w:before="0" w:after="0"/>
              <w:jc w:val="left"/>
              <w:rPr>
                <w:b/>
                <w:u w:val="single"/>
              </w:rPr>
            </w:pPr>
            <w:r>
              <w:rPr>
                <w:b/>
                <w:u w:val="single"/>
              </w:rPr>
              <w:t>Raising Questions and Reporting Violations</w:t>
            </w:r>
          </w:p>
        </w:tc>
      </w:tr>
    </w:tbl>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720" w:right="359" w:firstLine="566"/>
        <w:jc w:val="both"/>
        <w:rPr>
          <w:rFonts w:ascii="Times New Roman;Times;serif" w:hAnsi="Times New Roman;Times;serif"/>
          <w:color w:val="000000"/>
          <w:sz w:val="20"/>
        </w:rPr>
      </w:pPr>
      <w:r>
        <w:rPr>
          <w:rFonts w:ascii="Times New Roman;Times;serif" w:hAnsi="Times New Roman;Times;serif"/>
          <w:color w:val="000000"/>
          <w:sz w:val="20"/>
        </w:rPr>
        <w:t>Employees are responsible for adhering to the standards in this Code, for raising questions if they are in doubt about the best course of action and for reporting possible misconduct promptly after it comes to their attention. The Company’s General Counsel is responsible for interpreting and applying this Code.</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720" w:right="458" w:firstLine="566"/>
        <w:jc w:val="left"/>
        <w:rPr>
          <w:rFonts w:ascii="Times New Roman;Times;serif" w:hAnsi="Times New Roman;Times;serif"/>
          <w:color w:val="000000"/>
          <w:sz w:val="20"/>
        </w:rPr>
      </w:pPr>
      <w:r>
        <w:rPr>
          <w:rFonts w:ascii="Times New Roman;Times;serif" w:hAnsi="Times New Roman;Times;serif"/>
          <w:color w:val="000000"/>
          <w:sz w:val="20"/>
        </w:rPr>
        <w:t>Unless a particular provision of this Code directs otherwise, if an employee is in doubt about the propriety of any action, he or she should discuss it with a supervisor, manager, or the General Counsel. An employee who becomes aware of any conduct that he or she believes may violate this Code or any applicable law is expected to promptly report it to a supervisor, manager, or the General Counsel.</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720" w:right="0" w:firstLine="566"/>
        <w:jc w:val="left"/>
        <w:rPr>
          <w:rFonts w:ascii="Times New Roman;Times;serif" w:hAnsi="Times New Roman;Times;serif"/>
          <w:color w:val="000000"/>
          <w:sz w:val="20"/>
        </w:rPr>
      </w:pPr>
      <w:r>
        <w:rPr>
          <w:rFonts w:ascii="Times New Roman;Times;serif" w:hAnsi="Times New Roman;Times;serif"/>
          <w:color w:val="000000"/>
          <w:sz w:val="20"/>
        </w:rPr>
        <w:t>Contact information for the General Counsel is below.</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1440" w:right="0" w:hanging="0"/>
        <w:jc w:val="left"/>
        <w:rPr>
          <w:rFonts w:ascii="Times New Roman;Times;serif" w:hAnsi="Times New Roman;Times;serif"/>
          <w:color w:val="000000"/>
          <w:sz w:val="20"/>
        </w:rPr>
      </w:pPr>
      <w:r>
        <w:rPr>
          <w:rFonts w:ascii="Times New Roman;Times;serif" w:hAnsi="Times New Roman;Times;serif"/>
          <w:color w:val="000000"/>
          <w:sz w:val="20"/>
        </w:rPr>
        <w:t>Name: Dalia Litay</w:t>
      </w:r>
    </w:p>
    <w:p>
      <w:pPr>
        <w:pStyle w:val="TextBody"/>
        <w:bidi w:val="0"/>
        <w:spacing w:lineRule="auto" w:line="300" w:before="0" w:after="0"/>
        <w:ind w:left="1440" w:right="0" w:hanging="0"/>
        <w:jc w:val="left"/>
        <w:rPr>
          <w:rFonts w:ascii="Times New Roman;Times;serif" w:hAnsi="Times New Roman;Times;serif"/>
          <w:color w:val="000000"/>
          <w:sz w:val="20"/>
        </w:rPr>
      </w:pPr>
      <w:r>
        <w:rPr>
          <w:rFonts w:ascii="Times New Roman;Times;serif" w:hAnsi="Times New Roman;Times;serif"/>
          <w:color w:val="000000"/>
          <w:sz w:val="20"/>
        </w:rPr>
        <w:t>Title: Chief Legal Officer</w:t>
      </w:r>
    </w:p>
    <w:p>
      <w:pPr>
        <w:pStyle w:val="TextBody"/>
        <w:bidi w:val="0"/>
        <w:spacing w:lineRule="auto" w:line="300" w:before="0" w:after="0"/>
        <w:ind w:left="1440" w:right="0" w:hanging="0"/>
        <w:jc w:val="left"/>
        <w:rPr>
          <w:rFonts w:ascii="Times New Roman;Times;serif" w:hAnsi="Times New Roman;Times;serif"/>
          <w:color w:val="000000"/>
          <w:sz w:val="20"/>
        </w:rPr>
      </w:pPr>
      <w:r>
        <w:rPr>
          <w:rFonts w:ascii="Times New Roman;Times;serif" w:hAnsi="Times New Roman;Times;serif"/>
          <w:color w:val="000000"/>
          <w:sz w:val="20"/>
        </w:rPr>
        <w:t>Address: 1 Hamada Street, Herzliya Pituach, Israel 4673335</w:t>
      </w:r>
    </w:p>
    <w:p>
      <w:pPr>
        <w:pStyle w:val="TextBody"/>
        <w:bidi w:val="0"/>
        <w:spacing w:lineRule="auto" w:line="300" w:before="0" w:after="0"/>
        <w:ind w:left="1440" w:right="5999" w:hanging="0"/>
        <w:jc w:val="left"/>
        <w:rPr>
          <w:rFonts w:ascii="Times New Roman;Times;serif" w:hAnsi="Times New Roman;Times;serif"/>
          <w:color w:val="000000"/>
          <w:sz w:val="20"/>
        </w:rPr>
      </w:pPr>
      <w:r>
        <w:rPr>
          <w:rFonts w:ascii="Times New Roman;Times;serif" w:hAnsi="Times New Roman;Times;serif"/>
          <w:color w:val="000000"/>
          <w:sz w:val="20"/>
        </w:rPr>
        <w:t xml:space="preserve">Telephone: 972-9-957-6620 </w:t>
      </w:r>
    </w:p>
    <w:p>
      <w:pPr>
        <w:pStyle w:val="TextBody"/>
        <w:bidi w:val="0"/>
        <w:spacing w:lineRule="auto" w:line="300" w:before="0" w:after="0"/>
        <w:ind w:left="1440" w:right="5999" w:hanging="0"/>
        <w:jc w:val="left"/>
        <w:rPr>
          <w:rFonts w:ascii="Times New Roman;Times;serif" w:hAnsi="Times New Roman;Times;serif"/>
          <w:color w:val="000000"/>
          <w:sz w:val="20"/>
        </w:rPr>
      </w:pPr>
      <w:r>
        <w:rPr>
          <w:rFonts w:ascii="Times New Roman;Times;serif" w:hAnsi="Times New Roman;Times;serif"/>
          <w:color w:val="000000"/>
          <w:sz w:val="20"/>
        </w:rPr>
        <w:t>Email: dalia.litay@solaredge.com</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720" w:right="355" w:firstLine="566"/>
        <w:jc w:val="both"/>
        <w:rPr>
          <w:rFonts w:ascii="Times New Roman;Times;serif" w:hAnsi="Times New Roman;Times;serif"/>
          <w:color w:val="000000"/>
          <w:sz w:val="20"/>
        </w:rPr>
      </w:pPr>
      <w:r>
        <w:rPr>
          <w:rFonts w:ascii="Times New Roman;Times;serif" w:hAnsi="Times New Roman;Times;serif"/>
          <w:color w:val="000000"/>
          <w:sz w:val="20"/>
        </w:rPr>
        <w:t xml:space="preserve">Alternatively, employees may report complaints or concerns regarding accounting, internal accounting controls, auditing or federal securities law matters, or misconduct involving a member of the Company’s management to the Audit Committee, c/o SolarEdge Technologies, Inc., via email to </w:t>
      </w:r>
      <w:r>
        <w:rPr>
          <w:rFonts w:ascii="Times New Roman;Times;serif" w:hAnsi="Times New Roman;Times;serif"/>
          <w:b/>
          <w:color w:val="000000"/>
          <w:sz w:val="20"/>
        </w:rPr>
        <w:t>audit@solaredge.com</w:t>
      </w:r>
    </w:p>
    <w:p>
      <w:pPr>
        <w:pStyle w:val="HorizontalLine"/>
        <w:pBdr>
          <w:bottom w:val="single" w:sz="12" w:space="0" w:color="808080"/>
        </w:pBdr>
        <w:bidi w:val="0"/>
        <w:spacing w:before="200" w:after="200"/>
        <w:jc w:val="left"/>
        <w:rPr/>
      </w:pPr>
      <w:r>
        <w:rPr/>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720" w:right="0" w:firstLine="566"/>
        <w:jc w:val="left"/>
        <w:rPr>
          <w:rFonts w:ascii="Times New Roman;Times;serif" w:hAnsi="Times New Roman;Times;serif"/>
          <w:color w:val="000000"/>
          <w:sz w:val="20"/>
        </w:rPr>
      </w:pPr>
      <w:r>
        <w:rPr>
          <w:rFonts w:ascii="Times New Roman;Times;serif" w:hAnsi="Times New Roman;Times;serif"/>
          <w:color w:val="000000"/>
          <w:sz w:val="20"/>
        </w:rPr>
        <w:t xml:space="preserve">Employees may also raise their concerned through an anonymous hotline hosted by the NASDAQ and available at the following link: </w:t>
      </w:r>
      <w:r>
        <w:rPr>
          <w:rFonts w:ascii="Times New Roman;Times;serif" w:hAnsi="Times New Roman;Times;serif"/>
          <w:color w:val="000000"/>
          <w:sz w:val="20"/>
          <w:u w:val="single"/>
        </w:rPr>
        <w:t>https://www.whistleblowerservices.com/sedg</w:t>
      </w:r>
      <w:r>
        <w:rPr>
          <w:rFonts w:ascii="Times New Roman;Times;serif" w:hAnsi="Times New Roman;Times;serif"/>
          <w:color w:val="000000"/>
          <w:sz w:val="20"/>
        </w:rPr>
        <w:t> or can contact this hotline anonymously by calling +1 844-373-2030 to leave a message with the Audit Committee. All voicemail messages will be electronically altered/disguised to ensure the confidentiality of the identity of a caller.</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720" w:right="0" w:firstLine="566"/>
        <w:jc w:val="left"/>
        <w:rPr>
          <w:rFonts w:ascii="Times New Roman;Times;serif" w:hAnsi="Times New Roman;Times;serif"/>
          <w:color w:val="000000"/>
          <w:sz w:val="20"/>
        </w:rPr>
      </w:pPr>
      <w:r>
        <w:rPr>
          <w:rFonts w:ascii="Times New Roman;Times;serif" w:hAnsi="Times New Roman;Times;serif"/>
          <w:color w:val="000000"/>
          <w:sz w:val="20"/>
        </w:rPr>
        <w:t>Officers should contact the General Counsel or the Chair of the Audit Committee if they have questions about this Code or wish to report potential misconduct.</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720" w:right="0" w:firstLine="566"/>
        <w:jc w:val="left"/>
        <w:rPr>
          <w:rFonts w:ascii="Times New Roman;Times;serif" w:hAnsi="Times New Roman;Times;serif"/>
          <w:color w:val="000000"/>
          <w:sz w:val="20"/>
        </w:rPr>
      </w:pPr>
      <w:r>
        <w:rPr>
          <w:rFonts w:ascii="Times New Roman;Times;serif" w:hAnsi="Times New Roman;Times;serif"/>
          <w:color w:val="000000"/>
          <w:sz w:val="20"/>
        </w:rPr>
        <w:t>Reports of potential misconduct may be made anonymously and confidentially, although individuals are encouraged to identify themselves to facilitate follow-up and investigation. Every effort will be made to protect the reporting individual’s identity. In some instances, however, it may be impossible to keep the person’s identity confidential because of the demands of conducting a thorough investigation or because of applicable legal requirements.</w:t>
      </w:r>
    </w:p>
    <w:p>
      <w:pPr>
        <w:pStyle w:val="TextBody"/>
        <w:bidi w:val="0"/>
        <w:spacing w:lineRule="auto" w:line="300" w:before="0" w:after="0"/>
        <w:jc w:val="left"/>
        <w:rPr>
          <w:color w:val="000000"/>
        </w:rPr>
      </w:pPr>
      <w:r>
        <w:rPr>
          <w:color w:val="000000"/>
        </w:rPr>
        <w:t> </w:t>
      </w:r>
    </w:p>
    <w:p>
      <w:pPr>
        <w:pStyle w:val="Normal"/>
        <w:bidi w:val="0"/>
        <w:spacing w:before="0" w:after="0"/>
        <w:jc w:val="left"/>
        <w:rPr>
          <w:sz w:val="4"/>
          <w:szCs w:val="4"/>
        </w:rPr>
      </w:pPr>
      <w:r>
        <w:rPr>
          <w:sz w:val="4"/>
          <w:szCs w:val="4"/>
        </w:rPr>
      </w:r>
      <w:bookmarkStart w:id="166" w:name="ze99ee3bd494b4e1fb11e8fed9c500828"/>
      <w:bookmarkStart w:id="167" w:name="ze99ee3bd494b4e1fb11e8fed9c500828"/>
      <w:bookmarkEnd w:id="167"/>
    </w:p>
    <w:tbl>
      <w:tblPr>
        <w:tblW w:w="1893" w:type="dxa"/>
        <w:jc w:val="left"/>
        <w:tblInd w:w="0" w:type="dxa"/>
        <w:tblLayout w:type="fixed"/>
        <w:tblCellMar>
          <w:top w:w="0" w:type="dxa"/>
          <w:left w:w="0" w:type="dxa"/>
          <w:bottom w:w="0" w:type="dxa"/>
          <w:right w:w="0" w:type="dxa"/>
        </w:tblCellMar>
      </w:tblPr>
      <w:tblGrid>
        <w:gridCol w:w="38"/>
        <w:gridCol w:w="350"/>
        <w:gridCol w:w="1505"/>
      </w:tblGrid>
      <w:tr>
        <w:trPr/>
        <w:tc>
          <w:tcPr>
            <w:tcW w:w="38" w:type="dxa"/>
            <w:tcBorders/>
            <w:vAlign w:val="center"/>
          </w:tcPr>
          <w:p>
            <w:pPr>
              <w:pStyle w:val="TableContents"/>
              <w:bidi w:val="0"/>
              <w:spacing w:before="0" w:after="283"/>
              <w:jc w:val="left"/>
              <w:rPr/>
            </w:pPr>
            <w:r>
              <w:rPr/>
            </w:r>
          </w:p>
        </w:tc>
        <w:tc>
          <w:tcPr>
            <w:tcW w:w="350" w:type="dxa"/>
            <w:tcBorders/>
            <w:vAlign w:val="center"/>
          </w:tcPr>
          <w:p>
            <w:pPr>
              <w:pStyle w:val="TableContents"/>
              <w:bidi w:val="0"/>
              <w:spacing w:before="0" w:after="283"/>
              <w:jc w:val="left"/>
              <w:rPr>
                <w:b/>
              </w:rPr>
            </w:pPr>
            <w:r>
              <w:rPr>
                <w:b/>
              </w:rPr>
              <w:t>III.</w:t>
            </w:r>
          </w:p>
        </w:tc>
        <w:tc>
          <w:tcPr>
            <w:tcW w:w="1505" w:type="dxa"/>
            <w:tcBorders/>
            <w:vAlign w:val="center"/>
          </w:tcPr>
          <w:p>
            <w:pPr>
              <w:pStyle w:val="TableContents"/>
              <w:bidi w:val="0"/>
              <w:spacing w:before="0" w:after="0"/>
              <w:jc w:val="left"/>
              <w:rPr>
                <w:b/>
                <w:u w:val="single"/>
              </w:rPr>
            </w:pPr>
            <w:r>
              <w:rPr>
                <w:b/>
                <w:u w:val="single"/>
              </w:rPr>
              <w:t>No Retaliation</w:t>
            </w:r>
          </w:p>
        </w:tc>
      </w:tr>
    </w:tbl>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720" w:right="356" w:firstLine="566"/>
        <w:jc w:val="both"/>
        <w:rPr>
          <w:rFonts w:ascii="Times New Roman;Times;serif" w:hAnsi="Times New Roman;Times;serif"/>
          <w:color w:val="000000"/>
          <w:sz w:val="20"/>
        </w:rPr>
      </w:pPr>
      <w:r>
        <w:rPr>
          <w:rFonts w:ascii="Times New Roman;Times;serif" w:hAnsi="Times New Roman;Times;serif"/>
          <w:color w:val="000000"/>
          <w:sz w:val="20"/>
        </w:rPr>
        <w:t>The Company, and applicable law, prohibit any form of retaliation for raising concerns or reporting possible misconduct in good faith. No employee will be subject to discrimination, harassment, or retaliation of any kind for reporting misconduct the employee believes in good faith to be in violation of this Code, any applicable policy or applicable law.</w:t>
      </w:r>
    </w:p>
    <w:p>
      <w:pPr>
        <w:pStyle w:val="TextBody"/>
        <w:bidi w:val="0"/>
        <w:spacing w:lineRule="auto" w:line="300" w:before="0" w:after="0"/>
        <w:jc w:val="left"/>
        <w:rPr>
          <w:color w:val="000000"/>
        </w:rPr>
      </w:pPr>
      <w:r>
        <w:rPr>
          <w:color w:val="000000"/>
        </w:rPr>
        <w:t> </w:t>
      </w:r>
    </w:p>
    <w:p>
      <w:pPr>
        <w:pStyle w:val="Normal"/>
        <w:bidi w:val="0"/>
        <w:spacing w:before="0" w:after="0"/>
        <w:jc w:val="left"/>
        <w:rPr>
          <w:sz w:val="4"/>
          <w:szCs w:val="4"/>
        </w:rPr>
      </w:pPr>
      <w:r>
        <w:rPr>
          <w:sz w:val="4"/>
          <w:szCs w:val="4"/>
        </w:rPr>
      </w:r>
      <w:bookmarkStart w:id="168" w:name="z3a1163ceac6e49eea963e1916cf15f53"/>
      <w:bookmarkStart w:id="169" w:name="z3a1163ceac6e49eea963e1916cf15f53"/>
      <w:bookmarkEnd w:id="169"/>
    </w:p>
    <w:tbl>
      <w:tblPr>
        <w:tblW w:w="2763" w:type="dxa"/>
        <w:jc w:val="left"/>
        <w:tblInd w:w="0" w:type="dxa"/>
        <w:tblLayout w:type="fixed"/>
        <w:tblCellMar>
          <w:top w:w="0" w:type="dxa"/>
          <w:left w:w="0" w:type="dxa"/>
          <w:bottom w:w="0" w:type="dxa"/>
          <w:right w:w="0" w:type="dxa"/>
        </w:tblCellMar>
      </w:tblPr>
      <w:tblGrid>
        <w:gridCol w:w="38"/>
        <w:gridCol w:w="350"/>
        <w:gridCol w:w="2375"/>
      </w:tblGrid>
      <w:tr>
        <w:trPr/>
        <w:tc>
          <w:tcPr>
            <w:tcW w:w="38" w:type="dxa"/>
            <w:tcBorders/>
            <w:vAlign w:val="center"/>
          </w:tcPr>
          <w:p>
            <w:pPr>
              <w:pStyle w:val="TableContents"/>
              <w:bidi w:val="0"/>
              <w:spacing w:before="0" w:after="283"/>
              <w:jc w:val="left"/>
              <w:rPr/>
            </w:pPr>
            <w:r>
              <w:rPr/>
            </w:r>
          </w:p>
        </w:tc>
        <w:tc>
          <w:tcPr>
            <w:tcW w:w="350" w:type="dxa"/>
            <w:tcBorders/>
            <w:vAlign w:val="center"/>
          </w:tcPr>
          <w:p>
            <w:pPr>
              <w:pStyle w:val="TableContents"/>
              <w:bidi w:val="0"/>
              <w:spacing w:before="0" w:after="283"/>
              <w:jc w:val="left"/>
              <w:rPr>
                <w:b/>
              </w:rPr>
            </w:pPr>
            <w:r>
              <w:rPr>
                <w:b/>
              </w:rPr>
              <w:t>IV.</w:t>
            </w:r>
          </w:p>
        </w:tc>
        <w:tc>
          <w:tcPr>
            <w:tcW w:w="2375" w:type="dxa"/>
            <w:tcBorders/>
            <w:vAlign w:val="center"/>
          </w:tcPr>
          <w:p>
            <w:pPr>
              <w:pStyle w:val="TableContents"/>
              <w:bidi w:val="0"/>
              <w:spacing w:before="0" w:after="0"/>
              <w:jc w:val="left"/>
              <w:rPr>
                <w:b/>
                <w:u w:val="single"/>
              </w:rPr>
            </w:pPr>
            <w:r>
              <w:rPr>
                <w:b/>
                <w:u w:val="single"/>
              </w:rPr>
              <w:t>Compliance with Laws</w:t>
            </w:r>
          </w:p>
        </w:tc>
      </w:tr>
    </w:tbl>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720" w:right="354" w:firstLine="566"/>
        <w:jc w:val="both"/>
        <w:rPr>
          <w:rFonts w:ascii="Times New Roman;Times;serif" w:hAnsi="Times New Roman;Times;serif"/>
          <w:color w:val="000000"/>
          <w:sz w:val="20"/>
        </w:rPr>
      </w:pPr>
      <w:r>
        <w:rPr>
          <w:rFonts w:ascii="Times New Roman;Times;serif" w:hAnsi="Times New Roman;Times;serif"/>
          <w:color w:val="000000"/>
          <w:sz w:val="20"/>
        </w:rPr>
        <w:t>It is the Company’s policy to comply with all laws, rules, regulations, and Company policies. It is the personal responsibility of employees to adhere honestly and in good faith to the standards and restrictions imposed by those laws, rules, regulations, and Company policies. Although no employee is expected to know the details of all these laws, rules, and regulations, it is important for employees to have a general understanding of the specific laws, rules and regulations that are relevant to their areas of responsibility at the Company. Employees should contact the General Counsel if they have questions about particular legal requirements or what the law permits.</w:t>
      </w:r>
    </w:p>
    <w:p>
      <w:pPr>
        <w:pStyle w:val="TextBody"/>
        <w:bidi w:val="0"/>
        <w:spacing w:lineRule="auto" w:line="300" w:before="0" w:after="0"/>
        <w:jc w:val="left"/>
        <w:rPr/>
      </w:pPr>
      <w:r>
        <w:rPr/>
      </w:r>
    </w:p>
    <w:p>
      <w:pPr>
        <w:pStyle w:val="Normal"/>
        <w:bidi w:val="0"/>
        <w:spacing w:before="0" w:after="0"/>
        <w:jc w:val="left"/>
        <w:rPr>
          <w:sz w:val="4"/>
          <w:szCs w:val="4"/>
        </w:rPr>
      </w:pPr>
      <w:r>
        <w:rPr>
          <w:sz w:val="4"/>
          <w:szCs w:val="4"/>
        </w:rPr>
      </w:r>
      <w:bookmarkStart w:id="170" w:name="z8a01ff0db6454c9f97849475778d1d20"/>
      <w:bookmarkStart w:id="171" w:name="z8a01ff0db6454c9f97849475778d1d20"/>
      <w:bookmarkEnd w:id="171"/>
    </w:p>
    <w:tbl>
      <w:tblPr>
        <w:tblW w:w="3003" w:type="dxa"/>
        <w:jc w:val="left"/>
        <w:tblInd w:w="0" w:type="dxa"/>
        <w:tblLayout w:type="fixed"/>
        <w:tblCellMar>
          <w:top w:w="0" w:type="dxa"/>
          <w:left w:w="0" w:type="dxa"/>
          <w:bottom w:w="0" w:type="dxa"/>
          <w:right w:w="0" w:type="dxa"/>
        </w:tblCellMar>
      </w:tblPr>
      <w:tblGrid>
        <w:gridCol w:w="38"/>
        <w:gridCol w:w="260"/>
        <w:gridCol w:w="2705"/>
      </w:tblGrid>
      <w:tr>
        <w:trPr/>
        <w:tc>
          <w:tcPr>
            <w:tcW w:w="38" w:type="dxa"/>
            <w:tcBorders/>
            <w:vAlign w:val="center"/>
          </w:tcPr>
          <w:p>
            <w:pPr>
              <w:pStyle w:val="TableContents"/>
              <w:bidi w:val="0"/>
              <w:spacing w:before="0" w:after="283"/>
              <w:jc w:val="left"/>
              <w:rPr/>
            </w:pPr>
            <w:r>
              <w:rPr/>
            </w:r>
          </w:p>
        </w:tc>
        <w:tc>
          <w:tcPr>
            <w:tcW w:w="260" w:type="dxa"/>
            <w:tcBorders/>
            <w:vAlign w:val="center"/>
          </w:tcPr>
          <w:p>
            <w:pPr>
              <w:pStyle w:val="TableContents"/>
              <w:bidi w:val="0"/>
              <w:spacing w:before="0" w:after="283"/>
              <w:jc w:val="left"/>
              <w:rPr>
                <w:b/>
              </w:rPr>
            </w:pPr>
            <w:r>
              <w:rPr>
                <w:b/>
              </w:rPr>
              <w:t>V.</w:t>
            </w:r>
          </w:p>
        </w:tc>
        <w:tc>
          <w:tcPr>
            <w:tcW w:w="2705" w:type="dxa"/>
            <w:tcBorders/>
            <w:vAlign w:val="center"/>
          </w:tcPr>
          <w:p>
            <w:pPr>
              <w:pStyle w:val="TableContents"/>
              <w:bidi w:val="0"/>
              <w:spacing w:before="0" w:after="0"/>
              <w:jc w:val="both"/>
              <w:rPr>
                <w:b/>
                <w:u w:val="single"/>
              </w:rPr>
            </w:pPr>
            <w:r>
              <w:rPr>
                <w:b/>
                <w:u w:val="single"/>
              </w:rPr>
              <w:t>Fair Dealing and Integrity</w:t>
            </w:r>
          </w:p>
        </w:tc>
      </w:tr>
    </w:tbl>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720" w:right="354" w:firstLine="566"/>
        <w:jc w:val="both"/>
        <w:rPr>
          <w:rFonts w:ascii="Times New Roman;Times;serif" w:hAnsi="Times New Roman;Times;serif"/>
          <w:color w:val="000000"/>
          <w:sz w:val="20"/>
        </w:rPr>
      </w:pPr>
      <w:r>
        <w:rPr>
          <w:rFonts w:ascii="Times New Roman;Times;serif" w:hAnsi="Times New Roman;Times;serif"/>
          <w:color w:val="000000"/>
          <w:sz w:val="20"/>
        </w:rPr>
        <w:t>Employees are responsible for the integrity and consequences of their actions. Employees are expected to strive to attain the highest level of personal performance and productivity and should treat one another with respect and courtesy. All employees are required to deal honestly, ethically, and fairly at all times with their fellow employees, customers, suppliers, competitors, local communities and other third parties.</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720" w:right="354" w:firstLine="566"/>
        <w:jc w:val="both"/>
        <w:rPr>
          <w:rFonts w:ascii="Times New Roman;Times;serif" w:hAnsi="Times New Roman;Times;serif"/>
          <w:color w:val="000000"/>
          <w:sz w:val="20"/>
        </w:rPr>
      </w:pPr>
      <w:r>
        <w:rPr>
          <w:rFonts w:ascii="Times New Roman;Times;serif" w:hAnsi="Times New Roman;Times;serif"/>
          <w:color w:val="000000"/>
          <w:sz w:val="20"/>
        </w:rPr>
        <w:t>The Company seeks to obtain competitive advantages through superior performance, never through unethical or illegal business practices. Employees should not take unfair advantage of anyone through manipulation, exaggeration, concealment, misrepresentation of facts, abuse of confidential or privileged information or like practices.</w:t>
      </w:r>
    </w:p>
    <w:p>
      <w:pPr>
        <w:pStyle w:val="HorizontalLine"/>
        <w:pBdr>
          <w:bottom w:val="single" w:sz="12" w:space="0" w:color="808080"/>
        </w:pBdr>
        <w:bidi w:val="0"/>
        <w:spacing w:before="200" w:after="200"/>
        <w:jc w:val="left"/>
        <w:rPr/>
      </w:pPr>
      <w:r>
        <w:rPr/>
      </w:r>
    </w:p>
    <w:p>
      <w:pPr>
        <w:pStyle w:val="TextBody"/>
        <w:bidi w:val="0"/>
        <w:spacing w:lineRule="auto" w:line="300" w:before="0" w:after="0"/>
        <w:jc w:val="left"/>
        <w:rPr>
          <w:color w:val="000000"/>
        </w:rPr>
      </w:pPr>
      <w:r>
        <w:rPr>
          <w:color w:val="000000"/>
        </w:rPr>
        <w:t> </w:t>
      </w:r>
    </w:p>
    <w:p>
      <w:pPr>
        <w:pStyle w:val="Normal"/>
        <w:bidi w:val="0"/>
        <w:spacing w:before="0" w:after="0"/>
        <w:jc w:val="left"/>
        <w:rPr>
          <w:sz w:val="4"/>
          <w:szCs w:val="4"/>
        </w:rPr>
      </w:pPr>
      <w:r>
        <w:rPr>
          <w:sz w:val="4"/>
          <w:szCs w:val="4"/>
        </w:rPr>
      </w:r>
      <w:bookmarkStart w:id="172" w:name="zacde3ea1c8ee40fb843c7f77e42eedb2"/>
      <w:bookmarkStart w:id="173" w:name="zacde3ea1c8ee40fb843c7f77e42eedb2"/>
      <w:bookmarkEnd w:id="173"/>
    </w:p>
    <w:tbl>
      <w:tblPr>
        <w:tblW w:w="2418" w:type="dxa"/>
        <w:jc w:val="left"/>
        <w:tblInd w:w="0" w:type="dxa"/>
        <w:tblLayout w:type="fixed"/>
        <w:tblCellMar>
          <w:top w:w="0" w:type="dxa"/>
          <w:left w:w="0" w:type="dxa"/>
          <w:bottom w:w="0" w:type="dxa"/>
          <w:right w:w="0" w:type="dxa"/>
        </w:tblCellMar>
      </w:tblPr>
      <w:tblGrid>
        <w:gridCol w:w="38"/>
        <w:gridCol w:w="350"/>
        <w:gridCol w:w="2030"/>
      </w:tblGrid>
      <w:tr>
        <w:trPr/>
        <w:tc>
          <w:tcPr>
            <w:tcW w:w="38" w:type="dxa"/>
            <w:tcBorders/>
            <w:vAlign w:val="center"/>
          </w:tcPr>
          <w:p>
            <w:pPr>
              <w:pStyle w:val="TableContents"/>
              <w:bidi w:val="0"/>
              <w:spacing w:before="0" w:after="283"/>
              <w:jc w:val="left"/>
              <w:rPr/>
            </w:pPr>
            <w:r>
              <w:rPr/>
            </w:r>
          </w:p>
        </w:tc>
        <w:tc>
          <w:tcPr>
            <w:tcW w:w="350" w:type="dxa"/>
            <w:tcBorders/>
            <w:vAlign w:val="center"/>
          </w:tcPr>
          <w:p>
            <w:pPr>
              <w:pStyle w:val="TableContents"/>
              <w:bidi w:val="0"/>
              <w:spacing w:before="0" w:after="283"/>
              <w:jc w:val="left"/>
              <w:rPr>
                <w:b/>
              </w:rPr>
            </w:pPr>
            <w:r>
              <w:rPr>
                <w:b/>
              </w:rPr>
              <w:t>VI.</w:t>
            </w:r>
          </w:p>
        </w:tc>
        <w:tc>
          <w:tcPr>
            <w:tcW w:w="2030" w:type="dxa"/>
            <w:tcBorders/>
            <w:vAlign w:val="center"/>
          </w:tcPr>
          <w:p>
            <w:pPr>
              <w:pStyle w:val="TableContents"/>
              <w:bidi w:val="0"/>
              <w:spacing w:before="0" w:after="0"/>
              <w:jc w:val="both"/>
              <w:rPr>
                <w:b/>
                <w:u w:val="single"/>
              </w:rPr>
            </w:pPr>
            <w:r>
              <w:rPr>
                <w:b/>
                <w:u w:val="single"/>
              </w:rPr>
              <w:t>Conflicts of Interest</w:t>
            </w:r>
          </w:p>
        </w:tc>
      </w:tr>
    </w:tbl>
    <w:p>
      <w:pPr>
        <w:pStyle w:val="TextBody"/>
        <w:bidi w:val="0"/>
        <w:spacing w:lineRule="auto" w:line="300" w:before="0" w:after="0"/>
        <w:jc w:val="left"/>
        <w:rPr/>
      </w:pPr>
      <w:r>
        <w:rPr/>
      </w:r>
    </w:p>
    <w:p>
      <w:pPr>
        <w:pStyle w:val="TextBody"/>
        <w:bidi w:val="0"/>
        <w:spacing w:lineRule="auto" w:line="300" w:before="0" w:after="0"/>
        <w:ind w:left="720" w:right="358" w:firstLine="566"/>
        <w:jc w:val="both"/>
        <w:rPr>
          <w:rFonts w:ascii="Times New Roman;Times;serif" w:hAnsi="Times New Roman;Times;serif"/>
          <w:color w:val="000000"/>
          <w:sz w:val="20"/>
        </w:rPr>
      </w:pPr>
      <w:r>
        <w:rPr>
          <w:rFonts w:ascii="Times New Roman;Times;serif" w:hAnsi="Times New Roman;Times;serif"/>
          <w:color w:val="000000"/>
          <w:sz w:val="20"/>
        </w:rPr>
        <w:t>A conflict of interest may arise when an individual’s own actions or interests interfere or appear to interfere with the interests of the Company. This includes the interests of an immediate family member or organizations with which an employee, or an immediate family member, has a significant relationship. Conflicts of interest also may arise when an individual, or a member of his or her immediate family, receives improper personal benefits as a result of the individual’s position in the Company.</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720" w:right="358" w:firstLine="566"/>
        <w:jc w:val="both"/>
        <w:rPr>
          <w:rFonts w:ascii="Times New Roman;Times;serif" w:hAnsi="Times New Roman;Times;serif"/>
          <w:color w:val="000000"/>
          <w:sz w:val="20"/>
        </w:rPr>
      </w:pPr>
      <w:r>
        <w:rPr>
          <w:rFonts w:ascii="Times New Roman;Times;serif" w:hAnsi="Times New Roman;Times;serif"/>
          <w:color w:val="000000"/>
          <w:sz w:val="20"/>
        </w:rPr>
        <w:t>Employees should avoid situations that involve, or appear to involve, a conflict between their own interests and the interests of the Company. Many conflicts or potential conflicts of interest may be resolved or avoided if they are appropriately disclosed and approved. In some instances, disclosure may not be sufficient, and the Company may require that the conduct in question be stopped or that actions taken be reversed where possible.</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720" w:right="405" w:firstLine="566"/>
        <w:jc w:val="left"/>
        <w:rPr>
          <w:rFonts w:ascii="Times New Roman;Times;serif" w:hAnsi="Times New Roman;Times;serif"/>
          <w:color w:val="000000"/>
          <w:sz w:val="20"/>
        </w:rPr>
      </w:pPr>
      <w:r>
        <w:rPr>
          <w:rFonts w:ascii="Times New Roman;Times;serif" w:hAnsi="Times New Roman;Times;serif"/>
          <w:color w:val="000000"/>
          <w:sz w:val="20"/>
        </w:rPr>
        <w:t>Employees should disclose conflicts or potential conflicts of interest to a supervisor, manager, or the General Counsel. Officers should contact the General Counsel or the Chair of the Audit Committee.</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720" w:right="405" w:firstLine="566"/>
        <w:jc w:val="left"/>
        <w:rPr>
          <w:rFonts w:ascii="Times New Roman;Times;serif" w:hAnsi="Times New Roman;Times;serif"/>
          <w:color w:val="000000"/>
          <w:sz w:val="20"/>
        </w:rPr>
      </w:pPr>
      <w:r>
        <w:rPr>
          <w:rFonts w:ascii="Times New Roman;Times;serif" w:hAnsi="Times New Roman;Times;serif"/>
          <w:color w:val="000000"/>
          <w:sz w:val="20"/>
        </w:rPr>
        <w:t>Examples of circumstances that may create a conflict of interest are provided below. These examples are not meant to be all-inclusive and are simply meant to be illustrative.</w:t>
      </w:r>
    </w:p>
    <w:p>
      <w:pPr>
        <w:pStyle w:val="TextBody"/>
        <w:bidi w:val="0"/>
        <w:spacing w:lineRule="auto" w:line="300" w:before="0" w:after="0"/>
        <w:jc w:val="left"/>
        <w:rPr>
          <w:color w:val="000000"/>
        </w:rPr>
      </w:pPr>
      <w:r>
        <w:rPr>
          <w:color w:val="000000"/>
        </w:rPr>
        <w:t> </w:t>
      </w:r>
    </w:p>
    <w:p>
      <w:pPr>
        <w:pStyle w:val="Normal"/>
        <w:bidi w:val="0"/>
        <w:spacing w:before="0" w:after="0"/>
        <w:jc w:val="left"/>
        <w:rPr>
          <w:sz w:val="4"/>
          <w:szCs w:val="4"/>
        </w:rPr>
      </w:pPr>
      <w:r>
        <w:rPr>
          <w:sz w:val="4"/>
          <w:szCs w:val="4"/>
        </w:rPr>
      </w:r>
      <w:bookmarkStart w:id="174" w:name="z06c517354d4b494f992883810e3631f6"/>
      <w:bookmarkStart w:id="175" w:name="z06c517354d4b494f992883810e3631f6"/>
      <w:bookmarkEnd w:id="175"/>
    </w:p>
    <w:tbl>
      <w:tblPr>
        <w:tblW w:w="3190" w:type="dxa"/>
        <w:jc w:val="left"/>
        <w:tblInd w:w="0" w:type="dxa"/>
        <w:tblLayout w:type="fixed"/>
        <w:tblCellMar>
          <w:top w:w="0" w:type="dxa"/>
          <w:left w:w="0" w:type="dxa"/>
          <w:bottom w:w="0" w:type="dxa"/>
          <w:right w:w="0" w:type="dxa"/>
        </w:tblCellMar>
      </w:tblPr>
      <w:tblGrid>
        <w:gridCol w:w="75"/>
        <w:gridCol w:w="260"/>
        <w:gridCol w:w="285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b/>
              </w:rPr>
            </w:pPr>
            <w:r>
              <w:rPr>
                <w:b/>
              </w:rPr>
              <w:t>A.</w:t>
            </w:r>
          </w:p>
        </w:tc>
        <w:tc>
          <w:tcPr>
            <w:tcW w:w="2855" w:type="dxa"/>
            <w:tcBorders/>
            <w:vAlign w:val="center"/>
          </w:tcPr>
          <w:p>
            <w:pPr>
              <w:pStyle w:val="TableContents"/>
              <w:bidi w:val="0"/>
              <w:spacing w:before="0" w:after="0"/>
              <w:jc w:val="left"/>
              <w:rPr/>
            </w:pPr>
            <w:r>
              <w:rPr/>
              <w:t>Gifts and Business Courtesies</w:t>
            </w:r>
          </w:p>
        </w:tc>
      </w:tr>
    </w:tbl>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720" w:right="354" w:firstLine="566"/>
        <w:jc w:val="both"/>
        <w:rPr>
          <w:rFonts w:ascii="Times New Roman;Times;serif" w:hAnsi="Times New Roman;Times;serif"/>
          <w:color w:val="000000"/>
          <w:sz w:val="20"/>
        </w:rPr>
      </w:pPr>
      <w:r>
        <w:rPr>
          <w:rFonts w:ascii="Times New Roman;Times;serif" w:hAnsi="Times New Roman;Times;serif"/>
          <w:color w:val="000000"/>
          <w:sz w:val="20"/>
        </w:rPr>
        <w:t>The Company recognizes that it is common practice to exchange gifts and business courtesies with customers, business associates and others to create good will and sound working relationships. However, actions taken on behalf of the Company should be free from any suggestion that favorable treatment was sought by, received from, or given to individuals or organizations that do business or seek to do business with the Company. Employees may not solicit or accept gifts or business courtesies, including money, services, or anything else of value when doing so may influence, or be perceived as influencing, a decision or action. Similarly, employees may not offer or give gifts or business courtesies, money, services, or anything else of value when doing so may influence, or be perceived as influencing, a decision or action. Immediate family members are subject to the same policy.</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720" w:right="356" w:firstLine="566"/>
        <w:jc w:val="both"/>
        <w:rPr>
          <w:rFonts w:ascii="Times New Roman;Times;serif" w:hAnsi="Times New Roman;Times;serif"/>
          <w:color w:val="000000"/>
          <w:sz w:val="20"/>
        </w:rPr>
      </w:pPr>
      <w:r>
        <w:rPr>
          <w:rFonts w:ascii="Times New Roman;Times;serif" w:hAnsi="Times New Roman;Times;serif"/>
          <w:color w:val="000000"/>
          <w:sz w:val="20"/>
        </w:rPr>
        <w:t>Employees may not accept or give non-cash gifts to anyone with whom the Company does business unless that gift is promotional in nature and nominal in value. Gifts of nominal value are those that do not exceed $250. Cash gifts are never permitted.</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720" w:right="358" w:firstLine="566"/>
        <w:jc w:val="both"/>
        <w:rPr>
          <w:rFonts w:ascii="Times New Roman;Times;serif" w:hAnsi="Times New Roman;Times;serif"/>
          <w:color w:val="000000"/>
          <w:sz w:val="20"/>
        </w:rPr>
      </w:pPr>
      <w:r>
        <w:rPr>
          <w:rFonts w:ascii="Times New Roman;Times;serif" w:hAnsi="Times New Roman;Times;serif"/>
          <w:color w:val="000000"/>
          <w:sz w:val="20"/>
        </w:rPr>
        <w:t>Business courtesies include, but are not limited to: meals, drinks, entertainment (including tickets to sports or social events), recreation, transportation, honoraria or use of the donor’s time, equipment, materials, or facilities. Employees may accept or give a business courtesy if it is:</w:t>
      </w:r>
    </w:p>
    <w:p>
      <w:pPr>
        <w:pStyle w:val="TextBody"/>
        <w:bidi w:val="0"/>
        <w:spacing w:lineRule="auto" w:line="300" w:before="0" w:after="0"/>
        <w:jc w:val="left"/>
        <w:rPr>
          <w:color w:val="000000"/>
        </w:rPr>
      </w:pPr>
      <w:r>
        <w:rPr>
          <w:color w:val="000000"/>
        </w:rPr>
        <w:t> </w:t>
      </w:r>
    </w:p>
    <w:p>
      <w:pPr>
        <w:pStyle w:val="Normal"/>
        <w:bidi w:val="0"/>
        <w:spacing w:before="0" w:after="0"/>
        <w:jc w:val="left"/>
        <w:rPr>
          <w:sz w:val="4"/>
          <w:szCs w:val="4"/>
        </w:rPr>
      </w:pPr>
      <w:r>
        <w:rPr>
          <w:sz w:val="4"/>
          <w:szCs w:val="4"/>
        </w:rPr>
      </w:r>
      <w:bookmarkStart w:id="176" w:name="z5bbe568eb4314c88bfa2222d46b077c7"/>
      <w:bookmarkStart w:id="177" w:name="z5bbe568eb4314c88bfa2222d46b077c7"/>
      <w:bookmarkEnd w:id="177"/>
    </w:p>
    <w:tbl>
      <w:tblPr>
        <w:tblW w:w="6183" w:type="dxa"/>
        <w:jc w:val="left"/>
        <w:tblInd w:w="0" w:type="dxa"/>
        <w:tblLayout w:type="fixed"/>
        <w:tblCellMar>
          <w:top w:w="0" w:type="dxa"/>
          <w:left w:w="0" w:type="dxa"/>
          <w:bottom w:w="0" w:type="dxa"/>
          <w:right w:w="0" w:type="dxa"/>
        </w:tblCellMar>
      </w:tblPr>
      <w:tblGrid>
        <w:gridCol w:w="38"/>
        <w:gridCol w:w="110"/>
        <w:gridCol w:w="6035"/>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6035" w:type="dxa"/>
            <w:tcBorders/>
            <w:vAlign w:val="center"/>
          </w:tcPr>
          <w:p>
            <w:pPr>
              <w:pStyle w:val="TableContents"/>
              <w:bidi w:val="0"/>
              <w:spacing w:before="0" w:after="0"/>
              <w:jc w:val="left"/>
              <w:rPr/>
            </w:pPr>
            <w:r>
              <w:rPr/>
              <w:t>Appropriate (the event promotes a legitimate business purpose);</w:t>
            </w:r>
          </w:p>
        </w:tc>
      </w:tr>
    </w:tbl>
    <w:p>
      <w:pPr>
        <w:pStyle w:val="Normal"/>
        <w:bidi w:val="0"/>
        <w:spacing w:before="0" w:after="0"/>
        <w:jc w:val="left"/>
        <w:rPr>
          <w:sz w:val="4"/>
          <w:szCs w:val="4"/>
        </w:rPr>
      </w:pPr>
      <w:r>
        <w:rPr>
          <w:sz w:val="4"/>
          <w:szCs w:val="4"/>
        </w:rPr>
      </w:r>
      <w:bookmarkStart w:id="178" w:name="z4bee82b62c4f40af94a047492b31a48a"/>
      <w:bookmarkStart w:id="179" w:name="z4bee82b62c4f40af94a047492b31a48a"/>
      <w:bookmarkEnd w:id="179"/>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pPr>
            <w:r>
              <w:rPr/>
              <w:t>Reasonable (the invitation is for a meal or event that is not lavish, meaning that it does not exceed $250); and</w:t>
            </w:r>
          </w:p>
        </w:tc>
      </w:tr>
    </w:tbl>
    <w:p>
      <w:pPr>
        <w:pStyle w:val="Normal"/>
        <w:bidi w:val="0"/>
        <w:spacing w:before="0" w:after="0"/>
        <w:jc w:val="left"/>
        <w:rPr>
          <w:sz w:val="4"/>
          <w:szCs w:val="4"/>
        </w:rPr>
      </w:pPr>
      <w:r>
        <w:rPr>
          <w:sz w:val="4"/>
          <w:szCs w:val="4"/>
        </w:rPr>
      </w:r>
      <w:bookmarkStart w:id="180" w:name="z5182663eb4b240d7bea06b8c939bad38"/>
      <w:bookmarkStart w:id="181" w:name="z5182663eb4b240d7bea06b8c939bad38"/>
      <w:bookmarkEnd w:id="181"/>
    </w:p>
    <w:tbl>
      <w:tblPr>
        <w:tblW w:w="5208" w:type="dxa"/>
        <w:jc w:val="left"/>
        <w:tblInd w:w="0" w:type="dxa"/>
        <w:tblLayout w:type="fixed"/>
        <w:tblCellMar>
          <w:top w:w="0" w:type="dxa"/>
          <w:left w:w="0" w:type="dxa"/>
          <w:bottom w:w="0" w:type="dxa"/>
          <w:right w:w="0" w:type="dxa"/>
        </w:tblCellMar>
      </w:tblPr>
      <w:tblGrid>
        <w:gridCol w:w="38"/>
        <w:gridCol w:w="110"/>
        <w:gridCol w:w="5060"/>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5060" w:type="dxa"/>
            <w:tcBorders/>
            <w:vAlign w:val="center"/>
          </w:tcPr>
          <w:p>
            <w:pPr>
              <w:pStyle w:val="TableContents"/>
              <w:bidi w:val="0"/>
              <w:spacing w:before="0" w:after="0"/>
              <w:jc w:val="left"/>
              <w:rPr/>
            </w:pPr>
            <w:r>
              <w:rPr/>
              <w:t>Consistent with the ethical practices of the Company.</w:t>
            </w:r>
          </w:p>
        </w:tc>
      </w:tr>
    </w:tbl>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720" w:right="0" w:firstLine="566"/>
        <w:jc w:val="left"/>
        <w:rPr>
          <w:rFonts w:ascii="Times New Roman;Times;serif" w:hAnsi="Times New Roman;Times;serif"/>
          <w:color w:val="000000"/>
          <w:sz w:val="20"/>
        </w:rPr>
      </w:pPr>
      <w:r>
        <w:rPr>
          <w:rFonts w:ascii="Times New Roman;Times;serif" w:hAnsi="Times New Roman;Times;serif"/>
          <w:color w:val="000000"/>
          <w:sz w:val="20"/>
        </w:rPr>
        <w:t>Employees should avoid a pattern of accepting frequent business courtesies from the same persons or companies.</w:t>
      </w:r>
    </w:p>
    <w:p>
      <w:pPr>
        <w:pStyle w:val="HorizontalLine"/>
        <w:pBdr>
          <w:bottom w:val="single" w:sz="12" w:space="0" w:color="808080"/>
        </w:pBdr>
        <w:bidi w:val="0"/>
        <w:spacing w:before="200" w:after="200"/>
        <w:jc w:val="left"/>
        <w:rPr/>
      </w:pPr>
      <w:r>
        <w:rPr/>
      </w:r>
    </w:p>
    <w:p>
      <w:pPr>
        <w:pStyle w:val="TextBody"/>
        <w:bidi w:val="0"/>
        <w:spacing w:lineRule="auto" w:line="300" w:before="0" w:after="0"/>
        <w:ind w:left="720" w:right="358" w:firstLine="566"/>
        <w:jc w:val="both"/>
        <w:rPr>
          <w:rFonts w:ascii="Times New Roman;Times;serif" w:hAnsi="Times New Roman;Times;serif"/>
          <w:color w:val="000000"/>
          <w:sz w:val="20"/>
        </w:rPr>
      </w:pPr>
      <w:r>
        <w:rPr>
          <w:rFonts w:ascii="Times New Roman;Times;serif" w:hAnsi="Times New Roman;Times;serif"/>
          <w:color w:val="000000"/>
          <w:sz w:val="20"/>
        </w:rPr>
        <w:t>Additionally, many organizations have their own policies on giving and accepting gifts and business courtesies. Employees should not offer a gift or business courtesy to another person if the employee knows that doing so would violate policies at the recipient’s organization. If the employee does not know, the employee should ask before providing the gift or business courtesy.</w:t>
      </w:r>
    </w:p>
    <w:p>
      <w:pPr>
        <w:pStyle w:val="TextBody"/>
        <w:bidi w:val="0"/>
        <w:spacing w:lineRule="auto" w:line="300" w:before="0" w:after="0"/>
        <w:jc w:val="left"/>
        <w:rPr>
          <w:color w:val="000000"/>
        </w:rPr>
      </w:pPr>
      <w:r>
        <w:rPr>
          <w:color w:val="000000"/>
        </w:rPr>
        <w:t> </w:t>
      </w:r>
    </w:p>
    <w:p>
      <w:pPr>
        <w:pStyle w:val="Normal"/>
        <w:bidi w:val="0"/>
        <w:spacing w:before="0" w:after="0"/>
        <w:jc w:val="left"/>
        <w:rPr>
          <w:sz w:val="4"/>
          <w:szCs w:val="4"/>
        </w:rPr>
      </w:pPr>
      <w:r>
        <w:rPr>
          <w:sz w:val="4"/>
          <w:szCs w:val="4"/>
        </w:rPr>
      </w:r>
      <w:bookmarkStart w:id="182" w:name="z32faffcf269c48bda25665bfa5b53814"/>
      <w:bookmarkStart w:id="183" w:name="z32faffcf269c48bda25665bfa5b53814"/>
      <w:bookmarkEnd w:id="183"/>
    </w:p>
    <w:tbl>
      <w:tblPr>
        <w:tblW w:w="2125" w:type="dxa"/>
        <w:jc w:val="left"/>
        <w:tblInd w:w="0" w:type="dxa"/>
        <w:tblLayout w:type="fixed"/>
        <w:tblCellMar>
          <w:top w:w="0" w:type="dxa"/>
          <w:left w:w="0" w:type="dxa"/>
          <w:bottom w:w="0" w:type="dxa"/>
          <w:right w:w="0" w:type="dxa"/>
        </w:tblCellMar>
      </w:tblPr>
      <w:tblGrid>
        <w:gridCol w:w="75"/>
        <w:gridCol w:w="245"/>
        <w:gridCol w:w="1805"/>
      </w:tblGrid>
      <w:tr>
        <w:trPr/>
        <w:tc>
          <w:tcPr>
            <w:tcW w:w="75"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b/>
              </w:rPr>
            </w:pPr>
            <w:r>
              <w:rPr>
                <w:b/>
              </w:rPr>
              <w:t>B.</w:t>
            </w:r>
          </w:p>
        </w:tc>
        <w:tc>
          <w:tcPr>
            <w:tcW w:w="1805" w:type="dxa"/>
            <w:tcBorders/>
            <w:vAlign w:val="center"/>
          </w:tcPr>
          <w:p>
            <w:pPr>
              <w:pStyle w:val="TableContents"/>
              <w:bidi w:val="0"/>
              <w:spacing w:before="0" w:after="0"/>
              <w:jc w:val="left"/>
              <w:rPr>
                <w:b/>
              </w:rPr>
            </w:pPr>
            <w:r>
              <w:rPr>
                <w:b/>
              </w:rPr>
              <w:t>Outside Activities</w:t>
            </w:r>
          </w:p>
        </w:tc>
      </w:tr>
    </w:tbl>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720" w:right="355" w:firstLine="566"/>
        <w:jc w:val="both"/>
        <w:rPr>
          <w:rFonts w:ascii="Times New Roman;Times;serif" w:hAnsi="Times New Roman;Times;serif"/>
          <w:color w:val="000000"/>
          <w:sz w:val="20"/>
        </w:rPr>
      </w:pPr>
      <w:r>
        <w:rPr>
          <w:rFonts w:ascii="Times New Roman;Times;serif" w:hAnsi="Times New Roman;Times;serif"/>
          <w:color w:val="000000"/>
          <w:sz w:val="20"/>
        </w:rPr>
        <w:t>The Company understands that employees participate in a variety of activities outside their work at the Company. Many outside activities, such as volunteering for a charity or participating in a community organization, are unlikely to affect an individual’s work at the Company. At the same time, employees should be sensitive to the possibility that participating in outside activities could create a conflict of interest. Examples of outside activities that could create a conflict of interest include:</w:t>
      </w:r>
    </w:p>
    <w:p>
      <w:pPr>
        <w:pStyle w:val="TextBody"/>
        <w:bidi w:val="0"/>
        <w:spacing w:lineRule="auto" w:line="300" w:before="0" w:after="0"/>
        <w:jc w:val="left"/>
        <w:rPr>
          <w:color w:val="000000"/>
        </w:rPr>
      </w:pPr>
      <w:r>
        <w:rPr>
          <w:color w:val="000000"/>
        </w:rPr>
        <w:t> </w:t>
      </w:r>
    </w:p>
    <w:p>
      <w:pPr>
        <w:pStyle w:val="Normal"/>
        <w:bidi w:val="0"/>
        <w:spacing w:before="0" w:after="0"/>
        <w:jc w:val="left"/>
        <w:rPr>
          <w:sz w:val="4"/>
          <w:szCs w:val="4"/>
        </w:rPr>
      </w:pPr>
      <w:r>
        <w:rPr>
          <w:sz w:val="4"/>
          <w:szCs w:val="4"/>
        </w:rPr>
      </w:r>
      <w:bookmarkStart w:id="184" w:name="z5ec6baa61f6d4677a9ab440dcc37c051"/>
      <w:bookmarkStart w:id="185" w:name="z5ec6baa61f6d4677a9ab440dcc37c051"/>
      <w:bookmarkEnd w:id="185"/>
    </w:p>
    <w:tbl>
      <w:tblPr>
        <w:tblW w:w="2208" w:type="dxa"/>
        <w:jc w:val="left"/>
        <w:tblInd w:w="0" w:type="dxa"/>
        <w:tblLayout w:type="fixed"/>
        <w:tblCellMar>
          <w:top w:w="0" w:type="dxa"/>
          <w:left w:w="0" w:type="dxa"/>
          <w:bottom w:w="0" w:type="dxa"/>
          <w:right w:w="0" w:type="dxa"/>
        </w:tblCellMar>
      </w:tblPr>
      <w:tblGrid>
        <w:gridCol w:w="38"/>
        <w:gridCol w:w="110"/>
        <w:gridCol w:w="2060"/>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2060" w:type="dxa"/>
            <w:tcBorders/>
            <w:vAlign w:val="center"/>
          </w:tcPr>
          <w:p>
            <w:pPr>
              <w:pStyle w:val="TableContents"/>
              <w:bidi w:val="0"/>
              <w:spacing w:before="0" w:after="0"/>
              <w:jc w:val="left"/>
              <w:rPr/>
            </w:pPr>
            <w:r>
              <w:rPr/>
              <w:t>Outside employment;</w:t>
            </w:r>
          </w:p>
        </w:tc>
      </w:tr>
    </w:tbl>
    <w:p>
      <w:pPr>
        <w:pStyle w:val="Normal"/>
        <w:bidi w:val="0"/>
        <w:spacing w:before="0" w:after="0"/>
        <w:jc w:val="left"/>
        <w:rPr>
          <w:sz w:val="4"/>
          <w:szCs w:val="4"/>
        </w:rPr>
      </w:pPr>
      <w:r>
        <w:rPr>
          <w:sz w:val="4"/>
          <w:szCs w:val="4"/>
        </w:rPr>
      </w:r>
      <w:bookmarkStart w:id="186" w:name="z5fe0c1538e46425fb028130a6045433d"/>
      <w:bookmarkStart w:id="187" w:name="z5fe0c1538e46425fb028130a6045433d"/>
      <w:bookmarkEnd w:id="187"/>
    </w:p>
    <w:tbl>
      <w:tblPr>
        <w:tblW w:w="8163" w:type="dxa"/>
        <w:jc w:val="left"/>
        <w:tblInd w:w="0" w:type="dxa"/>
        <w:tblLayout w:type="fixed"/>
        <w:tblCellMar>
          <w:top w:w="0" w:type="dxa"/>
          <w:left w:w="0" w:type="dxa"/>
          <w:bottom w:w="0" w:type="dxa"/>
          <w:right w:w="0" w:type="dxa"/>
        </w:tblCellMar>
      </w:tblPr>
      <w:tblGrid>
        <w:gridCol w:w="38"/>
        <w:gridCol w:w="110"/>
        <w:gridCol w:w="8015"/>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8015" w:type="dxa"/>
            <w:tcBorders/>
            <w:vAlign w:val="center"/>
          </w:tcPr>
          <w:p>
            <w:pPr>
              <w:pStyle w:val="TableContents"/>
              <w:bidi w:val="0"/>
              <w:spacing w:before="0" w:after="0"/>
              <w:jc w:val="left"/>
              <w:rPr/>
            </w:pPr>
            <w:r>
              <w:rPr/>
              <w:t>Providing goods or services to a competitor or business partner of the Company; and</w:t>
            </w:r>
          </w:p>
        </w:tc>
      </w:tr>
    </w:tbl>
    <w:p>
      <w:pPr>
        <w:pStyle w:val="Normal"/>
        <w:bidi w:val="0"/>
        <w:spacing w:before="0" w:after="0"/>
        <w:jc w:val="left"/>
        <w:rPr>
          <w:sz w:val="4"/>
          <w:szCs w:val="4"/>
        </w:rPr>
      </w:pPr>
      <w:r>
        <w:rPr>
          <w:sz w:val="4"/>
          <w:szCs w:val="4"/>
        </w:rPr>
      </w:r>
      <w:bookmarkStart w:id="188" w:name="zd09c1d5864aa4aee8bf568f7d69e57f2"/>
      <w:bookmarkStart w:id="189" w:name="zd09c1d5864aa4aee8bf568f7d69e57f2"/>
      <w:bookmarkEnd w:id="189"/>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pPr>
            <w:r>
              <w:rPr/>
              <w:t>Having a financial interest in an outside supplier or vendor that provides goods or services to the Company.</w:t>
            </w:r>
          </w:p>
        </w:tc>
      </w:tr>
    </w:tbl>
    <w:p>
      <w:pPr>
        <w:pStyle w:val="TextBody"/>
        <w:bidi w:val="0"/>
        <w:spacing w:lineRule="auto" w:line="300" w:before="0" w:after="0"/>
        <w:jc w:val="left"/>
        <w:rPr>
          <w:color w:val="000000"/>
        </w:rPr>
      </w:pPr>
      <w:r>
        <w:rPr>
          <w:color w:val="000000"/>
        </w:rPr>
        <w:t> </w:t>
      </w:r>
    </w:p>
    <w:tbl>
      <w:tblPr>
        <w:tblW w:w="2080" w:type="dxa"/>
        <w:jc w:val="left"/>
        <w:tblInd w:w="0" w:type="dxa"/>
        <w:tblLayout w:type="fixed"/>
        <w:tblCellMar>
          <w:top w:w="0" w:type="dxa"/>
          <w:left w:w="0" w:type="dxa"/>
          <w:bottom w:w="0" w:type="dxa"/>
          <w:right w:w="0" w:type="dxa"/>
        </w:tblCellMar>
      </w:tblPr>
      <w:tblGrid>
        <w:gridCol w:w="75"/>
        <w:gridCol w:w="260"/>
        <w:gridCol w:w="174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b/>
              </w:rPr>
            </w:pPr>
            <w:r>
              <w:rPr>
                <w:b/>
              </w:rPr>
              <w:t>C.</w:t>
            </w:r>
          </w:p>
        </w:tc>
        <w:tc>
          <w:tcPr>
            <w:tcW w:w="1745" w:type="dxa"/>
            <w:tcBorders/>
            <w:vAlign w:val="center"/>
          </w:tcPr>
          <w:p>
            <w:pPr>
              <w:pStyle w:val="TableContents"/>
              <w:bidi w:val="0"/>
              <w:spacing w:before="0" w:after="0"/>
              <w:jc w:val="left"/>
              <w:rPr>
                <w:b w:val="false"/>
              </w:rPr>
            </w:pPr>
            <w:r>
              <w:rPr>
                <w:b w:val="false"/>
              </w:rPr>
              <w:t>Financial Interests</w:t>
            </w:r>
          </w:p>
        </w:tc>
      </w:tr>
    </w:tbl>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720" w:right="356" w:firstLine="566"/>
        <w:jc w:val="both"/>
        <w:rPr>
          <w:rFonts w:ascii="Times New Roman;Times;serif" w:hAnsi="Times New Roman;Times;serif"/>
          <w:color w:val="000000"/>
          <w:sz w:val="20"/>
        </w:rPr>
      </w:pPr>
      <w:r>
        <w:rPr>
          <w:rFonts w:ascii="Times New Roman;Times;serif" w:hAnsi="Times New Roman;Times;serif"/>
          <w:color w:val="000000"/>
          <w:sz w:val="20"/>
        </w:rPr>
        <w:t>The Company respects the right of employees to manage their investments and does not wish to interfere with personal financial opportunities. However, having certain personal financial interests or engaging in certain transactions could create a conflict of interest. Examples of financial interests and transactions that could create a conflict of interest include:</w:t>
      </w:r>
    </w:p>
    <w:p>
      <w:pPr>
        <w:pStyle w:val="TextBody"/>
        <w:bidi w:val="0"/>
        <w:spacing w:lineRule="auto" w:line="300" w:before="0" w:after="0"/>
        <w:jc w:val="left"/>
        <w:rPr/>
      </w:pPr>
      <w:r>
        <w:rPr/>
      </w:r>
    </w:p>
    <w:p>
      <w:pPr>
        <w:pStyle w:val="Normal"/>
        <w:bidi w:val="0"/>
        <w:spacing w:before="0" w:after="0"/>
        <w:jc w:val="left"/>
        <w:rPr>
          <w:sz w:val="4"/>
          <w:szCs w:val="4"/>
        </w:rPr>
      </w:pPr>
      <w:r>
        <w:rPr>
          <w:sz w:val="4"/>
          <w:szCs w:val="4"/>
        </w:rPr>
      </w:r>
      <w:bookmarkStart w:id="190" w:name="z46d8ddd8afa24b86a9968364b1afeff3"/>
      <w:bookmarkStart w:id="191" w:name="z46d8ddd8afa24b86a9968364b1afeff3"/>
      <w:bookmarkEnd w:id="191"/>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pPr>
            <w:r>
              <w:rPr/>
              <w:t>Having a substantial personal financial interest in either a competitor or a business partner of the Company (other than an interest of less than 1% of the outstanding securities of a public company); and</w:t>
            </w:r>
          </w:p>
        </w:tc>
      </w:tr>
    </w:tbl>
    <w:p>
      <w:pPr>
        <w:pStyle w:val="Normal"/>
        <w:bidi w:val="0"/>
        <w:spacing w:before="0" w:after="0"/>
        <w:jc w:val="left"/>
        <w:rPr>
          <w:sz w:val="4"/>
          <w:szCs w:val="4"/>
        </w:rPr>
      </w:pPr>
      <w:r>
        <w:rPr>
          <w:sz w:val="4"/>
          <w:szCs w:val="4"/>
        </w:rPr>
      </w:r>
      <w:bookmarkStart w:id="192" w:name="z9299ac9f34324d7cb5bffa7e5977c0f7"/>
      <w:bookmarkStart w:id="193" w:name="z9299ac9f34324d7cb5bffa7e5977c0f7"/>
      <w:bookmarkEnd w:id="193"/>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pPr>
            <w:r>
              <w:rPr/>
              <w:t>Borrowing from, or lending cash to, customers or suppliers (other than personal loans from financial institutions with which the Company maintains business relationships).</w:t>
            </w:r>
          </w:p>
        </w:tc>
      </w:tr>
    </w:tbl>
    <w:p>
      <w:pPr>
        <w:pStyle w:val="TextBody"/>
        <w:bidi w:val="0"/>
        <w:spacing w:lineRule="auto" w:line="300" w:before="0" w:after="0"/>
        <w:jc w:val="left"/>
        <w:rPr>
          <w:color w:val="000000"/>
        </w:rPr>
      </w:pPr>
      <w:r>
        <w:rPr>
          <w:color w:val="000000"/>
        </w:rPr>
        <w:t xml:space="preserve">  </w:t>
      </w:r>
    </w:p>
    <w:tbl>
      <w:tblPr>
        <w:tblW w:w="2665" w:type="dxa"/>
        <w:jc w:val="left"/>
        <w:tblInd w:w="0" w:type="dxa"/>
        <w:tblLayout w:type="fixed"/>
        <w:tblCellMar>
          <w:top w:w="0" w:type="dxa"/>
          <w:left w:w="0" w:type="dxa"/>
          <w:bottom w:w="0" w:type="dxa"/>
          <w:right w:w="0" w:type="dxa"/>
        </w:tblCellMar>
      </w:tblPr>
      <w:tblGrid>
        <w:gridCol w:w="75"/>
        <w:gridCol w:w="260"/>
        <w:gridCol w:w="2330"/>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b/>
              </w:rPr>
            </w:pPr>
            <w:r>
              <w:rPr>
                <w:b/>
              </w:rPr>
              <w:t>D.</w:t>
            </w:r>
          </w:p>
        </w:tc>
        <w:tc>
          <w:tcPr>
            <w:tcW w:w="2330" w:type="dxa"/>
            <w:tcBorders/>
            <w:vAlign w:val="center"/>
          </w:tcPr>
          <w:p>
            <w:pPr>
              <w:pStyle w:val="TableContents"/>
              <w:bidi w:val="0"/>
              <w:spacing w:before="0" w:after="0"/>
              <w:jc w:val="left"/>
              <w:rPr>
                <w:b w:val="false"/>
              </w:rPr>
            </w:pPr>
            <w:r>
              <w:rPr>
                <w:b w:val="false"/>
              </w:rPr>
              <w:t>Corporate Opportunities</w:t>
            </w:r>
          </w:p>
        </w:tc>
      </w:tr>
    </w:tbl>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720" w:right="358" w:firstLine="566"/>
        <w:jc w:val="both"/>
        <w:rPr>
          <w:rFonts w:ascii="Times New Roman;Times;serif" w:hAnsi="Times New Roman;Times;serif"/>
          <w:color w:val="000000"/>
          <w:sz w:val="20"/>
        </w:rPr>
      </w:pPr>
      <w:r>
        <w:rPr>
          <w:rFonts w:ascii="Times New Roman;Times;serif" w:hAnsi="Times New Roman;Times;serif"/>
          <w:color w:val="000000"/>
          <w:sz w:val="20"/>
        </w:rPr>
        <w:t>Employees should not take, for themselves or others, business opportunities that are discovered through the use of Company property, Company information or through their position with the Company. Employees are prohibited from using Company property, information, or position for personal gain and from competing with the Company.</w:t>
      </w:r>
    </w:p>
    <w:p>
      <w:pPr>
        <w:pStyle w:val="TextBody"/>
        <w:bidi w:val="0"/>
        <w:spacing w:lineRule="auto" w:line="300" w:before="0" w:after="0"/>
        <w:jc w:val="left"/>
        <w:rPr>
          <w:color w:val="000000"/>
        </w:rPr>
      </w:pPr>
      <w:r>
        <w:rPr>
          <w:color w:val="000000"/>
        </w:rPr>
        <w:t> </w:t>
      </w:r>
    </w:p>
    <w:p>
      <w:pPr>
        <w:pStyle w:val="Normal"/>
        <w:bidi w:val="0"/>
        <w:spacing w:before="0" w:after="0"/>
        <w:jc w:val="left"/>
        <w:rPr>
          <w:sz w:val="4"/>
          <w:szCs w:val="4"/>
        </w:rPr>
      </w:pPr>
      <w:r>
        <w:rPr>
          <w:sz w:val="4"/>
          <w:szCs w:val="4"/>
        </w:rPr>
      </w:r>
      <w:bookmarkStart w:id="194" w:name="z4ad696a5a4794b69ad447d7d984e385e"/>
      <w:bookmarkStart w:id="195" w:name="z4ad696a5a4794b69ad447d7d984e385e"/>
      <w:bookmarkEnd w:id="195"/>
    </w:p>
    <w:tbl>
      <w:tblPr>
        <w:tblW w:w="2613" w:type="dxa"/>
        <w:jc w:val="left"/>
        <w:tblInd w:w="0" w:type="dxa"/>
        <w:tblLayout w:type="fixed"/>
        <w:tblCellMar>
          <w:top w:w="0" w:type="dxa"/>
          <w:left w:w="0" w:type="dxa"/>
          <w:bottom w:w="0" w:type="dxa"/>
          <w:right w:w="0" w:type="dxa"/>
        </w:tblCellMar>
      </w:tblPr>
      <w:tblGrid>
        <w:gridCol w:w="38"/>
        <w:gridCol w:w="440"/>
        <w:gridCol w:w="2135"/>
      </w:tblGrid>
      <w:tr>
        <w:trPr/>
        <w:tc>
          <w:tcPr>
            <w:tcW w:w="38" w:type="dxa"/>
            <w:tcBorders/>
            <w:vAlign w:val="center"/>
          </w:tcPr>
          <w:p>
            <w:pPr>
              <w:pStyle w:val="TableContents"/>
              <w:bidi w:val="0"/>
              <w:spacing w:before="0" w:after="283"/>
              <w:jc w:val="left"/>
              <w:rPr/>
            </w:pPr>
            <w:r>
              <w:rPr/>
            </w:r>
          </w:p>
        </w:tc>
        <w:tc>
          <w:tcPr>
            <w:tcW w:w="440" w:type="dxa"/>
            <w:tcBorders/>
            <w:vAlign w:val="center"/>
          </w:tcPr>
          <w:p>
            <w:pPr>
              <w:pStyle w:val="TableContents"/>
              <w:bidi w:val="0"/>
              <w:spacing w:before="0" w:after="283"/>
              <w:jc w:val="left"/>
              <w:rPr>
                <w:b/>
              </w:rPr>
            </w:pPr>
            <w:r>
              <w:rPr>
                <w:b/>
              </w:rPr>
              <w:t>VII.</w:t>
            </w:r>
          </w:p>
        </w:tc>
        <w:tc>
          <w:tcPr>
            <w:tcW w:w="2135" w:type="dxa"/>
            <w:tcBorders/>
            <w:vAlign w:val="center"/>
          </w:tcPr>
          <w:p>
            <w:pPr>
              <w:pStyle w:val="TableContents"/>
              <w:bidi w:val="0"/>
              <w:spacing w:before="0" w:after="0"/>
              <w:jc w:val="left"/>
              <w:rPr>
                <w:b/>
                <w:u w:val="single"/>
              </w:rPr>
            </w:pPr>
            <w:r>
              <w:rPr>
                <w:b/>
                <w:u w:val="single"/>
              </w:rPr>
              <w:t>Proper Use of Assets</w:t>
            </w:r>
          </w:p>
        </w:tc>
      </w:tr>
    </w:tbl>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720" w:right="353" w:firstLine="566"/>
        <w:jc w:val="both"/>
        <w:rPr>
          <w:rFonts w:ascii="Times New Roman;Times;serif" w:hAnsi="Times New Roman;Times;serif"/>
          <w:color w:val="000000"/>
          <w:sz w:val="20"/>
        </w:rPr>
      </w:pPr>
      <w:r>
        <w:rPr>
          <w:rFonts w:ascii="Times New Roman;Times;serif" w:hAnsi="Times New Roman;Times;serif"/>
          <w:color w:val="000000"/>
          <w:sz w:val="20"/>
        </w:rPr>
        <w:t>It is the personal responsibility of all employees to safeguard both the tangible and intangible assets of the Company, its customers, and vendors. Company assets must only be used for legitimate business purposes and may not be used for improper personal benefit or for any purpose which may compete with the business of the Company. These assets include physical property, services, business plans, customer information, employee information, vendor information, electronic resources and intellectual property.</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720" w:right="353" w:firstLine="566"/>
        <w:jc w:val="both"/>
        <w:rPr>
          <w:rFonts w:ascii="Times New Roman;Times;serif" w:hAnsi="Times New Roman;Times;serif"/>
          <w:color w:val="000000"/>
          <w:sz w:val="20"/>
        </w:rPr>
      </w:pPr>
      <w:r>
        <w:rPr>
          <w:rFonts w:ascii="Times New Roman;Times;serif" w:hAnsi="Times New Roman;Times;serif"/>
          <w:color w:val="000000"/>
          <w:sz w:val="20"/>
        </w:rPr>
        <w:t>Intellectual property includes patents, copyrights, trademarks/branding and confidential and proprietary business information.</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720" w:right="356" w:firstLine="566"/>
        <w:jc w:val="both"/>
        <w:rPr>
          <w:rFonts w:ascii="Times New Roman;Times;serif" w:hAnsi="Times New Roman;Times;serif"/>
          <w:color w:val="000000"/>
          <w:sz w:val="20"/>
        </w:rPr>
      </w:pPr>
      <w:r>
        <w:rPr>
          <w:rFonts w:ascii="Times New Roman;Times;serif" w:hAnsi="Times New Roman;Times;serif"/>
          <w:color w:val="000000"/>
          <w:sz w:val="20"/>
        </w:rPr>
        <w:t>The Company allows its employees to make inconsequential, non-business use of its resources (such as use of Company phones to receive or make limited personal phone calls), as long as this use complies with legal and ethical requirements and with all applicable Company policies. Employees are expected to use good judgment and act in a professional manner when using these resources.</w:t>
      </w:r>
    </w:p>
    <w:p>
      <w:pPr>
        <w:pStyle w:val="HorizontalLine"/>
        <w:pBdr>
          <w:bottom w:val="single" w:sz="12" w:space="0" w:color="808080"/>
        </w:pBdr>
        <w:bidi w:val="0"/>
        <w:spacing w:before="200" w:after="200"/>
        <w:jc w:val="left"/>
        <w:rPr/>
      </w:pPr>
      <w:r>
        <w:rPr/>
      </w:r>
    </w:p>
    <w:p>
      <w:pPr>
        <w:pStyle w:val="TextBody"/>
        <w:bidi w:val="0"/>
        <w:spacing w:lineRule="auto" w:line="300" w:before="0" w:after="0"/>
        <w:jc w:val="left"/>
        <w:rPr/>
      </w:pPr>
      <w:r>
        <w:rPr/>
      </w:r>
    </w:p>
    <w:p>
      <w:pPr>
        <w:pStyle w:val="Normal"/>
        <w:bidi w:val="0"/>
        <w:spacing w:before="0" w:after="0"/>
        <w:jc w:val="left"/>
        <w:rPr>
          <w:sz w:val="4"/>
          <w:szCs w:val="4"/>
        </w:rPr>
      </w:pPr>
      <w:r>
        <w:rPr>
          <w:sz w:val="4"/>
          <w:szCs w:val="4"/>
        </w:rPr>
      </w:r>
      <w:bookmarkStart w:id="196" w:name="zf8d8a213f24d419c99f26c5f43e49c77"/>
      <w:bookmarkStart w:id="197" w:name="zf8d8a213f24d419c99f26c5f43e49c77"/>
      <w:bookmarkEnd w:id="197"/>
    </w:p>
    <w:tbl>
      <w:tblPr>
        <w:tblW w:w="3768" w:type="dxa"/>
        <w:jc w:val="left"/>
        <w:tblInd w:w="0" w:type="dxa"/>
        <w:tblLayout w:type="fixed"/>
        <w:tblCellMar>
          <w:top w:w="0" w:type="dxa"/>
          <w:left w:w="0" w:type="dxa"/>
          <w:bottom w:w="0" w:type="dxa"/>
          <w:right w:w="0" w:type="dxa"/>
        </w:tblCellMar>
      </w:tblPr>
      <w:tblGrid>
        <w:gridCol w:w="38"/>
        <w:gridCol w:w="530"/>
        <w:gridCol w:w="3200"/>
      </w:tblGrid>
      <w:tr>
        <w:trPr/>
        <w:tc>
          <w:tcPr>
            <w:tcW w:w="38" w:type="dxa"/>
            <w:tcBorders/>
            <w:vAlign w:val="center"/>
          </w:tcPr>
          <w:p>
            <w:pPr>
              <w:pStyle w:val="TableContents"/>
              <w:bidi w:val="0"/>
              <w:spacing w:before="0" w:after="283"/>
              <w:jc w:val="left"/>
              <w:rPr/>
            </w:pPr>
            <w:r>
              <w:rPr/>
            </w:r>
          </w:p>
        </w:tc>
        <w:tc>
          <w:tcPr>
            <w:tcW w:w="530" w:type="dxa"/>
            <w:tcBorders/>
            <w:vAlign w:val="center"/>
          </w:tcPr>
          <w:p>
            <w:pPr>
              <w:pStyle w:val="TableContents"/>
              <w:bidi w:val="0"/>
              <w:spacing w:before="0" w:after="283"/>
              <w:jc w:val="left"/>
              <w:rPr>
                <w:b/>
              </w:rPr>
            </w:pPr>
            <w:r>
              <w:rPr>
                <w:b/>
              </w:rPr>
              <w:t>VIII.</w:t>
            </w:r>
          </w:p>
        </w:tc>
        <w:tc>
          <w:tcPr>
            <w:tcW w:w="3200" w:type="dxa"/>
            <w:tcBorders/>
            <w:vAlign w:val="center"/>
          </w:tcPr>
          <w:p>
            <w:pPr>
              <w:pStyle w:val="TableContents"/>
              <w:bidi w:val="0"/>
              <w:spacing w:before="0" w:after="0"/>
              <w:jc w:val="left"/>
              <w:rPr>
                <w:b/>
                <w:u w:val="single"/>
              </w:rPr>
            </w:pPr>
            <w:r>
              <w:rPr>
                <w:b/>
                <w:u w:val="single"/>
              </w:rPr>
              <w:t>Company Information Systems</w:t>
            </w:r>
          </w:p>
        </w:tc>
      </w:tr>
    </w:tbl>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720" w:right="353" w:firstLine="566"/>
        <w:jc w:val="both"/>
        <w:rPr>
          <w:rFonts w:ascii="Times New Roman;Times;serif" w:hAnsi="Times New Roman;Times;serif"/>
          <w:color w:val="000000"/>
          <w:sz w:val="20"/>
        </w:rPr>
      </w:pPr>
      <w:r>
        <w:rPr>
          <w:rFonts w:ascii="Times New Roman;Times;serif" w:hAnsi="Times New Roman;Times;serif"/>
          <w:color w:val="000000"/>
          <w:sz w:val="20"/>
        </w:rPr>
        <w:t>The Company’s information systems, including communications systems, e-mail, voice mail, and intranet, extranet and internet access systems are the Company’s property and generally must be used only for business activities. Inconsequential, non-business use is permissible as long as this use does not consume more than a trivial amount of resources, does not interfere with productivity, does not preempt any business activity, is otherwise appropriate and reasonable and complies with legal and ethical requirements and with all applicable Company policies.</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720" w:right="359" w:firstLine="566"/>
        <w:jc w:val="both"/>
        <w:rPr>
          <w:rFonts w:ascii="Times New Roman;Times;serif" w:hAnsi="Times New Roman;Times;serif"/>
          <w:color w:val="000000"/>
          <w:sz w:val="20"/>
        </w:rPr>
      </w:pPr>
      <w:r>
        <w:rPr>
          <w:rFonts w:ascii="Times New Roman;Times;serif" w:hAnsi="Times New Roman;Times;serif"/>
          <w:color w:val="000000"/>
          <w:sz w:val="20"/>
        </w:rPr>
        <w:t>Employees may not use the Company’s information systems to access, view, post, store, transmit, download, or distribute any illegal, profane, obscene, derogatory, harassing, offensive or inappropriate materials. Additionally, no employee may use these systems to send Company information or copyrighted documents that are not authorized for transmittal or reproduction.</w:t>
      </w:r>
    </w:p>
    <w:p>
      <w:pPr>
        <w:pStyle w:val="TextBody"/>
        <w:bidi w:val="0"/>
        <w:spacing w:lineRule="auto" w:line="300" w:before="0" w:after="0"/>
        <w:jc w:val="left"/>
        <w:rPr>
          <w:color w:val="000000"/>
        </w:rPr>
      </w:pPr>
      <w:r>
        <w:rPr>
          <w:color w:val="000000"/>
        </w:rPr>
        <w:t> </w:t>
      </w:r>
    </w:p>
    <w:p>
      <w:pPr>
        <w:pStyle w:val="Normal"/>
        <w:bidi w:val="0"/>
        <w:spacing w:before="0" w:after="0"/>
        <w:jc w:val="left"/>
        <w:rPr>
          <w:sz w:val="4"/>
          <w:szCs w:val="4"/>
        </w:rPr>
      </w:pPr>
      <w:r>
        <w:rPr>
          <w:sz w:val="4"/>
          <w:szCs w:val="4"/>
        </w:rPr>
      </w:r>
      <w:bookmarkStart w:id="198" w:name="z1a8446301143497fbf84f09fa66fc045"/>
      <w:bookmarkStart w:id="199" w:name="z1a8446301143497fbf84f09fa66fc045"/>
      <w:bookmarkEnd w:id="199"/>
    </w:p>
    <w:tbl>
      <w:tblPr>
        <w:tblW w:w="2973" w:type="dxa"/>
        <w:jc w:val="left"/>
        <w:tblInd w:w="0" w:type="dxa"/>
        <w:tblLayout w:type="fixed"/>
        <w:tblCellMar>
          <w:top w:w="0" w:type="dxa"/>
          <w:left w:w="0" w:type="dxa"/>
          <w:bottom w:w="0" w:type="dxa"/>
          <w:right w:w="0" w:type="dxa"/>
        </w:tblCellMar>
      </w:tblPr>
      <w:tblGrid>
        <w:gridCol w:w="38"/>
        <w:gridCol w:w="350"/>
        <w:gridCol w:w="2585"/>
      </w:tblGrid>
      <w:tr>
        <w:trPr/>
        <w:tc>
          <w:tcPr>
            <w:tcW w:w="38" w:type="dxa"/>
            <w:tcBorders/>
            <w:vAlign w:val="center"/>
          </w:tcPr>
          <w:p>
            <w:pPr>
              <w:pStyle w:val="TableContents"/>
              <w:bidi w:val="0"/>
              <w:spacing w:before="0" w:after="283"/>
              <w:jc w:val="left"/>
              <w:rPr/>
            </w:pPr>
            <w:r>
              <w:rPr/>
            </w:r>
          </w:p>
        </w:tc>
        <w:tc>
          <w:tcPr>
            <w:tcW w:w="350" w:type="dxa"/>
            <w:tcBorders/>
            <w:vAlign w:val="center"/>
          </w:tcPr>
          <w:p>
            <w:pPr>
              <w:pStyle w:val="TableContents"/>
              <w:bidi w:val="0"/>
              <w:spacing w:before="0" w:after="283"/>
              <w:jc w:val="left"/>
              <w:rPr>
                <w:b/>
              </w:rPr>
            </w:pPr>
            <w:r>
              <w:rPr>
                <w:b/>
              </w:rPr>
              <w:t>IX.</w:t>
            </w:r>
          </w:p>
        </w:tc>
        <w:tc>
          <w:tcPr>
            <w:tcW w:w="2585" w:type="dxa"/>
            <w:tcBorders/>
            <w:vAlign w:val="center"/>
          </w:tcPr>
          <w:p>
            <w:pPr>
              <w:pStyle w:val="TableContents"/>
              <w:bidi w:val="0"/>
              <w:spacing w:before="0" w:after="0"/>
              <w:jc w:val="left"/>
              <w:rPr>
                <w:b/>
                <w:u w:val="single"/>
              </w:rPr>
            </w:pPr>
            <w:r>
              <w:rPr>
                <w:b/>
                <w:u w:val="single"/>
              </w:rPr>
              <w:t>Confidential Information</w:t>
            </w:r>
          </w:p>
        </w:tc>
      </w:tr>
    </w:tbl>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720" w:right="353" w:firstLine="566"/>
        <w:jc w:val="both"/>
        <w:rPr>
          <w:rFonts w:ascii="Times New Roman;Times;serif" w:hAnsi="Times New Roman;Times;serif"/>
          <w:color w:val="000000"/>
          <w:sz w:val="20"/>
        </w:rPr>
      </w:pPr>
      <w:r>
        <w:rPr>
          <w:rFonts w:ascii="Times New Roman;Times;serif" w:hAnsi="Times New Roman;Times;serif"/>
          <w:color w:val="000000"/>
          <w:sz w:val="20"/>
        </w:rPr>
        <w:t>Employees are expected to maintain the confidentiality of information that comes to them, from whatever source, during the course of performing their responsibilities for the Company, unless disclosure is required by law, regulation or legal or judicial process. This includes information about the Company and information about third parties such as current or prospective employees, customers, insureds, agents, claimants, suppliers, vendors and current or prospective business partners. Confidential information includes, but is not limited to, non-public business, financial and technical information, proprietary information, employee records, legal advice, and system information. If employees are uncertain about whether information is confidential, they should treat the information as confidential until further guidance is obtained.</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720" w:right="357" w:firstLine="566"/>
        <w:jc w:val="both"/>
        <w:rPr>
          <w:rFonts w:ascii="Times New Roman;Times;serif" w:hAnsi="Times New Roman;Times;serif"/>
          <w:color w:val="000000"/>
          <w:sz w:val="20"/>
        </w:rPr>
      </w:pPr>
      <w:r>
        <w:rPr>
          <w:rFonts w:ascii="Times New Roman;Times;serif" w:hAnsi="Times New Roman;Times;serif"/>
          <w:color w:val="000000"/>
          <w:sz w:val="20"/>
        </w:rPr>
        <w:t>Company and third-party confidential information should be used only for legitimate business purposes, and dissemination of the information (both inside and outside the Company) should be limited to those who have a need to know the information for legitimate business purposes. Any suspected or actual loss, theft or misuse of confidential information should be immediately reported to a supervisor, manager, or the General Counsel.</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720" w:right="357" w:firstLine="566"/>
        <w:jc w:val="both"/>
        <w:rPr>
          <w:rFonts w:ascii="Times New Roman;Times;serif" w:hAnsi="Times New Roman;Times;serif"/>
          <w:color w:val="000000"/>
          <w:sz w:val="20"/>
        </w:rPr>
      </w:pPr>
      <w:r>
        <w:rPr>
          <w:rFonts w:ascii="Times New Roman;Times;serif" w:hAnsi="Times New Roman;Times;serif"/>
          <w:color w:val="000000"/>
          <w:sz w:val="20"/>
        </w:rPr>
        <w:t xml:space="preserve">Employees should take precautionary measures to prevent the disclosure of confidential information. Upon termination of an individual’s employment or affiliation with the Company, they will be directed to return or destroy all written or other materials in any form or medium containing confidential information. The obligation to protect confidential information continues even after the relationship with the Company ends. Similarly, employees have an obligation to protect confidential information gained from past employment or fiduciary relationships with other companies. </w:t>
      </w:r>
    </w:p>
    <w:p>
      <w:pPr>
        <w:pStyle w:val="HorizontalLine"/>
        <w:pBdr>
          <w:bottom w:val="single" w:sz="12" w:space="0" w:color="808080"/>
        </w:pBdr>
        <w:bidi w:val="0"/>
        <w:spacing w:before="200" w:after="200"/>
        <w:jc w:val="left"/>
        <w:rPr/>
      </w:pPr>
      <w:r>
        <w:rPr/>
      </w:r>
    </w:p>
    <w:p>
      <w:pPr>
        <w:pStyle w:val="TextBody"/>
        <w:bidi w:val="0"/>
        <w:spacing w:lineRule="auto" w:line="300" w:before="0" w:after="0"/>
        <w:jc w:val="left"/>
        <w:rPr>
          <w:color w:val="000000"/>
        </w:rPr>
      </w:pPr>
      <w:r>
        <w:rPr>
          <w:color w:val="000000"/>
        </w:rPr>
        <w:t> </w:t>
      </w:r>
    </w:p>
    <w:p>
      <w:pPr>
        <w:pStyle w:val="Normal"/>
        <w:bidi w:val="0"/>
        <w:spacing w:before="0" w:after="0"/>
        <w:jc w:val="left"/>
        <w:rPr>
          <w:sz w:val="4"/>
          <w:szCs w:val="4"/>
        </w:rPr>
      </w:pPr>
      <w:r>
        <w:rPr>
          <w:sz w:val="4"/>
          <w:szCs w:val="4"/>
        </w:rPr>
      </w:r>
      <w:bookmarkStart w:id="200" w:name="z52745c60abd84f4289330f793fcbe31b"/>
      <w:bookmarkStart w:id="201" w:name="z52745c60abd84f4289330f793fcbe31b"/>
      <w:bookmarkEnd w:id="201"/>
    </w:p>
    <w:tbl>
      <w:tblPr>
        <w:tblW w:w="1953" w:type="dxa"/>
        <w:jc w:val="left"/>
        <w:tblInd w:w="0" w:type="dxa"/>
        <w:tblLayout w:type="fixed"/>
        <w:tblCellMar>
          <w:top w:w="0" w:type="dxa"/>
          <w:left w:w="0" w:type="dxa"/>
          <w:bottom w:w="0" w:type="dxa"/>
          <w:right w:w="0" w:type="dxa"/>
        </w:tblCellMar>
      </w:tblPr>
      <w:tblGrid>
        <w:gridCol w:w="38"/>
        <w:gridCol w:w="260"/>
        <w:gridCol w:w="1655"/>
      </w:tblGrid>
      <w:tr>
        <w:trPr/>
        <w:tc>
          <w:tcPr>
            <w:tcW w:w="38" w:type="dxa"/>
            <w:tcBorders/>
            <w:vAlign w:val="center"/>
          </w:tcPr>
          <w:p>
            <w:pPr>
              <w:pStyle w:val="TableContents"/>
              <w:bidi w:val="0"/>
              <w:spacing w:before="0" w:after="283"/>
              <w:jc w:val="left"/>
              <w:rPr/>
            </w:pPr>
            <w:r>
              <w:rPr/>
            </w:r>
          </w:p>
        </w:tc>
        <w:tc>
          <w:tcPr>
            <w:tcW w:w="260" w:type="dxa"/>
            <w:tcBorders/>
            <w:vAlign w:val="center"/>
          </w:tcPr>
          <w:p>
            <w:pPr>
              <w:pStyle w:val="TableContents"/>
              <w:bidi w:val="0"/>
              <w:spacing w:before="0" w:after="283"/>
              <w:jc w:val="left"/>
              <w:rPr>
                <w:b/>
              </w:rPr>
            </w:pPr>
            <w:r>
              <w:rPr>
                <w:b/>
              </w:rPr>
              <w:t>X.</w:t>
            </w:r>
          </w:p>
        </w:tc>
        <w:tc>
          <w:tcPr>
            <w:tcW w:w="1655" w:type="dxa"/>
            <w:tcBorders/>
            <w:vAlign w:val="center"/>
          </w:tcPr>
          <w:p>
            <w:pPr>
              <w:pStyle w:val="TableContents"/>
              <w:bidi w:val="0"/>
              <w:spacing w:before="0" w:after="0"/>
              <w:jc w:val="left"/>
              <w:rPr>
                <w:b/>
                <w:u w:val="single"/>
              </w:rPr>
            </w:pPr>
            <w:r>
              <w:rPr>
                <w:b/>
                <w:u w:val="single"/>
              </w:rPr>
              <w:t>Insider Trading</w:t>
            </w:r>
          </w:p>
        </w:tc>
      </w:tr>
    </w:tbl>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720" w:right="353" w:firstLine="566"/>
        <w:jc w:val="both"/>
        <w:rPr>
          <w:rFonts w:ascii="Times New Roman;Times;serif" w:hAnsi="Times New Roman;Times;serif"/>
          <w:color w:val="000000"/>
          <w:sz w:val="20"/>
        </w:rPr>
      </w:pPr>
      <w:r>
        <w:rPr>
          <w:rFonts w:ascii="Times New Roman;Times;serif" w:hAnsi="Times New Roman;Times;serif"/>
          <w:color w:val="000000"/>
          <w:sz w:val="20"/>
        </w:rPr>
        <w:t>Federal and state laws prohibit buying, selling, or making other transfers of securities by persons who have material nonpublic information about a company. Even if not shareholders, these laws prohibit persons with this information from disclosing it to others who may trade. “Material information” generally means information that there is a likelihood a reasonable investor would consider important in deciding whether to buy, hold or sell securities. “Nonpublic information” is information that is not generally known or available to the public. Insider trading is a crime punishable by civil penalties, criminal fines and prison. Companies may also face civil penalties for insider trading violations by their employees and other agents.</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720" w:right="356" w:firstLine="566"/>
        <w:jc w:val="both"/>
        <w:rPr>
          <w:rFonts w:ascii="Times New Roman;Times;serif" w:hAnsi="Times New Roman;Times;serif"/>
          <w:color w:val="000000"/>
          <w:sz w:val="20"/>
        </w:rPr>
      </w:pPr>
      <w:r>
        <w:rPr>
          <w:rFonts w:ascii="Times New Roman;Times;serif" w:hAnsi="Times New Roman;Times;serif"/>
          <w:color w:val="000000"/>
          <w:sz w:val="20"/>
        </w:rPr>
        <w:t>Employees may not trade in the securities of any company when they are aware of material nonpublic information about that company. This policy against “insider trading” applies to trading in Company securities, as well as to trading in the securities of other companies, such as the Company’s customers, distributors, suppliers, and companies with which the Company may be negotiating a major transaction. In addition, employees may not convey material nonpublic information about the Company or another company to others or suggest that anyone purchase or sell any company’s securities while they are aware of material nonpublic information about that company. This practice, known as “tipping,” may violate the securities laws and may result in the same civil and criminal penalties that apply to engaging in insider trading directly, even if the employee does not receive any money or derive any benefit from trades made by persons to whom the employee passed material nonpublic information.</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1286" w:right="0" w:hanging="0"/>
        <w:jc w:val="left"/>
        <w:rPr>
          <w:rFonts w:ascii="Times New Roman;Times;serif" w:hAnsi="Times New Roman;Times;serif"/>
          <w:color w:val="000000"/>
          <w:sz w:val="20"/>
        </w:rPr>
      </w:pPr>
      <w:r>
        <w:rPr>
          <w:rFonts w:ascii="Times New Roman;Times;serif" w:hAnsi="Times New Roman;Times;serif"/>
          <w:color w:val="000000"/>
          <w:sz w:val="20"/>
        </w:rPr>
        <w:t>See the Company’s Insider Trading Policy for more information.</w:t>
      </w:r>
    </w:p>
    <w:p>
      <w:pPr>
        <w:pStyle w:val="TextBody"/>
        <w:bidi w:val="0"/>
        <w:spacing w:lineRule="auto" w:line="300" w:before="0" w:after="0"/>
        <w:jc w:val="left"/>
        <w:rPr/>
      </w:pPr>
      <w:r>
        <w:rPr/>
      </w:r>
    </w:p>
    <w:p>
      <w:pPr>
        <w:pStyle w:val="Normal"/>
        <w:bidi w:val="0"/>
        <w:spacing w:before="0" w:after="0"/>
        <w:jc w:val="left"/>
        <w:rPr>
          <w:sz w:val="4"/>
          <w:szCs w:val="4"/>
        </w:rPr>
      </w:pPr>
      <w:r>
        <w:rPr>
          <w:sz w:val="4"/>
          <w:szCs w:val="4"/>
        </w:rPr>
      </w:r>
      <w:bookmarkStart w:id="202" w:name="z1aea527af98c44c499268b93b9f5c61a"/>
      <w:bookmarkStart w:id="203" w:name="z1aea527af98c44c499268b93b9f5c61a"/>
      <w:bookmarkEnd w:id="203"/>
    </w:p>
    <w:tbl>
      <w:tblPr>
        <w:tblW w:w="5958" w:type="dxa"/>
        <w:jc w:val="left"/>
        <w:tblInd w:w="0" w:type="dxa"/>
        <w:tblLayout w:type="fixed"/>
        <w:tblCellMar>
          <w:top w:w="0" w:type="dxa"/>
          <w:left w:w="0" w:type="dxa"/>
          <w:bottom w:w="0" w:type="dxa"/>
          <w:right w:w="0" w:type="dxa"/>
        </w:tblCellMar>
      </w:tblPr>
      <w:tblGrid>
        <w:gridCol w:w="38"/>
        <w:gridCol w:w="350"/>
        <w:gridCol w:w="5570"/>
      </w:tblGrid>
      <w:tr>
        <w:trPr/>
        <w:tc>
          <w:tcPr>
            <w:tcW w:w="38" w:type="dxa"/>
            <w:tcBorders/>
            <w:vAlign w:val="center"/>
          </w:tcPr>
          <w:p>
            <w:pPr>
              <w:pStyle w:val="TableContents"/>
              <w:bidi w:val="0"/>
              <w:spacing w:before="0" w:after="283"/>
              <w:jc w:val="left"/>
              <w:rPr/>
            </w:pPr>
            <w:r>
              <w:rPr/>
            </w:r>
          </w:p>
        </w:tc>
        <w:tc>
          <w:tcPr>
            <w:tcW w:w="350" w:type="dxa"/>
            <w:tcBorders/>
            <w:vAlign w:val="center"/>
          </w:tcPr>
          <w:p>
            <w:pPr>
              <w:pStyle w:val="TableContents"/>
              <w:bidi w:val="0"/>
              <w:spacing w:before="0" w:after="283"/>
              <w:jc w:val="left"/>
              <w:rPr>
                <w:b/>
              </w:rPr>
            </w:pPr>
            <w:r>
              <w:rPr>
                <w:b/>
              </w:rPr>
              <w:t>XI.</w:t>
            </w:r>
          </w:p>
        </w:tc>
        <w:tc>
          <w:tcPr>
            <w:tcW w:w="5570" w:type="dxa"/>
            <w:tcBorders/>
            <w:vAlign w:val="center"/>
          </w:tcPr>
          <w:p>
            <w:pPr>
              <w:pStyle w:val="TableContents"/>
              <w:bidi w:val="0"/>
              <w:spacing w:before="0" w:after="0"/>
              <w:jc w:val="left"/>
              <w:rPr>
                <w:b/>
                <w:u w:val="single"/>
              </w:rPr>
            </w:pPr>
            <w:r>
              <w:rPr>
                <w:b/>
                <w:u w:val="single"/>
              </w:rPr>
              <w:t>Maintaining Books and Records and Public Reporting</w:t>
            </w:r>
          </w:p>
        </w:tc>
      </w:tr>
    </w:tbl>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720" w:right="358" w:firstLine="566"/>
        <w:jc w:val="both"/>
        <w:rPr>
          <w:rFonts w:ascii="Times New Roman;Times;serif" w:hAnsi="Times New Roman;Times;serif"/>
          <w:color w:val="000000"/>
          <w:sz w:val="20"/>
        </w:rPr>
      </w:pPr>
      <w:r>
        <w:rPr>
          <w:rFonts w:ascii="Times New Roman;Times;serif" w:hAnsi="Times New Roman;Times;serif"/>
          <w:color w:val="000000"/>
          <w:sz w:val="20"/>
        </w:rPr>
        <w:t>Employees are expected to maintain books and records in appropriate detail to reflect the Company’s transactions accurately, fairly, and completely. The Company’s policy of accurate, fair and complete recordkeeping applies to all Company records. Documentation relating to a transaction should fully and accurately describe the nature of the transaction.</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720" w:right="357" w:firstLine="566"/>
        <w:jc w:val="both"/>
        <w:rPr>
          <w:rFonts w:ascii="Times New Roman;Times;serif" w:hAnsi="Times New Roman;Times;serif"/>
          <w:color w:val="000000"/>
          <w:sz w:val="20"/>
        </w:rPr>
      </w:pPr>
      <w:r>
        <w:rPr>
          <w:rFonts w:ascii="Times New Roman;Times;serif" w:hAnsi="Times New Roman;Times;serif"/>
          <w:color w:val="000000"/>
          <w:sz w:val="20"/>
        </w:rPr>
        <w:t>As a public company, the Company files financial statements and other information with the U.S. Securities and Exchange Commission (“SEC”). Employees are responsible for the accurate and complete reporting of financial information within their respective areas of responsibility and for the timely notification to senior management of financial and non-financial information that may be material to the Company. Reports and other documents that the Company files with or submits to the SEC, and other public communications, should contain full, fair, accurate, timely and understandable disclosure.</w:t>
      </w:r>
    </w:p>
    <w:p>
      <w:pPr>
        <w:pStyle w:val="TextBody"/>
        <w:bidi w:val="0"/>
        <w:spacing w:lineRule="auto" w:line="300" w:before="0" w:after="0"/>
        <w:jc w:val="left"/>
        <w:rPr/>
      </w:pPr>
      <w:r>
        <w:rPr/>
      </w:r>
    </w:p>
    <w:p>
      <w:pPr>
        <w:pStyle w:val="Normal"/>
        <w:bidi w:val="0"/>
        <w:spacing w:before="0" w:after="0"/>
        <w:jc w:val="left"/>
        <w:rPr>
          <w:sz w:val="4"/>
          <w:szCs w:val="4"/>
        </w:rPr>
      </w:pPr>
      <w:r>
        <w:rPr>
          <w:sz w:val="4"/>
          <w:szCs w:val="4"/>
        </w:rPr>
      </w:r>
      <w:bookmarkStart w:id="204" w:name="z64da3fded25a47539747a21756805502"/>
      <w:bookmarkStart w:id="205" w:name="z64da3fded25a47539747a21756805502"/>
      <w:bookmarkEnd w:id="205"/>
    </w:p>
    <w:tbl>
      <w:tblPr>
        <w:tblW w:w="3183" w:type="dxa"/>
        <w:jc w:val="left"/>
        <w:tblInd w:w="0" w:type="dxa"/>
        <w:tblLayout w:type="fixed"/>
        <w:tblCellMar>
          <w:top w:w="0" w:type="dxa"/>
          <w:left w:w="0" w:type="dxa"/>
          <w:bottom w:w="0" w:type="dxa"/>
          <w:right w:w="0" w:type="dxa"/>
        </w:tblCellMar>
      </w:tblPr>
      <w:tblGrid>
        <w:gridCol w:w="38"/>
        <w:gridCol w:w="440"/>
        <w:gridCol w:w="2705"/>
      </w:tblGrid>
      <w:tr>
        <w:trPr/>
        <w:tc>
          <w:tcPr>
            <w:tcW w:w="38" w:type="dxa"/>
            <w:tcBorders/>
            <w:vAlign w:val="center"/>
          </w:tcPr>
          <w:p>
            <w:pPr>
              <w:pStyle w:val="TableContents"/>
              <w:bidi w:val="0"/>
              <w:spacing w:before="0" w:after="283"/>
              <w:jc w:val="left"/>
              <w:rPr/>
            </w:pPr>
            <w:r>
              <w:rPr/>
            </w:r>
          </w:p>
        </w:tc>
        <w:tc>
          <w:tcPr>
            <w:tcW w:w="440" w:type="dxa"/>
            <w:tcBorders/>
            <w:vAlign w:val="center"/>
          </w:tcPr>
          <w:p>
            <w:pPr>
              <w:pStyle w:val="TableContents"/>
              <w:bidi w:val="0"/>
              <w:spacing w:before="0" w:after="283"/>
              <w:jc w:val="left"/>
              <w:rPr>
                <w:b/>
              </w:rPr>
            </w:pPr>
            <w:r>
              <w:rPr>
                <w:b/>
              </w:rPr>
              <w:t>XII.</w:t>
            </w:r>
          </w:p>
        </w:tc>
        <w:tc>
          <w:tcPr>
            <w:tcW w:w="2705" w:type="dxa"/>
            <w:tcBorders/>
            <w:vAlign w:val="center"/>
          </w:tcPr>
          <w:p>
            <w:pPr>
              <w:pStyle w:val="TableContents"/>
              <w:bidi w:val="0"/>
              <w:spacing w:before="0" w:after="0"/>
              <w:jc w:val="left"/>
              <w:rPr>
                <w:b/>
                <w:u w:val="single"/>
              </w:rPr>
            </w:pPr>
            <w:r>
              <w:rPr>
                <w:b/>
                <w:u w:val="single"/>
              </w:rPr>
              <w:t>External Communications</w:t>
            </w:r>
          </w:p>
        </w:tc>
      </w:tr>
    </w:tbl>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720" w:right="357" w:firstLine="566"/>
        <w:jc w:val="both"/>
        <w:rPr>
          <w:rFonts w:ascii="Times New Roman;Times;serif" w:hAnsi="Times New Roman;Times;serif"/>
          <w:color w:val="000000"/>
          <w:sz w:val="20"/>
        </w:rPr>
      </w:pPr>
      <w:r>
        <w:rPr>
          <w:rFonts w:ascii="Times New Roman;Times;serif" w:hAnsi="Times New Roman;Times;serif"/>
          <w:color w:val="000000"/>
          <w:sz w:val="20"/>
        </w:rPr>
        <w:t xml:space="preserve">The Company strives to maintain open, honest, and consistent communications. In order to facilitate the accuracy and appropriateness of all information publicly disclosed, only authorized individuals are permitted to speak with or respond to inquiries from the media, shareholders, the investment community (such as securities analysts and investment advisors) and government entities. If an employee is contacted by a member of the media, a shareholder or a member of the investment community, the employee should decline to comment and should immediately refer all inquiries to the Chief Financial Officer or the Chief Marketing Officer. Inquiries from a government entity should be referred immediately to the General Counsel. </w:t>
      </w:r>
    </w:p>
    <w:p>
      <w:pPr>
        <w:pStyle w:val="HorizontalLine"/>
        <w:pBdr>
          <w:bottom w:val="single" w:sz="12" w:space="0" w:color="808080"/>
        </w:pBdr>
        <w:bidi w:val="0"/>
        <w:spacing w:before="200" w:after="200"/>
        <w:jc w:val="left"/>
        <w:rPr/>
      </w:pPr>
      <w:r>
        <w:rPr/>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720" w:right="357" w:firstLine="566"/>
        <w:jc w:val="both"/>
        <w:rPr>
          <w:rFonts w:ascii="Times New Roman;Times;serif" w:hAnsi="Times New Roman;Times;serif"/>
          <w:color w:val="000000"/>
          <w:sz w:val="20"/>
        </w:rPr>
      </w:pPr>
      <w:r>
        <w:rPr>
          <w:rFonts w:ascii="Times New Roman;Times;serif" w:hAnsi="Times New Roman;Times;serif"/>
          <w:color w:val="000000"/>
          <w:sz w:val="20"/>
        </w:rPr>
        <w:t>The Company has adopted this policy in part to promote compliance with Regulation FD (Fair Disclosure). Regulation FD is a rule under the U.S. federal securities laws that prohibits companies from disclosing material nonpublic information to shareholders where it is reasonable to expect that they will trade on the information, and to the investment community without also disclosing the information to the public. To promote compliance with Regulation FD, the Company permits only designated spokespersons to discuss the Company with the media, shareholders, and the investment community.</w:t>
      </w:r>
    </w:p>
    <w:p>
      <w:pPr>
        <w:pStyle w:val="TextBody"/>
        <w:bidi w:val="0"/>
        <w:spacing w:lineRule="auto" w:line="300" w:before="0" w:after="0"/>
        <w:jc w:val="left"/>
        <w:rPr>
          <w:color w:val="000000"/>
        </w:rPr>
      </w:pPr>
      <w:r>
        <w:rPr>
          <w:color w:val="000000"/>
        </w:rPr>
        <w:t> </w:t>
      </w:r>
    </w:p>
    <w:p>
      <w:pPr>
        <w:pStyle w:val="Normal"/>
        <w:bidi w:val="0"/>
        <w:spacing w:before="0" w:after="0"/>
        <w:jc w:val="left"/>
        <w:rPr>
          <w:sz w:val="4"/>
          <w:szCs w:val="4"/>
        </w:rPr>
      </w:pPr>
      <w:r>
        <w:rPr>
          <w:sz w:val="4"/>
          <w:szCs w:val="4"/>
        </w:rPr>
      </w:r>
      <w:bookmarkStart w:id="206" w:name="z11edb8d0c1a2429fb3b49718c7436a83"/>
      <w:bookmarkStart w:id="207" w:name="z11edb8d0c1a2429fb3b49718c7436a83"/>
      <w:bookmarkEnd w:id="207"/>
    </w:p>
    <w:tbl>
      <w:tblPr>
        <w:tblW w:w="5178" w:type="dxa"/>
        <w:jc w:val="left"/>
        <w:tblInd w:w="0" w:type="dxa"/>
        <w:tblLayout w:type="fixed"/>
        <w:tblCellMar>
          <w:top w:w="0" w:type="dxa"/>
          <w:left w:w="0" w:type="dxa"/>
          <w:bottom w:w="0" w:type="dxa"/>
          <w:right w:w="0" w:type="dxa"/>
        </w:tblCellMar>
      </w:tblPr>
      <w:tblGrid>
        <w:gridCol w:w="38"/>
        <w:gridCol w:w="530"/>
        <w:gridCol w:w="4610"/>
      </w:tblGrid>
      <w:tr>
        <w:trPr/>
        <w:tc>
          <w:tcPr>
            <w:tcW w:w="38" w:type="dxa"/>
            <w:tcBorders/>
            <w:vAlign w:val="center"/>
          </w:tcPr>
          <w:p>
            <w:pPr>
              <w:pStyle w:val="TableContents"/>
              <w:bidi w:val="0"/>
              <w:spacing w:before="0" w:after="283"/>
              <w:jc w:val="left"/>
              <w:rPr/>
            </w:pPr>
            <w:r>
              <w:rPr/>
            </w:r>
          </w:p>
        </w:tc>
        <w:tc>
          <w:tcPr>
            <w:tcW w:w="530" w:type="dxa"/>
            <w:tcBorders/>
            <w:vAlign w:val="center"/>
          </w:tcPr>
          <w:p>
            <w:pPr>
              <w:pStyle w:val="TableContents"/>
              <w:bidi w:val="0"/>
              <w:spacing w:before="0" w:after="283"/>
              <w:jc w:val="left"/>
              <w:rPr>
                <w:b/>
              </w:rPr>
            </w:pPr>
            <w:r>
              <w:rPr>
                <w:b/>
              </w:rPr>
              <w:t>XIII.</w:t>
            </w:r>
          </w:p>
        </w:tc>
        <w:tc>
          <w:tcPr>
            <w:tcW w:w="4610" w:type="dxa"/>
            <w:tcBorders/>
            <w:vAlign w:val="center"/>
          </w:tcPr>
          <w:p>
            <w:pPr>
              <w:pStyle w:val="TableContents"/>
              <w:bidi w:val="0"/>
              <w:spacing w:before="0" w:after="0"/>
              <w:jc w:val="left"/>
              <w:rPr>
                <w:b/>
              </w:rPr>
            </w:pPr>
            <w:r>
              <w:rPr>
                <w:b/>
                <w:u w:val="single"/>
              </w:rPr>
              <w:t>Equal Employment and Working Condition</w:t>
            </w:r>
            <w:r>
              <w:rPr>
                <w:b/>
              </w:rPr>
              <w:t>s</w:t>
            </w:r>
          </w:p>
        </w:tc>
      </w:tr>
    </w:tbl>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720" w:right="354" w:firstLine="566"/>
        <w:jc w:val="both"/>
        <w:rPr>
          <w:rFonts w:ascii="Times New Roman;Times;serif" w:hAnsi="Times New Roman;Times;serif"/>
          <w:color w:val="000000"/>
          <w:sz w:val="20"/>
        </w:rPr>
      </w:pPr>
      <w:r>
        <w:rPr>
          <w:rFonts w:ascii="Times New Roman;Times;serif" w:hAnsi="Times New Roman;Times;serif"/>
          <w:color w:val="000000"/>
          <w:sz w:val="20"/>
        </w:rPr>
        <w:t>The Company is committed to providing equal opportunity in all aspects of employment and does not tolerate any illegal discrimination, harassment, or retaliation of any kind. All employment practices and decisions, including those involving recruiting, hiring, transfers, promotions, training, compensation, benefits, discipline, and termination, must be conducted without regard to age, sex, race, color, ancestry, religion, creed, citizenship status, disability, national origin, marital status, military status, sexual orientation, gender identity or any other protected status or activity, and must comply with all applicable laws. In addition, the Company will provide reasonable accommodation for disability and religion as required by law.</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720" w:right="353" w:firstLine="566"/>
        <w:jc w:val="both"/>
        <w:rPr>
          <w:rFonts w:ascii="Times New Roman;Times;serif" w:hAnsi="Times New Roman;Times;serif"/>
          <w:color w:val="000000"/>
          <w:sz w:val="20"/>
        </w:rPr>
      </w:pPr>
      <w:r>
        <w:rPr>
          <w:rFonts w:ascii="Times New Roman;Times;serif" w:hAnsi="Times New Roman;Times;serif"/>
          <w:color w:val="000000"/>
          <w:sz w:val="20"/>
        </w:rPr>
        <w:t>In addition, the Company prohibits harassing or discriminatory conduct in the workplace, whether based upon age, sex, race, color, ancestry, religion, creed, citizenship status, disability, national origin, marital status, military status, sexual orientation, gender identity or any other protected status or activity. This includes sexual harassment, regardless of whether it is committed by supervisory or non-supervisory employees.</w:t>
      </w:r>
    </w:p>
    <w:p>
      <w:pPr>
        <w:pStyle w:val="TextBody"/>
        <w:bidi w:val="0"/>
        <w:spacing w:lineRule="auto" w:line="300" w:before="0" w:after="0"/>
        <w:jc w:val="left"/>
        <w:rPr/>
      </w:pPr>
      <w:r>
        <w:rPr/>
      </w:r>
    </w:p>
    <w:p>
      <w:pPr>
        <w:pStyle w:val="Normal"/>
        <w:bidi w:val="0"/>
        <w:spacing w:before="0" w:after="0"/>
        <w:jc w:val="left"/>
        <w:rPr>
          <w:sz w:val="4"/>
          <w:szCs w:val="4"/>
        </w:rPr>
      </w:pPr>
      <w:r>
        <w:rPr>
          <w:sz w:val="4"/>
          <w:szCs w:val="4"/>
        </w:rPr>
      </w:r>
      <w:bookmarkStart w:id="208" w:name="z9bb3f32c4c0a4cd6a23f1047069c94cd"/>
      <w:bookmarkStart w:id="209" w:name="z9bb3f32c4c0a4cd6a23f1047069c94cd"/>
      <w:bookmarkEnd w:id="209"/>
    </w:p>
    <w:tbl>
      <w:tblPr>
        <w:tblW w:w="2088" w:type="dxa"/>
        <w:jc w:val="left"/>
        <w:tblInd w:w="0" w:type="dxa"/>
        <w:tblLayout w:type="fixed"/>
        <w:tblCellMar>
          <w:top w:w="0" w:type="dxa"/>
          <w:left w:w="0" w:type="dxa"/>
          <w:bottom w:w="0" w:type="dxa"/>
          <w:right w:w="0" w:type="dxa"/>
        </w:tblCellMar>
      </w:tblPr>
      <w:tblGrid>
        <w:gridCol w:w="38"/>
        <w:gridCol w:w="530"/>
        <w:gridCol w:w="1520"/>
      </w:tblGrid>
      <w:tr>
        <w:trPr/>
        <w:tc>
          <w:tcPr>
            <w:tcW w:w="38" w:type="dxa"/>
            <w:tcBorders/>
            <w:vAlign w:val="center"/>
          </w:tcPr>
          <w:p>
            <w:pPr>
              <w:pStyle w:val="TableContents"/>
              <w:bidi w:val="0"/>
              <w:spacing w:before="0" w:after="283"/>
              <w:jc w:val="left"/>
              <w:rPr/>
            </w:pPr>
            <w:r>
              <w:rPr/>
            </w:r>
          </w:p>
        </w:tc>
        <w:tc>
          <w:tcPr>
            <w:tcW w:w="530" w:type="dxa"/>
            <w:tcBorders/>
            <w:vAlign w:val="center"/>
          </w:tcPr>
          <w:p>
            <w:pPr>
              <w:pStyle w:val="TableContents"/>
              <w:bidi w:val="0"/>
              <w:spacing w:before="0" w:after="283"/>
              <w:jc w:val="left"/>
              <w:rPr>
                <w:b/>
              </w:rPr>
            </w:pPr>
            <w:r>
              <w:rPr>
                <w:b/>
              </w:rPr>
              <w:t>XIV.</w:t>
            </w:r>
          </w:p>
        </w:tc>
        <w:tc>
          <w:tcPr>
            <w:tcW w:w="1520" w:type="dxa"/>
            <w:tcBorders/>
            <w:vAlign w:val="center"/>
          </w:tcPr>
          <w:p>
            <w:pPr>
              <w:pStyle w:val="TableContents"/>
              <w:bidi w:val="0"/>
              <w:spacing w:before="0" w:after="0"/>
              <w:jc w:val="left"/>
              <w:rPr>
                <w:b/>
                <w:u w:val="single"/>
              </w:rPr>
            </w:pPr>
            <w:r>
              <w:rPr>
                <w:b/>
                <w:u w:val="single"/>
              </w:rPr>
              <w:t>Human Rights</w:t>
            </w:r>
          </w:p>
        </w:tc>
      </w:tr>
    </w:tbl>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720" w:right="352" w:firstLine="566"/>
        <w:jc w:val="both"/>
        <w:rPr>
          <w:rFonts w:ascii="Times New Roman;Times;serif" w:hAnsi="Times New Roman;Times;serif"/>
          <w:color w:val="000000"/>
          <w:sz w:val="20"/>
        </w:rPr>
      </w:pPr>
      <w:r>
        <w:rPr>
          <w:rFonts w:ascii="Times New Roman;Times;serif" w:hAnsi="Times New Roman;Times;serif"/>
          <w:color w:val="000000"/>
          <w:sz w:val="20"/>
        </w:rPr>
        <w:t>The Company is committed to respecting human rights, in accordance with accepted international conventions and practices, such as those of the United Nations 'Universal Declaration of Human Rights, ILO Core Conventions on Labor Standards, UN Global Compact, the OECD Guidelines for Multinational Enterprises and the Australian Modern Slavery Act (2018). The Company strives to ensure that all materials used in our products come from socially responsible sources and does not tolerate nor by any means profit from, contribute to, assist with or facilitate any activity that fuels conflict or violates human rights. The Company requires the parties in our supply chain to agree to similar principles (as detailed in it’s Supplier Code of Conduct). Further details on the Company’s position and practices on human rights can be found on it’s public ‘Approach to Human Rights’ and topic-specific documents available on the Company’s web-site.</w:t>
      </w:r>
    </w:p>
    <w:p>
      <w:pPr>
        <w:pStyle w:val="HorizontalLine"/>
        <w:pBdr>
          <w:bottom w:val="single" w:sz="12" w:space="0" w:color="808080"/>
        </w:pBdr>
        <w:bidi w:val="0"/>
        <w:spacing w:before="200" w:after="200"/>
        <w:jc w:val="left"/>
        <w:rPr/>
      </w:pPr>
      <w:r>
        <w:rPr/>
      </w:r>
    </w:p>
    <w:p>
      <w:pPr>
        <w:pStyle w:val="TextBody"/>
        <w:bidi w:val="0"/>
        <w:spacing w:lineRule="auto" w:line="300" w:before="0" w:after="0"/>
        <w:jc w:val="left"/>
        <w:rPr/>
      </w:pPr>
      <w:r>
        <w:rPr/>
      </w:r>
    </w:p>
    <w:p>
      <w:pPr>
        <w:pStyle w:val="Normal"/>
        <w:bidi w:val="0"/>
        <w:spacing w:before="0" w:after="0"/>
        <w:jc w:val="left"/>
        <w:rPr>
          <w:sz w:val="4"/>
          <w:szCs w:val="4"/>
        </w:rPr>
      </w:pPr>
      <w:r>
        <w:rPr>
          <w:sz w:val="4"/>
          <w:szCs w:val="4"/>
        </w:rPr>
      </w:r>
      <w:bookmarkStart w:id="210" w:name="zf1fdcdb81d3849d5b7f770839e8dbb7b"/>
      <w:bookmarkStart w:id="211" w:name="zf1fdcdb81d3849d5b7f770839e8dbb7b"/>
      <w:bookmarkEnd w:id="211"/>
    </w:p>
    <w:tbl>
      <w:tblPr>
        <w:tblW w:w="2208" w:type="dxa"/>
        <w:jc w:val="left"/>
        <w:tblInd w:w="0" w:type="dxa"/>
        <w:tblLayout w:type="fixed"/>
        <w:tblCellMar>
          <w:top w:w="0" w:type="dxa"/>
          <w:left w:w="0" w:type="dxa"/>
          <w:bottom w:w="0" w:type="dxa"/>
          <w:right w:w="0" w:type="dxa"/>
        </w:tblCellMar>
      </w:tblPr>
      <w:tblGrid>
        <w:gridCol w:w="38"/>
        <w:gridCol w:w="440"/>
        <w:gridCol w:w="1730"/>
      </w:tblGrid>
      <w:tr>
        <w:trPr/>
        <w:tc>
          <w:tcPr>
            <w:tcW w:w="38" w:type="dxa"/>
            <w:tcBorders/>
            <w:vAlign w:val="center"/>
          </w:tcPr>
          <w:p>
            <w:pPr>
              <w:pStyle w:val="TableContents"/>
              <w:bidi w:val="0"/>
              <w:spacing w:before="0" w:after="283"/>
              <w:jc w:val="left"/>
              <w:rPr/>
            </w:pPr>
            <w:r>
              <w:rPr/>
            </w:r>
          </w:p>
        </w:tc>
        <w:tc>
          <w:tcPr>
            <w:tcW w:w="440" w:type="dxa"/>
            <w:tcBorders/>
            <w:vAlign w:val="center"/>
          </w:tcPr>
          <w:p>
            <w:pPr>
              <w:pStyle w:val="TableContents"/>
              <w:bidi w:val="0"/>
              <w:spacing w:before="0" w:after="283"/>
              <w:jc w:val="left"/>
              <w:rPr>
                <w:b/>
              </w:rPr>
            </w:pPr>
            <w:r>
              <w:rPr>
                <w:b/>
              </w:rPr>
              <w:t>XV.</w:t>
            </w:r>
          </w:p>
        </w:tc>
        <w:tc>
          <w:tcPr>
            <w:tcW w:w="1730" w:type="dxa"/>
            <w:tcBorders/>
            <w:vAlign w:val="center"/>
          </w:tcPr>
          <w:p>
            <w:pPr>
              <w:pStyle w:val="TableContents"/>
              <w:bidi w:val="0"/>
              <w:spacing w:before="0" w:after="0"/>
              <w:jc w:val="left"/>
              <w:rPr>
                <w:b/>
                <w:u w:val="single"/>
              </w:rPr>
            </w:pPr>
            <w:r>
              <w:rPr>
                <w:b/>
                <w:u w:val="single"/>
              </w:rPr>
              <w:t>Anti-Corruption</w:t>
            </w:r>
          </w:p>
        </w:tc>
      </w:tr>
    </w:tbl>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720" w:right="0" w:firstLine="566"/>
        <w:jc w:val="left"/>
        <w:rPr>
          <w:rFonts w:ascii="Times New Roman;Times;serif" w:hAnsi="Times New Roman;Times;serif"/>
          <w:color w:val="000000"/>
          <w:sz w:val="20"/>
        </w:rPr>
      </w:pPr>
      <w:r>
        <w:rPr>
          <w:rFonts w:ascii="Times New Roman;Times;serif" w:hAnsi="Times New Roman;Times;serif"/>
          <w:color w:val="000000"/>
          <w:sz w:val="20"/>
        </w:rPr>
        <w:t>No one acting on behalf of the Company may use bribes, kickbacks, or other corrupt practices in conducting the Company’s business. Employees must comply with the U.S. Foreign Corrupt Practices Act (“FCPA”) whether they are located in the United States or abroad.</w:t>
      </w:r>
    </w:p>
    <w:p>
      <w:pPr>
        <w:pStyle w:val="TextBody"/>
        <w:bidi w:val="0"/>
        <w:spacing w:lineRule="auto" w:line="300" w:before="0" w:after="0"/>
        <w:jc w:val="left"/>
        <w:rPr>
          <w:color w:val="000000"/>
        </w:rPr>
      </w:pPr>
      <w:r>
        <w:rPr>
          <w:color w:val="000000"/>
        </w:rPr>
        <w:t> </w:t>
      </w:r>
    </w:p>
    <w:p>
      <w:pPr>
        <w:pStyle w:val="Normal"/>
        <w:bidi w:val="0"/>
        <w:spacing w:before="0" w:after="0"/>
        <w:jc w:val="left"/>
        <w:rPr>
          <w:sz w:val="4"/>
          <w:szCs w:val="4"/>
        </w:rPr>
      </w:pPr>
      <w:r>
        <w:rPr>
          <w:sz w:val="4"/>
          <w:szCs w:val="4"/>
        </w:rPr>
      </w:r>
      <w:bookmarkStart w:id="212" w:name="zc798b366d5ce47b4920c36aa3064ce39"/>
      <w:bookmarkStart w:id="213" w:name="zc798b366d5ce47b4920c36aa3064ce39"/>
      <w:bookmarkEnd w:id="213"/>
    </w:p>
    <w:tbl>
      <w:tblPr>
        <w:tblW w:w="2418" w:type="dxa"/>
        <w:jc w:val="left"/>
        <w:tblInd w:w="0" w:type="dxa"/>
        <w:tblLayout w:type="fixed"/>
        <w:tblCellMar>
          <w:top w:w="0" w:type="dxa"/>
          <w:left w:w="0" w:type="dxa"/>
          <w:bottom w:w="0" w:type="dxa"/>
          <w:right w:w="0" w:type="dxa"/>
        </w:tblCellMar>
      </w:tblPr>
      <w:tblGrid>
        <w:gridCol w:w="38"/>
        <w:gridCol w:w="530"/>
        <w:gridCol w:w="1850"/>
      </w:tblGrid>
      <w:tr>
        <w:trPr/>
        <w:tc>
          <w:tcPr>
            <w:tcW w:w="38" w:type="dxa"/>
            <w:tcBorders/>
            <w:vAlign w:val="center"/>
          </w:tcPr>
          <w:p>
            <w:pPr>
              <w:pStyle w:val="TableContents"/>
              <w:bidi w:val="0"/>
              <w:spacing w:before="0" w:after="283"/>
              <w:jc w:val="left"/>
              <w:rPr/>
            </w:pPr>
            <w:r>
              <w:rPr/>
            </w:r>
          </w:p>
        </w:tc>
        <w:tc>
          <w:tcPr>
            <w:tcW w:w="530" w:type="dxa"/>
            <w:tcBorders/>
            <w:vAlign w:val="center"/>
          </w:tcPr>
          <w:p>
            <w:pPr>
              <w:pStyle w:val="TableContents"/>
              <w:bidi w:val="0"/>
              <w:spacing w:before="0" w:after="283"/>
              <w:jc w:val="left"/>
              <w:rPr>
                <w:b/>
              </w:rPr>
            </w:pPr>
            <w:r>
              <w:rPr>
                <w:b/>
              </w:rPr>
              <w:t>XVI.</w:t>
            </w:r>
          </w:p>
        </w:tc>
        <w:tc>
          <w:tcPr>
            <w:tcW w:w="1850" w:type="dxa"/>
            <w:tcBorders/>
            <w:vAlign w:val="center"/>
          </w:tcPr>
          <w:p>
            <w:pPr>
              <w:pStyle w:val="TableContents"/>
              <w:bidi w:val="0"/>
              <w:spacing w:before="0" w:after="0"/>
              <w:jc w:val="left"/>
              <w:rPr>
                <w:b/>
                <w:u w:val="single"/>
              </w:rPr>
            </w:pPr>
            <w:r>
              <w:rPr>
                <w:b/>
                <w:u w:val="single"/>
              </w:rPr>
              <w:t>Health and Safety</w:t>
            </w:r>
          </w:p>
        </w:tc>
      </w:tr>
    </w:tbl>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720" w:right="354" w:firstLine="566"/>
        <w:jc w:val="both"/>
        <w:rPr>
          <w:rFonts w:ascii="Times New Roman;Times;serif" w:hAnsi="Times New Roman;Times;serif"/>
          <w:color w:val="000000"/>
          <w:sz w:val="20"/>
        </w:rPr>
      </w:pPr>
      <w:r>
        <w:rPr>
          <w:rFonts w:ascii="Times New Roman;Times;serif" w:hAnsi="Times New Roman;Times;serif"/>
          <w:color w:val="000000"/>
          <w:sz w:val="20"/>
        </w:rPr>
        <w:t>The Company strives to provide each of its employees with a safe and healthful work environment. Employees are responsible for maintaining a safe and healthy workplace by following safety and health rules and practices and by reporting accidents, injuries and unsafe equipment, practices, or conditions immediately. Violence and threatening behavior are not permitted. Employees are not permitted to use alcohol and illegal drugs while they are on duty. However, in certain circumstances, such as official Company events, use of alcohol at a Company facility may be permitted, but only with advance permission from management.</w:t>
      </w:r>
    </w:p>
    <w:p>
      <w:pPr>
        <w:pStyle w:val="TextBody"/>
        <w:bidi w:val="0"/>
        <w:spacing w:lineRule="auto" w:line="300" w:before="0" w:after="0"/>
        <w:jc w:val="left"/>
        <w:rPr>
          <w:color w:val="000000"/>
        </w:rPr>
      </w:pPr>
      <w:r>
        <w:rPr>
          <w:color w:val="000000"/>
        </w:rPr>
        <w:t> </w:t>
      </w:r>
    </w:p>
    <w:p>
      <w:pPr>
        <w:pStyle w:val="Normal"/>
        <w:bidi w:val="0"/>
        <w:spacing w:before="0" w:after="0"/>
        <w:jc w:val="left"/>
        <w:rPr>
          <w:sz w:val="4"/>
          <w:szCs w:val="4"/>
        </w:rPr>
      </w:pPr>
      <w:r>
        <w:rPr>
          <w:sz w:val="4"/>
          <w:szCs w:val="4"/>
        </w:rPr>
      </w:r>
      <w:bookmarkStart w:id="214" w:name="z99fb4614f81546ab9b4acaa4011e374c"/>
      <w:bookmarkStart w:id="215" w:name="z99fb4614f81546ab9b4acaa4011e374c"/>
      <w:bookmarkEnd w:id="215"/>
    </w:p>
    <w:tbl>
      <w:tblPr>
        <w:tblW w:w="3648" w:type="dxa"/>
        <w:jc w:val="left"/>
        <w:tblInd w:w="0" w:type="dxa"/>
        <w:tblLayout w:type="fixed"/>
        <w:tblCellMar>
          <w:top w:w="0" w:type="dxa"/>
          <w:left w:w="0" w:type="dxa"/>
          <w:bottom w:w="0" w:type="dxa"/>
          <w:right w:w="0" w:type="dxa"/>
        </w:tblCellMar>
      </w:tblPr>
      <w:tblGrid>
        <w:gridCol w:w="38"/>
        <w:gridCol w:w="620"/>
        <w:gridCol w:w="2990"/>
      </w:tblGrid>
      <w:tr>
        <w:trPr/>
        <w:tc>
          <w:tcPr>
            <w:tcW w:w="38" w:type="dxa"/>
            <w:tcBorders/>
            <w:vAlign w:val="center"/>
          </w:tcPr>
          <w:p>
            <w:pPr>
              <w:pStyle w:val="TableContents"/>
              <w:bidi w:val="0"/>
              <w:spacing w:before="0" w:after="283"/>
              <w:jc w:val="left"/>
              <w:rPr/>
            </w:pPr>
            <w:r>
              <w:rPr/>
            </w:r>
          </w:p>
        </w:tc>
        <w:tc>
          <w:tcPr>
            <w:tcW w:w="620" w:type="dxa"/>
            <w:tcBorders/>
            <w:vAlign w:val="center"/>
          </w:tcPr>
          <w:p>
            <w:pPr>
              <w:pStyle w:val="TableContents"/>
              <w:bidi w:val="0"/>
              <w:spacing w:before="0" w:after="283"/>
              <w:jc w:val="left"/>
              <w:rPr>
                <w:b/>
              </w:rPr>
            </w:pPr>
            <w:r>
              <w:rPr>
                <w:b/>
              </w:rPr>
              <w:t>XVII.</w:t>
            </w:r>
          </w:p>
        </w:tc>
        <w:tc>
          <w:tcPr>
            <w:tcW w:w="2990" w:type="dxa"/>
            <w:tcBorders/>
            <w:vAlign w:val="center"/>
          </w:tcPr>
          <w:p>
            <w:pPr>
              <w:pStyle w:val="TableContents"/>
              <w:bidi w:val="0"/>
              <w:spacing w:before="0" w:after="0"/>
              <w:jc w:val="left"/>
              <w:rPr>
                <w:b/>
                <w:u w:val="single"/>
              </w:rPr>
            </w:pPr>
            <w:r>
              <w:rPr>
                <w:b/>
                <w:u w:val="single"/>
              </w:rPr>
              <w:t>Political and Public Activities</w:t>
            </w:r>
          </w:p>
        </w:tc>
      </w:tr>
    </w:tbl>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720" w:right="405" w:firstLine="566"/>
        <w:jc w:val="left"/>
        <w:rPr>
          <w:rFonts w:ascii="Times New Roman;Times;serif" w:hAnsi="Times New Roman;Times;serif"/>
          <w:color w:val="000000"/>
          <w:sz w:val="20"/>
        </w:rPr>
      </w:pPr>
      <w:r>
        <w:rPr>
          <w:rFonts w:ascii="Times New Roman;Times;serif" w:hAnsi="Times New Roman;Times;serif"/>
          <w:color w:val="000000"/>
          <w:sz w:val="20"/>
        </w:rPr>
        <w:t>The Company encourages employees to be active in the civic life of their communities. The Company also respects the diversity and different views and beliefs or its employees, and no employee shall be discriminated against for their views/beliefs. In parallel, all employees are also expected to uphold all other principles outlined in this code, even when conflicting with personal views/beliefs.</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720" w:right="405" w:firstLine="566"/>
        <w:jc w:val="left"/>
        <w:rPr>
          <w:rFonts w:ascii="Times New Roman;Times;serif" w:hAnsi="Times New Roman;Times;serif"/>
          <w:color w:val="000000"/>
          <w:sz w:val="20"/>
        </w:rPr>
      </w:pPr>
      <w:r>
        <w:rPr>
          <w:rFonts w:ascii="Times New Roman;Times;serif" w:hAnsi="Times New Roman;Times;serif"/>
          <w:color w:val="000000"/>
          <w:sz w:val="20"/>
        </w:rPr>
        <w:t>The Company prohibits any political involvement on the Company’s behalf by any of its employees and the Company does not support any political entity. No monetary donation shall be made on the Company’s behalf to any political entity.</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720" w:right="405" w:firstLine="566"/>
        <w:jc w:val="left"/>
        <w:rPr>
          <w:rFonts w:ascii="Times New Roman;Times;serif" w:hAnsi="Times New Roman;Times;serif"/>
          <w:color w:val="000000"/>
          <w:sz w:val="20"/>
        </w:rPr>
      </w:pPr>
      <w:r>
        <w:rPr>
          <w:rFonts w:ascii="Times New Roman;Times;serif" w:hAnsi="Times New Roman;Times;serif"/>
          <w:color w:val="000000"/>
          <w:sz w:val="20"/>
        </w:rPr>
        <w:t>The Company will not reimburse employees for any personal political contributions made by the employee. In addition, employees should recognize that their work time or use of Company assets is the equivalent of such a contribution.</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720" w:right="405" w:firstLine="566"/>
        <w:jc w:val="left"/>
        <w:rPr>
          <w:rFonts w:ascii="Times New Roman;Times;serif" w:hAnsi="Times New Roman;Times;serif"/>
          <w:color w:val="000000"/>
          <w:sz w:val="20"/>
        </w:rPr>
      </w:pPr>
      <w:r>
        <w:rPr>
          <w:rFonts w:ascii="Times New Roman;Times;serif" w:hAnsi="Times New Roman;Times;serif"/>
          <w:color w:val="000000"/>
          <w:sz w:val="20"/>
        </w:rPr>
        <w:t xml:space="preserve">When employees speak out on public issues, they should make sure to do so as an individual. Employees should not give the appearance that they are speaking or acting on the Company’s behalf. All Company activity through trade unions and/or industry associations shall be in accordance with the Company’s public policies and positions on all issues, including (but not limited to) ESG-related issues. </w:t>
      </w:r>
    </w:p>
    <w:p>
      <w:pPr>
        <w:pStyle w:val="TextBody"/>
        <w:bidi w:val="0"/>
        <w:spacing w:lineRule="auto" w:line="300" w:before="0" w:after="0"/>
        <w:jc w:val="left"/>
        <w:rPr/>
      </w:pPr>
      <w:r>
        <w:rPr/>
      </w:r>
    </w:p>
    <w:p>
      <w:pPr>
        <w:pStyle w:val="Normal"/>
        <w:bidi w:val="0"/>
        <w:spacing w:before="0" w:after="0"/>
        <w:jc w:val="left"/>
        <w:rPr>
          <w:sz w:val="4"/>
          <w:szCs w:val="4"/>
        </w:rPr>
      </w:pPr>
      <w:r>
        <w:rPr>
          <w:sz w:val="4"/>
          <w:szCs w:val="4"/>
        </w:rPr>
      </w:r>
      <w:bookmarkStart w:id="216" w:name="zc9cf7777eff94865843ee8b9459be384"/>
      <w:bookmarkStart w:id="217" w:name="zc9cf7777eff94865843ee8b9459be384"/>
      <w:bookmarkEnd w:id="217"/>
    </w:p>
    <w:tbl>
      <w:tblPr>
        <w:tblW w:w="5958" w:type="dxa"/>
        <w:jc w:val="left"/>
        <w:tblInd w:w="0" w:type="dxa"/>
        <w:tblLayout w:type="fixed"/>
        <w:tblCellMar>
          <w:top w:w="0" w:type="dxa"/>
          <w:left w:w="0" w:type="dxa"/>
          <w:bottom w:w="0" w:type="dxa"/>
          <w:right w:w="0" w:type="dxa"/>
        </w:tblCellMar>
      </w:tblPr>
      <w:tblGrid>
        <w:gridCol w:w="38"/>
        <w:gridCol w:w="710"/>
        <w:gridCol w:w="5210"/>
      </w:tblGrid>
      <w:tr>
        <w:trPr/>
        <w:tc>
          <w:tcPr>
            <w:tcW w:w="38" w:type="dxa"/>
            <w:tcBorders/>
            <w:vAlign w:val="center"/>
          </w:tcPr>
          <w:p>
            <w:pPr>
              <w:pStyle w:val="TableContents"/>
              <w:bidi w:val="0"/>
              <w:spacing w:before="0" w:after="283"/>
              <w:jc w:val="left"/>
              <w:rPr/>
            </w:pPr>
            <w:r>
              <w:rPr/>
            </w:r>
          </w:p>
        </w:tc>
        <w:tc>
          <w:tcPr>
            <w:tcW w:w="710" w:type="dxa"/>
            <w:tcBorders/>
            <w:vAlign w:val="center"/>
          </w:tcPr>
          <w:p>
            <w:pPr>
              <w:pStyle w:val="TableContents"/>
              <w:bidi w:val="0"/>
              <w:spacing w:before="0" w:after="283"/>
              <w:jc w:val="left"/>
              <w:rPr>
                <w:b/>
              </w:rPr>
            </w:pPr>
            <w:r>
              <w:rPr>
                <w:b/>
              </w:rPr>
              <w:t>XVIII.</w:t>
            </w:r>
          </w:p>
        </w:tc>
        <w:tc>
          <w:tcPr>
            <w:tcW w:w="5210" w:type="dxa"/>
            <w:tcBorders/>
            <w:vAlign w:val="center"/>
          </w:tcPr>
          <w:p>
            <w:pPr>
              <w:pStyle w:val="TableContents"/>
              <w:bidi w:val="0"/>
              <w:spacing w:before="0" w:after="0"/>
              <w:jc w:val="left"/>
              <w:rPr>
                <w:b/>
                <w:u w:val="single"/>
              </w:rPr>
            </w:pPr>
            <w:r>
              <w:rPr>
                <w:b/>
                <w:u w:val="single"/>
              </w:rPr>
              <w:t>Investigating and Addressing Potential Misconduct</w:t>
            </w:r>
          </w:p>
        </w:tc>
      </w:tr>
    </w:tbl>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720" w:right="405" w:firstLine="566"/>
        <w:jc w:val="left"/>
        <w:rPr>
          <w:rFonts w:ascii="Times New Roman;Times;serif" w:hAnsi="Times New Roman;Times;serif"/>
          <w:color w:val="000000"/>
          <w:sz w:val="20"/>
        </w:rPr>
      </w:pPr>
      <w:r>
        <w:rPr>
          <w:rFonts w:ascii="Times New Roman;Times;serif" w:hAnsi="Times New Roman;Times;serif"/>
          <w:color w:val="000000"/>
          <w:sz w:val="20"/>
        </w:rPr>
        <w:t xml:space="preserve">The Company will treat each report of potential misconduct seriously. Upon receiving a report, the Company will promptly review the report and conduct a thorough investigation. When a report is received, with the exception of those submitted anonymously, the reporting individual will receive a confirmation of receipt, and another notification when the investigation is closed. It is the obligation of all employees to cooperate with an investigation, and employees are encouraged to provide all known facts and as many details as possible to assist with the investigation. No employee will be subject to discrimination, harassment, or retaliation of any kind for assisting in an investigation of a report. </w:t>
      </w:r>
    </w:p>
    <w:p>
      <w:pPr>
        <w:pStyle w:val="HorizontalLine"/>
        <w:pBdr>
          <w:bottom w:val="single" w:sz="12" w:space="0" w:color="808080"/>
        </w:pBdr>
        <w:bidi w:val="0"/>
        <w:spacing w:before="200" w:after="200"/>
        <w:jc w:val="left"/>
        <w:rPr/>
      </w:pPr>
      <w:r>
        <w:rPr/>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720" w:right="355" w:firstLine="566"/>
        <w:jc w:val="both"/>
        <w:rPr>
          <w:rFonts w:ascii="Times New Roman;Times;serif" w:hAnsi="Times New Roman;Times;serif"/>
          <w:color w:val="000000"/>
          <w:sz w:val="20"/>
        </w:rPr>
      </w:pPr>
      <w:r>
        <w:rPr>
          <w:rFonts w:ascii="Times New Roman;Times;serif" w:hAnsi="Times New Roman;Times;serif"/>
          <w:color w:val="000000"/>
          <w:sz w:val="20"/>
        </w:rPr>
        <w:t>The Company views the business ethics of its employees as an important matter. The desire to achieve Company or personal objectives will not excuse wrongful activity, conflicts of interest or deviation from Company policies. Violations of this Code will result in appropriate disciplinary action, up to and including termination.</w:t>
      </w:r>
    </w:p>
    <w:p>
      <w:pPr>
        <w:pStyle w:val="TextBody"/>
        <w:bidi w:val="0"/>
        <w:spacing w:lineRule="auto" w:line="300" w:before="0" w:after="0"/>
        <w:jc w:val="left"/>
        <w:rPr>
          <w:color w:val="000000"/>
        </w:rPr>
      </w:pPr>
      <w:r>
        <w:rPr>
          <w:color w:val="000000"/>
        </w:rPr>
        <w:t> </w:t>
      </w:r>
    </w:p>
    <w:p>
      <w:pPr>
        <w:pStyle w:val="Normal"/>
        <w:bidi w:val="0"/>
        <w:spacing w:before="0" w:after="0"/>
        <w:jc w:val="left"/>
        <w:rPr>
          <w:sz w:val="4"/>
          <w:szCs w:val="4"/>
        </w:rPr>
      </w:pPr>
      <w:r>
        <w:rPr>
          <w:sz w:val="4"/>
          <w:szCs w:val="4"/>
        </w:rPr>
      </w:r>
      <w:bookmarkStart w:id="218" w:name="z651e9fce809f4057810408a1d26f9327"/>
      <w:bookmarkStart w:id="219" w:name="z651e9fce809f4057810408a1d26f9327"/>
      <w:bookmarkEnd w:id="219"/>
    </w:p>
    <w:tbl>
      <w:tblPr>
        <w:tblW w:w="1353" w:type="dxa"/>
        <w:jc w:val="left"/>
        <w:tblInd w:w="0" w:type="dxa"/>
        <w:tblLayout w:type="fixed"/>
        <w:tblCellMar>
          <w:top w:w="0" w:type="dxa"/>
          <w:left w:w="0" w:type="dxa"/>
          <w:bottom w:w="0" w:type="dxa"/>
          <w:right w:w="0" w:type="dxa"/>
        </w:tblCellMar>
      </w:tblPr>
      <w:tblGrid>
        <w:gridCol w:w="38"/>
        <w:gridCol w:w="440"/>
        <w:gridCol w:w="875"/>
      </w:tblGrid>
      <w:tr>
        <w:trPr/>
        <w:tc>
          <w:tcPr>
            <w:tcW w:w="38" w:type="dxa"/>
            <w:tcBorders/>
            <w:vAlign w:val="center"/>
          </w:tcPr>
          <w:p>
            <w:pPr>
              <w:pStyle w:val="TableContents"/>
              <w:bidi w:val="0"/>
              <w:spacing w:before="0" w:after="283"/>
              <w:jc w:val="left"/>
              <w:rPr/>
            </w:pPr>
            <w:r>
              <w:rPr/>
            </w:r>
          </w:p>
        </w:tc>
        <w:tc>
          <w:tcPr>
            <w:tcW w:w="440" w:type="dxa"/>
            <w:tcBorders/>
            <w:vAlign w:val="center"/>
          </w:tcPr>
          <w:p>
            <w:pPr>
              <w:pStyle w:val="TableContents"/>
              <w:bidi w:val="0"/>
              <w:spacing w:before="0" w:after="283"/>
              <w:jc w:val="left"/>
              <w:rPr>
                <w:b/>
              </w:rPr>
            </w:pPr>
            <w:r>
              <w:rPr>
                <w:b/>
              </w:rPr>
              <w:t>XX.</w:t>
            </w:r>
          </w:p>
        </w:tc>
        <w:tc>
          <w:tcPr>
            <w:tcW w:w="875" w:type="dxa"/>
            <w:tcBorders/>
            <w:vAlign w:val="center"/>
          </w:tcPr>
          <w:p>
            <w:pPr>
              <w:pStyle w:val="TableContents"/>
              <w:bidi w:val="0"/>
              <w:spacing w:before="0" w:after="0"/>
              <w:jc w:val="left"/>
              <w:rPr>
                <w:b/>
                <w:u w:val="single"/>
              </w:rPr>
            </w:pPr>
            <w:r>
              <w:rPr>
                <w:b/>
                <w:u w:val="single"/>
              </w:rPr>
              <w:t>Waivers</w:t>
            </w:r>
          </w:p>
        </w:tc>
      </w:tr>
    </w:tbl>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720" w:right="355" w:firstLine="566"/>
        <w:jc w:val="both"/>
        <w:rPr>
          <w:rFonts w:ascii="Times New Roman;Times;serif" w:hAnsi="Times New Roman;Times;serif"/>
          <w:color w:val="000000"/>
          <w:sz w:val="20"/>
        </w:rPr>
      </w:pPr>
      <w:r>
        <w:rPr>
          <w:rFonts w:ascii="Times New Roman;Times;serif" w:hAnsi="Times New Roman;Times;serif"/>
          <w:color w:val="000000"/>
          <w:sz w:val="20"/>
        </w:rPr>
        <w:t>Waivers of certain provisions of this Code will be granted only in exceptional circumstances. Employees who believe that a situation may warrant a waiver should contact the General Counsel. Any waivers of provisions of this Code for executive officers of this Company will be made via request to, and approved only by, the Board of Directors of the Company (or Committee thereof) and will be disclosed in accordance with applicable law.</w:t>
      </w:r>
    </w:p>
    <w:p>
      <w:pPr>
        <w:pStyle w:val="TextBody"/>
        <w:bidi w:val="0"/>
        <w:spacing w:lineRule="auto" w:line="300" w:before="0" w:after="0"/>
        <w:jc w:val="left"/>
        <w:rPr/>
      </w:pPr>
      <w:r>
        <w:rPr/>
      </w:r>
    </w:p>
    <w:p>
      <w:pPr>
        <w:pStyle w:val="Normal"/>
        <w:bidi w:val="0"/>
        <w:spacing w:before="0" w:after="0"/>
        <w:jc w:val="left"/>
        <w:rPr>
          <w:sz w:val="4"/>
          <w:szCs w:val="4"/>
        </w:rPr>
      </w:pPr>
      <w:r>
        <w:rPr>
          <w:sz w:val="4"/>
          <w:szCs w:val="4"/>
        </w:rPr>
      </w:r>
      <w:bookmarkStart w:id="220" w:name="zda8207e0d4d347208334801f57942c5e"/>
      <w:bookmarkStart w:id="221" w:name="zda8207e0d4d347208334801f57942c5e"/>
      <w:bookmarkEnd w:id="221"/>
    </w:p>
    <w:tbl>
      <w:tblPr>
        <w:tblW w:w="3093" w:type="dxa"/>
        <w:jc w:val="left"/>
        <w:tblInd w:w="0" w:type="dxa"/>
        <w:tblLayout w:type="fixed"/>
        <w:tblCellMar>
          <w:top w:w="0" w:type="dxa"/>
          <w:left w:w="0" w:type="dxa"/>
          <w:bottom w:w="0" w:type="dxa"/>
          <w:right w:w="0" w:type="dxa"/>
        </w:tblCellMar>
      </w:tblPr>
      <w:tblGrid>
        <w:gridCol w:w="38"/>
        <w:gridCol w:w="530"/>
        <w:gridCol w:w="2525"/>
      </w:tblGrid>
      <w:tr>
        <w:trPr/>
        <w:tc>
          <w:tcPr>
            <w:tcW w:w="38" w:type="dxa"/>
            <w:tcBorders/>
            <w:vAlign w:val="center"/>
          </w:tcPr>
          <w:p>
            <w:pPr>
              <w:pStyle w:val="TableContents"/>
              <w:bidi w:val="0"/>
              <w:spacing w:before="0" w:after="283"/>
              <w:jc w:val="left"/>
              <w:rPr/>
            </w:pPr>
            <w:r>
              <w:rPr/>
            </w:r>
          </w:p>
        </w:tc>
        <w:tc>
          <w:tcPr>
            <w:tcW w:w="530" w:type="dxa"/>
            <w:tcBorders/>
            <w:vAlign w:val="center"/>
          </w:tcPr>
          <w:p>
            <w:pPr>
              <w:pStyle w:val="TableContents"/>
              <w:bidi w:val="0"/>
              <w:spacing w:before="0" w:after="283"/>
              <w:jc w:val="left"/>
              <w:rPr>
                <w:b/>
              </w:rPr>
            </w:pPr>
            <w:r>
              <w:rPr>
                <w:b/>
              </w:rPr>
              <w:t>XXI.</w:t>
            </w:r>
          </w:p>
        </w:tc>
        <w:tc>
          <w:tcPr>
            <w:tcW w:w="2525" w:type="dxa"/>
            <w:tcBorders/>
            <w:vAlign w:val="center"/>
          </w:tcPr>
          <w:p>
            <w:pPr>
              <w:pStyle w:val="TableContents"/>
              <w:bidi w:val="0"/>
              <w:spacing w:before="0" w:after="0"/>
              <w:jc w:val="left"/>
              <w:rPr>
                <w:b/>
                <w:u w:val="single"/>
              </w:rPr>
            </w:pPr>
            <w:r>
              <w:rPr>
                <w:b/>
                <w:u w:val="single"/>
              </w:rPr>
              <w:t>Certification Obligations</w:t>
            </w:r>
          </w:p>
        </w:tc>
      </w:tr>
    </w:tbl>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720" w:right="0" w:firstLine="566"/>
        <w:jc w:val="left"/>
        <w:rPr>
          <w:rFonts w:ascii="Times New Roman;Times;serif" w:hAnsi="Times New Roman;Times;serif"/>
          <w:b/>
          <w:color w:val="000000"/>
          <w:sz w:val="20"/>
        </w:rPr>
      </w:pPr>
      <w:r>
        <w:rPr>
          <w:rFonts w:ascii="Times New Roman;Times;serif" w:hAnsi="Times New Roman;Times;serif"/>
          <w:b/>
          <w:color w:val="000000"/>
          <w:sz w:val="20"/>
        </w:rPr>
        <w:t xml:space="preserve">All employees are required to certify at the time they are hired to their understanding of and agreement to comply with this Code using the form attached as </w:t>
      </w:r>
      <w:r>
        <w:rPr>
          <w:rFonts w:ascii="Times New Roman;Times;serif" w:hAnsi="Times New Roman;Times;serif"/>
          <w:b/>
          <w:color w:val="000000"/>
          <w:sz w:val="20"/>
          <w:u w:val="single"/>
        </w:rPr>
        <w:t>Appendix A.</w:t>
      </w:r>
    </w:p>
    <w:p>
      <w:pPr>
        <w:pStyle w:val="TextBody"/>
        <w:bidi w:val="0"/>
        <w:spacing w:lineRule="auto" w:line="300" w:before="0" w:after="0"/>
        <w:jc w:val="left"/>
        <w:rPr/>
      </w:pPr>
      <w:r>
        <w:rPr/>
      </w:r>
    </w:p>
    <w:p>
      <w:pPr>
        <w:pStyle w:val="Normal"/>
        <w:bidi w:val="0"/>
        <w:spacing w:before="0" w:after="0"/>
        <w:jc w:val="left"/>
        <w:rPr>
          <w:sz w:val="4"/>
          <w:szCs w:val="4"/>
        </w:rPr>
      </w:pPr>
      <w:r>
        <w:rPr>
          <w:sz w:val="4"/>
          <w:szCs w:val="4"/>
        </w:rPr>
      </w:r>
      <w:bookmarkStart w:id="222" w:name="ze352dc6426454fd9a6da787a738f8f87"/>
      <w:bookmarkStart w:id="223" w:name="ze352dc6426454fd9a6da787a738f8f87"/>
      <w:bookmarkEnd w:id="223"/>
    </w:p>
    <w:tbl>
      <w:tblPr>
        <w:tblW w:w="1548" w:type="dxa"/>
        <w:jc w:val="left"/>
        <w:tblInd w:w="0" w:type="dxa"/>
        <w:tblLayout w:type="fixed"/>
        <w:tblCellMar>
          <w:top w:w="0" w:type="dxa"/>
          <w:left w:w="0" w:type="dxa"/>
          <w:bottom w:w="0" w:type="dxa"/>
          <w:right w:w="0" w:type="dxa"/>
        </w:tblCellMar>
      </w:tblPr>
      <w:tblGrid>
        <w:gridCol w:w="38"/>
        <w:gridCol w:w="620"/>
        <w:gridCol w:w="890"/>
      </w:tblGrid>
      <w:tr>
        <w:trPr/>
        <w:tc>
          <w:tcPr>
            <w:tcW w:w="38" w:type="dxa"/>
            <w:tcBorders/>
            <w:vAlign w:val="center"/>
          </w:tcPr>
          <w:p>
            <w:pPr>
              <w:pStyle w:val="TableContents"/>
              <w:bidi w:val="0"/>
              <w:spacing w:before="0" w:after="283"/>
              <w:jc w:val="left"/>
              <w:rPr/>
            </w:pPr>
            <w:r>
              <w:rPr/>
            </w:r>
          </w:p>
        </w:tc>
        <w:tc>
          <w:tcPr>
            <w:tcW w:w="620" w:type="dxa"/>
            <w:tcBorders/>
            <w:vAlign w:val="center"/>
          </w:tcPr>
          <w:p>
            <w:pPr>
              <w:pStyle w:val="TableContents"/>
              <w:bidi w:val="0"/>
              <w:spacing w:before="0" w:after="283"/>
              <w:jc w:val="left"/>
              <w:rPr>
                <w:b/>
              </w:rPr>
            </w:pPr>
            <w:r>
              <w:rPr>
                <w:b/>
              </w:rPr>
              <w:t>XXII.</w:t>
            </w:r>
          </w:p>
        </w:tc>
        <w:tc>
          <w:tcPr>
            <w:tcW w:w="890" w:type="dxa"/>
            <w:tcBorders/>
            <w:vAlign w:val="center"/>
          </w:tcPr>
          <w:p>
            <w:pPr>
              <w:pStyle w:val="TableContents"/>
              <w:bidi w:val="0"/>
              <w:spacing w:before="0" w:after="0"/>
              <w:jc w:val="left"/>
              <w:rPr>
                <w:b/>
                <w:u w:val="single"/>
              </w:rPr>
            </w:pPr>
            <w:r>
              <w:rPr>
                <w:b/>
                <w:u w:val="single"/>
              </w:rPr>
              <w:t>Sign-Off</w:t>
            </w:r>
          </w:p>
        </w:tc>
      </w:tr>
    </w:tbl>
    <w:p>
      <w:pPr>
        <w:pStyle w:val="TextBody"/>
        <w:bidi w:val="0"/>
        <w:spacing w:lineRule="auto" w:line="300" w:before="0" w:after="0"/>
        <w:jc w:val="left"/>
        <w:rPr/>
      </w:pPr>
      <w:r>
        <w:rPr/>
      </w:r>
    </w:p>
    <w:p>
      <w:pPr>
        <w:pStyle w:val="TextBody"/>
        <w:bidi w:val="0"/>
        <w:spacing w:lineRule="auto" w:line="300" w:before="0" w:after="0"/>
        <w:ind w:left="720" w:right="0" w:firstLine="566"/>
        <w:jc w:val="left"/>
        <w:rPr>
          <w:rFonts w:ascii="Times New Roman;Times;serif" w:hAnsi="Times New Roman;Times;serif"/>
          <w:color w:val="000000"/>
          <w:sz w:val="20"/>
        </w:rPr>
      </w:pPr>
      <w:r>
        <w:rPr>
          <w:rFonts w:ascii="Times New Roman;Times;serif" w:hAnsi="Times New Roman;Times;serif"/>
          <w:color w:val="000000"/>
          <w:sz w:val="20"/>
        </w:rPr>
        <w:t xml:space="preserve">This Code of Conduct was first reviewed and approved by the Company’s Board of Directors, and by it’s executive management forum in March 2015 and has been last updated, </w:t>
      </w:r>
      <w:r>
        <w:rPr>
          <w:rFonts w:ascii="Times New Roman;Times;serif" w:hAnsi="Times New Roman;Times;serif"/>
          <w:b/>
          <w:color w:val="000000"/>
          <w:sz w:val="20"/>
        </w:rPr>
        <w:t>reviewed and approved in February 2022.</w:t>
      </w:r>
    </w:p>
    <w:p>
      <w:pPr>
        <w:pStyle w:val="HorizontalLine"/>
        <w:pBdr>
          <w:bottom w:val="single" w:sz="12" w:space="0" w:color="808080"/>
        </w:pBdr>
        <w:bidi w:val="0"/>
        <w:spacing w:before="200" w:after="200"/>
        <w:jc w:val="left"/>
        <w:rPr/>
      </w:pPr>
      <w:r>
        <w:rPr/>
      </w:r>
    </w:p>
    <w:p>
      <w:pPr>
        <w:pStyle w:val="TextBody"/>
        <w:bidi w:val="0"/>
        <w:spacing w:lineRule="auto" w:line="300" w:before="0" w:after="0"/>
        <w:jc w:val="left"/>
        <w:rPr/>
      </w:pPr>
      <w:r>
        <w:rPr/>
      </w:r>
    </w:p>
    <w:p>
      <w:pPr>
        <w:pStyle w:val="TextBody"/>
        <w:bidi w:val="0"/>
        <w:spacing w:lineRule="auto" w:line="300" w:before="0" w:after="0"/>
        <w:ind w:left="1" w:right="1" w:hanging="0"/>
        <w:jc w:val="center"/>
        <w:rPr>
          <w:rFonts w:ascii="Times New Roman;Times;serif" w:hAnsi="Times New Roman;Times;serif"/>
          <w:b/>
          <w:color w:val="000000"/>
          <w:sz w:val="20"/>
          <w:u w:val="single"/>
        </w:rPr>
      </w:pPr>
      <w:r>
        <w:rPr>
          <w:rFonts w:ascii="Times New Roman;Times;serif" w:hAnsi="Times New Roman;Times;serif"/>
          <w:b/>
          <w:color w:val="000000"/>
          <w:sz w:val="20"/>
          <w:u w:val="single"/>
        </w:rPr>
        <w:t>APPENDIX A</w:t>
      </w:r>
    </w:p>
    <w:p>
      <w:pPr>
        <w:pStyle w:val="TextBody"/>
        <w:bidi w:val="0"/>
        <w:spacing w:lineRule="auto" w:line="300" w:before="0" w:after="0"/>
        <w:jc w:val="left"/>
        <w:rPr/>
      </w:pPr>
      <w:r>
        <w:rPr/>
      </w:r>
    </w:p>
    <w:p>
      <w:pPr>
        <w:pStyle w:val="TextBody"/>
        <w:bidi w:val="0"/>
        <w:spacing w:lineRule="auto" w:line="300" w:before="0" w:after="0"/>
        <w:ind w:left="1" w:right="0" w:hanging="0"/>
        <w:jc w:val="center"/>
        <w:rPr>
          <w:rFonts w:ascii="Times New Roman;Times;serif" w:hAnsi="Times New Roman;Times;serif"/>
          <w:b/>
          <w:color w:val="000000"/>
          <w:sz w:val="20"/>
        </w:rPr>
      </w:pPr>
      <w:r>
        <w:rPr>
          <w:rFonts w:ascii="Times New Roman;Times;serif" w:hAnsi="Times New Roman;Times;serif"/>
          <w:b/>
          <w:color w:val="000000"/>
          <w:sz w:val="20"/>
        </w:rPr>
        <w:t>Code of Conduct Certification</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358" w:right="354" w:hanging="0"/>
        <w:jc w:val="left"/>
        <w:rPr>
          <w:rFonts w:ascii="Times New Roman;Times;serif" w:hAnsi="Times New Roman;Times;serif"/>
          <w:b/>
          <w:color w:val="000000"/>
          <w:sz w:val="20"/>
        </w:rPr>
      </w:pPr>
      <w:r>
        <w:rPr>
          <w:rFonts w:ascii="Times New Roman;Times;serif" w:hAnsi="Times New Roman;Times;serif"/>
          <w:b/>
          <w:color w:val="000000"/>
          <w:sz w:val="20"/>
        </w:rPr>
        <w:t>I certify that: (1) I have received a copy of the Code of Conduct; (2) I have read and understood the Code of Conduct, and I agree to comply with the Code of Conduct and related Company policies; and (3) I understand that I am expected to report any existing or potential violation of the Code of Conduct, any law, regulation or Company policy.</w:t>
      </w:r>
    </w:p>
    <w:p>
      <w:pPr>
        <w:pStyle w:val="TextBody"/>
        <w:bidi w:val="0"/>
        <w:spacing w:lineRule="auto" w:line="300" w:before="0" w:after="0"/>
        <w:jc w:val="left"/>
        <w:rPr/>
      </w:pPr>
      <w:r>
        <w:rPr/>
      </w:r>
    </w:p>
    <w:p>
      <w:pPr>
        <w:pStyle w:val="Normal"/>
        <w:bidi w:val="0"/>
        <w:spacing w:before="0" w:after="0"/>
        <w:jc w:val="left"/>
        <w:rPr>
          <w:sz w:val="4"/>
          <w:szCs w:val="4"/>
        </w:rPr>
      </w:pPr>
      <w:r>
        <w:rPr>
          <w:sz w:val="4"/>
          <w:szCs w:val="4"/>
        </w:rPr>
      </w:r>
      <w:bookmarkStart w:id="224" w:name="zd38a9822b4864ed5b9609ab45688660d"/>
      <w:bookmarkStart w:id="225" w:name="zd38a9822b4864ed5b9609ab45688660d"/>
      <w:bookmarkEnd w:id="225"/>
    </w:p>
    <w:tbl>
      <w:tblPr>
        <w:tblW w:w="3485" w:type="dxa"/>
        <w:jc w:val="left"/>
        <w:tblInd w:w="-15" w:type="dxa"/>
        <w:tblLayout w:type="fixed"/>
        <w:tblCellMar>
          <w:top w:w="28" w:type="dxa"/>
          <w:left w:w="28" w:type="dxa"/>
          <w:bottom w:w="0" w:type="dxa"/>
          <w:right w:w="0" w:type="dxa"/>
        </w:tblCellMar>
      </w:tblPr>
      <w:tblGrid>
        <w:gridCol w:w="1280"/>
        <w:gridCol w:w="860"/>
        <w:gridCol w:w="1010"/>
        <w:gridCol w:w="335"/>
      </w:tblGrid>
      <w:tr>
        <w:trPr/>
        <w:tc>
          <w:tcPr>
            <w:tcW w:w="1280" w:type="dxa"/>
            <w:tcBorders>
              <w:top w:val="single" w:sz="12" w:space="0" w:color="000000"/>
              <w:left w:val="single" w:sz="12" w:space="0" w:color="000000"/>
            </w:tcBorders>
            <w:vAlign w:val="center"/>
          </w:tcPr>
          <w:p>
            <w:pPr>
              <w:pStyle w:val="TableContents"/>
              <w:bidi w:val="0"/>
              <w:spacing w:lineRule="auto" w:line="300" w:before="0" w:after="0"/>
              <w:jc w:val="left"/>
              <w:rPr/>
            </w:pPr>
            <w:r>
              <w:rPr/>
              <w:t>Name:</w:t>
            </w:r>
          </w:p>
        </w:tc>
        <w:tc>
          <w:tcPr>
            <w:tcW w:w="2205" w:type="dxa"/>
            <w:gridSpan w:val="3"/>
            <w:tcBorders>
              <w:top w:val="single" w:sz="12" w:space="0" w:color="000000"/>
              <w:left w:val="single" w:sz="12" w:space="0" w:color="000000"/>
              <w:right w:val="single" w:sz="12" w:space="0" w:color="000000"/>
            </w:tcBorders>
            <w:tcMar>
              <w:right w:w="28" w:type="dxa"/>
            </w:tcMar>
            <w:vAlign w:val="center"/>
          </w:tcPr>
          <w:p>
            <w:pPr>
              <w:pStyle w:val="TableContents"/>
              <w:bidi w:val="0"/>
              <w:spacing w:lineRule="auto" w:line="300" w:before="0" w:after="0"/>
              <w:jc w:val="left"/>
              <w:rPr>
                <w:b/>
              </w:rPr>
            </w:pPr>
            <w:r>
              <w:rPr>
                <w:b/>
              </w:rPr>
              <w:t>Maoz Sigron</w:t>
            </w:r>
          </w:p>
        </w:tc>
      </w:tr>
      <w:tr>
        <w:trPr/>
        <w:tc>
          <w:tcPr>
            <w:tcW w:w="1280" w:type="dxa"/>
            <w:tcBorders>
              <w:top w:val="single" w:sz="12" w:space="0" w:color="000000"/>
              <w:left w:val="single" w:sz="12" w:space="0" w:color="000000"/>
            </w:tcBorders>
            <w:vAlign w:val="center"/>
          </w:tcPr>
          <w:p>
            <w:pPr>
              <w:pStyle w:val="TableContents"/>
              <w:bidi w:val="0"/>
              <w:spacing w:lineRule="auto" w:line="300" w:before="0" w:after="0"/>
              <w:jc w:val="left"/>
              <w:rPr/>
            </w:pPr>
            <w:r>
              <w:rPr/>
              <w:t>Job Title:</w:t>
            </w:r>
          </w:p>
        </w:tc>
        <w:tc>
          <w:tcPr>
            <w:tcW w:w="2205" w:type="dxa"/>
            <w:gridSpan w:val="3"/>
            <w:tcBorders>
              <w:top w:val="single" w:sz="12" w:space="0" w:color="000000"/>
              <w:left w:val="single" w:sz="12" w:space="0" w:color="000000"/>
              <w:right w:val="single" w:sz="12" w:space="0" w:color="000000"/>
            </w:tcBorders>
            <w:tcMar>
              <w:right w:w="28" w:type="dxa"/>
            </w:tcMar>
            <w:vAlign w:val="center"/>
          </w:tcPr>
          <w:p>
            <w:pPr>
              <w:pStyle w:val="TableContents"/>
              <w:bidi w:val="0"/>
              <w:spacing w:lineRule="auto" w:line="300" w:before="0" w:after="0"/>
              <w:jc w:val="left"/>
              <w:rPr/>
            </w:pPr>
            <w:r>
              <w:rPr/>
              <w:t>CFO</w:t>
            </w:r>
          </w:p>
        </w:tc>
      </w:tr>
      <w:tr>
        <w:trPr/>
        <w:tc>
          <w:tcPr>
            <w:tcW w:w="1280" w:type="dxa"/>
            <w:tcBorders>
              <w:top w:val="single" w:sz="12" w:space="0" w:color="000000"/>
              <w:left w:val="single" w:sz="12" w:space="0" w:color="000000"/>
            </w:tcBorders>
            <w:vAlign w:val="center"/>
          </w:tcPr>
          <w:p>
            <w:pPr>
              <w:pStyle w:val="TableContents"/>
              <w:bidi w:val="0"/>
              <w:spacing w:lineRule="auto" w:line="300" w:before="0" w:after="0"/>
              <w:jc w:val="left"/>
              <w:rPr/>
            </w:pPr>
            <w:r>
              <w:rPr/>
              <w:t>ID #:</w:t>
            </w:r>
          </w:p>
        </w:tc>
        <w:tc>
          <w:tcPr>
            <w:tcW w:w="2205" w:type="dxa"/>
            <w:gridSpan w:val="3"/>
            <w:tcBorders>
              <w:top w:val="single" w:sz="12" w:space="0" w:color="000000"/>
              <w:left w:val="single" w:sz="12" w:space="0" w:color="000000"/>
              <w:right w:val="single" w:sz="12" w:space="0" w:color="000000"/>
            </w:tcBorders>
            <w:tcMar>
              <w:right w:w="28" w:type="dxa"/>
            </w:tcMar>
            <w:vAlign w:val="center"/>
          </w:tcPr>
          <w:p>
            <w:pPr>
              <w:pStyle w:val="TableContents"/>
              <w:bidi w:val="0"/>
              <w:spacing w:before="0" w:after="283"/>
              <w:jc w:val="left"/>
              <w:rPr/>
            </w:pPr>
            <w:r>
              <w:rPr/>
              <w:t> </w:t>
            </w:r>
          </w:p>
        </w:tc>
      </w:tr>
      <w:tr>
        <w:trPr/>
        <w:tc>
          <w:tcPr>
            <w:tcW w:w="1280" w:type="dxa"/>
            <w:tcBorders>
              <w:top w:val="single" w:sz="12" w:space="0" w:color="000000"/>
              <w:left w:val="single" w:sz="12" w:space="0" w:color="000000"/>
            </w:tcBorders>
            <w:vAlign w:val="center"/>
          </w:tcPr>
          <w:p>
            <w:pPr>
              <w:pStyle w:val="TableContents"/>
              <w:bidi w:val="0"/>
              <w:spacing w:lineRule="auto" w:line="300" w:before="0" w:after="0"/>
              <w:jc w:val="left"/>
              <w:rPr/>
            </w:pPr>
            <w:r>
              <w:rPr/>
              <w:t>Department:</w:t>
            </w:r>
          </w:p>
        </w:tc>
        <w:tc>
          <w:tcPr>
            <w:tcW w:w="860" w:type="dxa"/>
            <w:tcBorders>
              <w:top w:val="single" w:sz="12" w:space="0" w:color="000000"/>
              <w:left w:val="single" w:sz="12" w:space="0" w:color="000000"/>
            </w:tcBorders>
            <w:vAlign w:val="center"/>
          </w:tcPr>
          <w:p>
            <w:pPr>
              <w:pStyle w:val="TableContents"/>
              <w:bidi w:val="0"/>
              <w:spacing w:lineRule="auto" w:line="300" w:before="0" w:after="0"/>
              <w:jc w:val="left"/>
              <w:rPr/>
            </w:pPr>
            <w:r>
              <w:rPr/>
              <w:t>Finance</w:t>
            </w:r>
          </w:p>
        </w:tc>
        <w:tc>
          <w:tcPr>
            <w:tcW w:w="1010" w:type="dxa"/>
            <w:tcBorders>
              <w:top w:val="single" w:sz="12" w:space="0" w:color="000000"/>
              <w:left w:val="single" w:sz="12" w:space="0" w:color="000000"/>
            </w:tcBorders>
            <w:vAlign w:val="center"/>
          </w:tcPr>
          <w:p>
            <w:pPr>
              <w:pStyle w:val="TableContents"/>
              <w:bidi w:val="0"/>
              <w:spacing w:lineRule="auto" w:line="300" w:before="0" w:after="0"/>
              <w:jc w:val="left"/>
              <w:rPr/>
            </w:pPr>
            <w:r>
              <w:rPr/>
              <w:t>Location:</w:t>
            </w:r>
          </w:p>
        </w:tc>
        <w:tc>
          <w:tcPr>
            <w:tcW w:w="335" w:type="dxa"/>
            <w:tcBorders>
              <w:top w:val="single" w:sz="12" w:space="0" w:color="000000"/>
              <w:left w:val="single" w:sz="12" w:space="0" w:color="000000"/>
              <w:right w:val="single" w:sz="12" w:space="0" w:color="000000"/>
            </w:tcBorders>
            <w:tcMar>
              <w:right w:w="28" w:type="dxa"/>
            </w:tcMar>
            <w:vAlign w:val="center"/>
          </w:tcPr>
          <w:p>
            <w:pPr>
              <w:pStyle w:val="TableContents"/>
              <w:bidi w:val="0"/>
              <w:spacing w:lineRule="auto" w:line="300" w:before="0" w:after="0"/>
              <w:jc w:val="left"/>
              <w:rPr/>
            </w:pPr>
            <w:r>
              <w:rPr/>
              <w:t>IL</w:t>
            </w:r>
          </w:p>
        </w:tc>
      </w:tr>
      <w:tr>
        <w:trPr/>
        <w:tc>
          <w:tcPr>
            <w:tcW w:w="1280" w:type="dxa"/>
            <w:tcBorders>
              <w:top w:val="single" w:sz="12" w:space="0" w:color="000000"/>
              <w:left w:val="single" w:sz="12" w:space="0" w:color="000000"/>
              <w:bottom w:val="single" w:sz="12" w:space="0" w:color="000000"/>
            </w:tcBorders>
            <w:tcMar>
              <w:bottom w:w="28" w:type="dxa"/>
            </w:tcMar>
            <w:vAlign w:val="center"/>
          </w:tcPr>
          <w:p>
            <w:pPr>
              <w:pStyle w:val="TableContents"/>
              <w:bidi w:val="0"/>
              <w:spacing w:lineRule="auto" w:line="300" w:before="0" w:after="0"/>
              <w:jc w:val="left"/>
              <w:rPr/>
            </w:pPr>
            <w:r>
              <w:rPr/>
              <w:t>Supervisor:</w:t>
            </w:r>
          </w:p>
        </w:tc>
        <w:tc>
          <w:tcPr>
            <w:tcW w:w="2205" w:type="dxa"/>
            <w:gridSpan w:val="3"/>
            <w:tcBorders>
              <w:top w:val="single" w:sz="12" w:space="0" w:color="000000"/>
              <w:left w:val="single" w:sz="12" w:space="0" w:color="000000"/>
              <w:bottom w:val="single" w:sz="12" w:space="0" w:color="000000"/>
              <w:right w:val="single" w:sz="12" w:space="0" w:color="000000"/>
            </w:tcBorders>
            <w:tcMar>
              <w:bottom w:w="28" w:type="dxa"/>
              <w:right w:w="28" w:type="dxa"/>
            </w:tcMar>
            <w:vAlign w:val="center"/>
          </w:tcPr>
          <w:p>
            <w:pPr>
              <w:pStyle w:val="TableContents"/>
              <w:bidi w:val="0"/>
              <w:spacing w:before="0" w:after="283"/>
              <w:jc w:val="left"/>
              <w:rPr/>
            </w:pPr>
            <w:r>
              <w:rPr/>
              <w:t> </w:t>
            </w:r>
          </w:p>
        </w:tc>
      </w:tr>
    </w:tbl>
    <w:p>
      <w:pPr>
        <w:pStyle w:val="TextBody"/>
        <w:bidi w:val="0"/>
        <w:spacing w:lineRule="auto" w:line="300" w:before="0" w:after="0"/>
        <w:jc w:val="left"/>
        <w:rPr/>
      </w:pPr>
      <w:r>
        <w:rPr/>
      </w:r>
    </w:p>
    <w:p>
      <w:pPr>
        <w:pStyle w:val="HorizontalLine"/>
        <w:bidi w:val="0"/>
        <w:spacing w:lineRule="auto" w:line="300"/>
        <w:jc w:val="left"/>
        <w:rPr/>
      </w:pPr>
      <w:r>
        <w:rPr/>
      </w:r>
    </w:p>
    <w:p>
      <w:pPr>
        <w:pStyle w:val="HorizontalLine"/>
        <w:bidi w:val="0"/>
        <w:spacing w:lineRule="auto" w:line="300"/>
        <w:jc w:val="right"/>
        <w:rPr/>
      </w:pPr>
      <w:r>
        <w:rPr/>
      </w:r>
      <w:bookmarkStart w:id="226" w:name="exhibit_31-1.htm"/>
      <w:bookmarkStart w:id="227" w:name="ksexhibit_311"/>
      <w:bookmarkStart w:id="228" w:name="exhibit_31-1.htm"/>
      <w:bookmarkStart w:id="229" w:name="ksexhibit_311"/>
      <w:bookmarkEnd w:id="228"/>
      <w:bookmarkEnd w:id="229"/>
      <w:r>
        <w:br w:type="page"/>
      </w:r>
    </w:p>
    <w:p>
      <w:pPr>
        <w:pStyle w:val="TextBody"/>
        <w:bidi w:val="0"/>
        <w:spacing w:lineRule="auto" w:line="300" w:before="0" w:after="0"/>
        <w:jc w:val="right"/>
        <w:rPr>
          <w:rFonts w:ascii="Times New Roman;Times;serif" w:hAnsi="Times New Roman;Times;serif"/>
          <w:b/>
          <w:color w:val="000000"/>
          <w:sz w:val="20"/>
          <w:u w:val="single"/>
        </w:rPr>
      </w:pPr>
      <w:r>
        <w:rPr>
          <w:rFonts w:ascii="Times New Roman;Times;serif" w:hAnsi="Times New Roman;Times;serif"/>
          <w:b/>
          <w:color w:val="000000"/>
          <w:sz w:val="20"/>
          <w:u w:val="single"/>
        </w:rPr>
        <w:t>Exhibit 31.1</w:t>
      </w:r>
    </w:p>
    <w:p>
      <w:pPr>
        <w:pStyle w:val="TextBody"/>
        <w:bidi w:val="0"/>
        <w:spacing w:lineRule="auto" w:line="300" w:before="0" w:after="0"/>
        <w:jc w:val="both"/>
        <w:rPr>
          <w:rFonts w:ascii="Times New Roman;Times;serif" w:hAnsi="Times New Roman;Times;serif"/>
        </w:rPr>
      </w:pPr>
      <w:r>
        <w:rPr>
          <w:rFonts w:ascii="Times New Roman;Times;serif" w:hAnsi="Times New Roman;Times;serif"/>
        </w:rPr>
      </w:r>
    </w:p>
    <w:p>
      <w:pPr>
        <w:pStyle w:val="TextBody"/>
        <w:bidi w:val="0"/>
        <w:spacing w:lineRule="auto" w:line="300" w:before="0" w:after="0"/>
        <w:jc w:val="both"/>
        <w:rPr>
          <w:rFonts w:ascii="Times New Roman;Times;serif" w:hAnsi="Times New Roman;Times;serif"/>
          <w:color w:val="000000"/>
          <w:sz w:val="20"/>
        </w:rPr>
      </w:pPr>
      <w:r>
        <w:rPr>
          <w:rFonts w:ascii="Times New Roman;Times;serif" w:hAnsi="Times New Roman;Times;serif"/>
          <w:color w:val="000000"/>
          <w:sz w:val="20"/>
        </w:rPr>
        <w:t>I, Shuki Nir, certify that:</w:t>
      </w:r>
    </w:p>
    <w:p>
      <w:pPr>
        <w:pStyle w:val="TextBody"/>
        <w:bidi w:val="0"/>
        <w:spacing w:lineRule="auto" w:line="300" w:before="0" w:after="0"/>
        <w:jc w:val="left"/>
        <w:rPr/>
      </w:pPr>
      <w:r>
        <w:rPr/>
      </w:r>
    </w:p>
    <w:p>
      <w:pPr>
        <w:pStyle w:val="TextBody"/>
        <w:bidi w:val="0"/>
        <w:spacing w:lineRule="auto" w:line="300" w:before="0" w:after="0"/>
        <w:jc w:val="both"/>
        <w:rPr>
          <w:rFonts w:ascii="Times New Roman;Times;serif" w:hAnsi="Times New Roman;Times;serif"/>
          <w:color w:val="000000"/>
          <w:sz w:val="20"/>
        </w:rPr>
      </w:pPr>
      <w:r>
        <w:rPr>
          <w:rFonts w:ascii="Times New Roman;Times;serif" w:hAnsi="Times New Roman;Times;serif"/>
          <w:color w:val="000000"/>
          <w:sz w:val="20"/>
        </w:rPr>
        <w:t>1. I have reviewed this Quarterly Report on Form 10-Q of SolarEdge Technologies, Inc.;</w:t>
      </w:r>
    </w:p>
    <w:p>
      <w:pPr>
        <w:pStyle w:val="TextBody"/>
        <w:bidi w:val="0"/>
        <w:spacing w:lineRule="auto" w:line="300" w:before="0" w:after="0"/>
        <w:jc w:val="left"/>
        <w:rPr/>
      </w:pPr>
      <w:r>
        <w:rPr/>
      </w:r>
    </w:p>
    <w:p>
      <w:pPr>
        <w:pStyle w:val="TextBody"/>
        <w:bidi w:val="0"/>
        <w:spacing w:lineRule="auto" w:line="300" w:before="0" w:after="0"/>
        <w:jc w:val="both"/>
        <w:rPr>
          <w:rFonts w:ascii="Times New Roman;Times;serif" w:hAnsi="Times New Roman;Times;serif"/>
          <w:color w:val="000000"/>
          <w:sz w:val="20"/>
        </w:rPr>
      </w:pPr>
      <w:r>
        <w:rPr>
          <w:rFonts w:ascii="Times New Roman;Times;serif" w:hAnsi="Times New Roman;Times;serif"/>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300" w:before="0" w:after="0"/>
        <w:jc w:val="left"/>
        <w:rPr/>
      </w:pPr>
      <w:r>
        <w:rPr/>
      </w:r>
    </w:p>
    <w:p>
      <w:pPr>
        <w:pStyle w:val="TextBody"/>
        <w:bidi w:val="0"/>
        <w:spacing w:lineRule="auto" w:line="300" w:before="0" w:after="0"/>
        <w:jc w:val="both"/>
        <w:rPr>
          <w:rFonts w:ascii="Times New Roman;Times;serif" w:hAnsi="Times New Roman;Times;serif"/>
          <w:color w:val="000000"/>
          <w:sz w:val="20"/>
        </w:rPr>
      </w:pPr>
      <w:r>
        <w:rPr>
          <w:rFonts w:ascii="Times New Roman;Times;serif" w:hAnsi="Times New Roman;Times;serif"/>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300" w:before="0" w:after="0"/>
        <w:jc w:val="left"/>
        <w:rPr/>
      </w:pPr>
      <w:r>
        <w:rPr/>
      </w:r>
    </w:p>
    <w:p>
      <w:pPr>
        <w:pStyle w:val="TextBody"/>
        <w:bidi w:val="0"/>
        <w:spacing w:lineRule="auto" w:line="300" w:before="0" w:after="0"/>
        <w:jc w:val="both"/>
        <w:rPr>
          <w:rFonts w:ascii="Times New Roman;Times;serif" w:hAnsi="Times New Roman;Times;serif"/>
          <w:color w:val="000000"/>
          <w:sz w:val="20"/>
        </w:rPr>
      </w:pPr>
      <w:r>
        <w:rPr>
          <w:rFonts w:ascii="Times New Roman;Times;serif" w:hAnsi="Times New Roman;Times;serif"/>
          <w:color w:val="000000"/>
          <w:sz w:val="20"/>
        </w:rPr>
        <w:t>4. 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300" w:before="0" w:after="0"/>
        <w:jc w:val="both"/>
        <w:rPr>
          <w:rFonts w:ascii="Times New Roman;Times;serif" w:hAnsi="Times New Roman;Times;serif"/>
        </w:rPr>
      </w:pPr>
      <w:r>
        <w:rPr>
          <w:rFonts w:ascii="Times New Roman;Times;serif" w:hAnsi="Times New Roman;Times;serif"/>
        </w:rPr>
      </w:r>
    </w:p>
    <w:p>
      <w:pPr>
        <w:pStyle w:val="TextBody"/>
        <w:bidi w:val="0"/>
        <w:spacing w:lineRule="auto" w:line="300" w:before="0" w:after="0"/>
        <w:jc w:val="both"/>
        <w:rPr>
          <w:rFonts w:ascii="Times New Roman;Times;serif" w:hAnsi="Times New Roman;Times;serif"/>
          <w:color w:val="000000"/>
          <w:sz w:val="20"/>
        </w:rPr>
      </w:pPr>
      <w:r>
        <w:rPr>
          <w:rFonts w:ascii="Times New Roman;Times;serif" w:hAnsi="Times New Roman;Times;serif"/>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300" w:before="0" w:after="0"/>
        <w:jc w:val="both"/>
        <w:rPr>
          <w:rFonts w:ascii="Times New Roman;Times;serif" w:hAnsi="Times New Roman;Times;serif"/>
        </w:rPr>
      </w:pPr>
      <w:r>
        <w:rPr>
          <w:rFonts w:ascii="Times New Roman;Times;serif" w:hAnsi="Times New Roman;Times;serif"/>
        </w:rPr>
      </w:r>
    </w:p>
    <w:p>
      <w:pPr>
        <w:pStyle w:val="TextBody"/>
        <w:bidi w:val="0"/>
        <w:spacing w:lineRule="auto" w:line="300" w:before="0" w:after="0"/>
        <w:jc w:val="both"/>
        <w:rPr>
          <w:rFonts w:ascii="Times New Roman;Times;serif" w:hAnsi="Times New Roman;Times;serif"/>
          <w:color w:val="000000"/>
          <w:sz w:val="20"/>
        </w:rPr>
      </w:pPr>
      <w:r>
        <w:rPr>
          <w:rFonts w:ascii="Times New Roman;Times;serif" w:hAnsi="Times New Roman;Times;serif"/>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300" w:before="0" w:after="0"/>
        <w:jc w:val="both"/>
        <w:rPr>
          <w:rFonts w:ascii="Times New Roman;Times;serif" w:hAnsi="Times New Roman;Times;serif"/>
        </w:rPr>
      </w:pPr>
      <w:r>
        <w:rPr>
          <w:rFonts w:ascii="Times New Roman;Times;serif" w:hAnsi="Times New Roman;Times;serif"/>
        </w:rPr>
      </w:r>
    </w:p>
    <w:p>
      <w:pPr>
        <w:pStyle w:val="TextBody"/>
        <w:bidi w:val="0"/>
        <w:spacing w:lineRule="auto" w:line="300" w:before="0" w:after="0"/>
        <w:jc w:val="both"/>
        <w:rPr>
          <w:rFonts w:ascii="Times New Roman;Times;serif" w:hAnsi="Times New Roman;Times;serif"/>
          <w:color w:val="000000"/>
          <w:sz w:val="20"/>
        </w:rPr>
      </w:pPr>
      <w:r>
        <w:rPr>
          <w:rFonts w:ascii="Times New Roman;Times;serif" w:hAnsi="Times New Roman;Times;serif"/>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300" w:before="0" w:after="0"/>
        <w:jc w:val="both"/>
        <w:rPr>
          <w:rFonts w:ascii="Times New Roman;Times;serif" w:hAnsi="Times New Roman;Times;serif"/>
        </w:rPr>
      </w:pPr>
      <w:r>
        <w:rPr>
          <w:rFonts w:ascii="Times New Roman;Times;serif" w:hAnsi="Times New Roman;Times;serif"/>
        </w:rPr>
      </w:r>
    </w:p>
    <w:p>
      <w:pPr>
        <w:pStyle w:val="TextBody"/>
        <w:bidi w:val="0"/>
        <w:spacing w:lineRule="auto" w:line="300" w:before="0" w:after="0"/>
        <w:jc w:val="both"/>
        <w:rPr>
          <w:rFonts w:ascii="Times New Roman;Times;serif" w:hAnsi="Times New Roman;Times;serif"/>
          <w:color w:val="000000"/>
          <w:sz w:val="20"/>
        </w:rPr>
      </w:pPr>
      <w:r>
        <w:rPr>
          <w:rFonts w:ascii="Times New Roman;Times;serif" w:hAnsi="Times New Roman;Times;serif"/>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300" w:before="0" w:after="0"/>
        <w:jc w:val="left"/>
        <w:rPr/>
      </w:pPr>
      <w:r>
        <w:rPr/>
      </w:r>
    </w:p>
    <w:p>
      <w:pPr>
        <w:pStyle w:val="TextBody"/>
        <w:bidi w:val="0"/>
        <w:spacing w:lineRule="auto" w:line="300"/>
        <w:jc w:val="both"/>
        <w:rPr>
          <w:rFonts w:ascii="Times New Roman;Times;serif" w:hAnsi="Times New Roman;Times;serif"/>
          <w:color w:val="000000"/>
          <w:sz w:val="20"/>
        </w:rPr>
      </w:pPr>
      <w:r>
        <w:rPr>
          <w:rFonts w:ascii="Times New Roman;Times;serif" w:hAnsi="Times New Roman;Times;serif"/>
          <w:color w:val="000000"/>
          <w:sz w:val="20"/>
        </w:rPr>
        <w:t>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300" w:before="0" w:after="0"/>
        <w:jc w:val="both"/>
        <w:rPr>
          <w:rFonts w:ascii="Times New Roman;Times;serif" w:hAnsi="Times New Roman;Times;serif"/>
          <w:color w:val="000000"/>
          <w:sz w:val="20"/>
        </w:rPr>
      </w:pPr>
      <w:r>
        <w:rPr>
          <w:rFonts w:ascii="Times New Roman;Times;serif" w:hAnsi="Times New Roman;Times;serif"/>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300" w:before="0" w:after="0"/>
        <w:jc w:val="both"/>
        <w:rPr>
          <w:rFonts w:ascii="Times New Roman;Times;serif" w:hAnsi="Times New Roman;Times;serif"/>
        </w:rPr>
      </w:pPr>
      <w:r>
        <w:rPr>
          <w:rFonts w:ascii="Times New Roman;Times;serif" w:hAnsi="Times New Roman;Times;serif"/>
        </w:rPr>
      </w:r>
    </w:p>
    <w:p>
      <w:pPr>
        <w:pStyle w:val="TextBody"/>
        <w:bidi w:val="0"/>
        <w:spacing w:lineRule="auto" w:line="300" w:before="0" w:after="0"/>
        <w:jc w:val="both"/>
        <w:rPr>
          <w:rFonts w:ascii="Times New Roman;Times;serif" w:hAnsi="Times New Roman;Times;serif"/>
          <w:color w:val="000000"/>
          <w:sz w:val="20"/>
        </w:rPr>
      </w:pPr>
      <w:r>
        <w:rPr>
          <w:rFonts w:ascii="Times New Roman;Times;serif" w:hAnsi="Times New Roman;Times;serif"/>
          <w:color w:val="000000"/>
          <w:sz w:val="20"/>
        </w:rPr>
        <w:t>(b) Any fraud, whether or not material, that involves management or other employees who have a significant role in the registrant’s internal control over financial reporting.</w:t>
      </w:r>
    </w:p>
    <w:p>
      <w:pPr>
        <w:pStyle w:val="TextBody"/>
        <w:bidi w:val="0"/>
        <w:spacing w:lineRule="auto" w:line="300" w:before="0" w:after="0"/>
        <w:jc w:val="left"/>
        <w:rPr/>
      </w:pPr>
      <w:r>
        <w:rPr/>
      </w:r>
    </w:p>
    <w:p>
      <w:pPr>
        <w:pStyle w:val="TextBody"/>
        <w:bidi w:val="0"/>
        <w:spacing w:lineRule="auto" w:line="300" w:before="0" w:after="0"/>
        <w:jc w:val="left"/>
        <w:rPr>
          <w:rFonts w:ascii="Times New Roman;Times;serif" w:hAnsi="Times New Roman;Times;serif"/>
          <w:color w:val="000000"/>
          <w:sz w:val="20"/>
        </w:rPr>
      </w:pPr>
      <w:r>
        <w:rPr>
          <w:rFonts w:ascii="Times New Roman;Times;serif" w:hAnsi="Times New Roman;Times;serif"/>
          <w:color w:val="000000"/>
          <w:sz w:val="20"/>
        </w:rPr>
        <w:t>Date: August 5, 2026</w:t>
      </w:r>
    </w:p>
    <w:p>
      <w:pPr>
        <w:pStyle w:val="TextBody"/>
        <w:bidi w:val="0"/>
        <w:spacing w:lineRule="auto" w:line="300" w:before="0" w:after="0"/>
        <w:jc w:val="left"/>
        <w:rPr/>
      </w:pPr>
      <w:r>
        <w:rPr/>
      </w:r>
    </w:p>
    <w:p>
      <w:pPr>
        <w:pStyle w:val="TextBody"/>
        <w:bidi w:val="0"/>
        <w:spacing w:lineRule="auto" w:line="300" w:before="0" w:after="0"/>
        <w:jc w:val="left"/>
        <w:rPr>
          <w:rFonts w:ascii="Times New Roman;Times;serif" w:hAnsi="Times New Roman;Times;serif"/>
          <w:color w:val="000000"/>
          <w:sz w:val="20"/>
          <w:u w:val="single"/>
        </w:rPr>
      </w:pPr>
      <w:r>
        <w:rPr>
          <w:rFonts w:ascii="Times New Roman;Times;serif" w:hAnsi="Times New Roman;Times;serif"/>
          <w:color w:val="000000"/>
          <w:sz w:val="20"/>
          <w:u w:val="single"/>
        </w:rPr>
        <w:t>/s/ Shuki Nir</w:t>
      </w:r>
    </w:p>
    <w:p>
      <w:pPr>
        <w:pStyle w:val="TextBody"/>
        <w:bidi w:val="0"/>
        <w:spacing w:lineRule="auto" w:line="300" w:before="0" w:after="0"/>
        <w:jc w:val="left"/>
        <w:rPr>
          <w:rFonts w:ascii="Times New Roman;Times;serif" w:hAnsi="Times New Roman;Times;serif"/>
          <w:color w:val="000000"/>
          <w:sz w:val="20"/>
        </w:rPr>
      </w:pPr>
      <w:r>
        <w:rPr>
          <w:rFonts w:ascii="Times New Roman;Times;serif" w:hAnsi="Times New Roman;Times;serif"/>
          <w:color w:val="000000"/>
          <w:sz w:val="20"/>
        </w:rPr>
        <w:t>Shuki Nir</w:t>
      </w:r>
    </w:p>
    <w:p>
      <w:pPr>
        <w:pStyle w:val="TextBody"/>
        <w:bidi w:val="0"/>
        <w:spacing w:lineRule="auto" w:line="300" w:before="0" w:after="0"/>
        <w:jc w:val="left"/>
        <w:rPr>
          <w:rFonts w:ascii="Times New Roman;Times;serif" w:hAnsi="Times New Roman;Times;serif"/>
          <w:color w:val="000000"/>
          <w:sz w:val="20"/>
        </w:rPr>
      </w:pPr>
      <w:r>
        <w:rPr>
          <w:rFonts w:ascii="Times New Roman;Times;serif" w:hAnsi="Times New Roman;Times;serif"/>
          <w:color w:val="000000"/>
          <w:sz w:val="20"/>
        </w:rPr>
        <w:t>Chief Executive Officer</w:t>
      </w:r>
    </w:p>
    <w:p>
      <w:pPr>
        <w:pStyle w:val="TextBody"/>
        <w:bidi w:val="0"/>
        <w:spacing w:lineRule="auto" w:line="300" w:before="0" w:after="0"/>
        <w:jc w:val="left"/>
        <w:rPr>
          <w:rFonts w:ascii="Times New Roman;Times;serif" w:hAnsi="Times New Roman;Times;serif"/>
          <w:color w:val="000000"/>
          <w:sz w:val="20"/>
        </w:rPr>
      </w:pPr>
      <w:r>
        <w:rPr>
          <w:rFonts w:ascii="Times New Roman;Times;serif" w:hAnsi="Times New Roman;Times;serif"/>
          <w:color w:val="000000"/>
          <w:sz w:val="20"/>
        </w:rPr>
        <w:t>(Principal Executive Officer)</w:t>
      </w:r>
    </w:p>
    <w:p>
      <w:pPr>
        <w:pStyle w:val="TextBody"/>
        <w:bidi w:val="0"/>
        <w:spacing w:lineRule="auto" w:line="300" w:before="0" w:after="0"/>
        <w:jc w:val="left"/>
        <w:rPr/>
      </w:pPr>
      <w:r>
        <w:rPr/>
      </w:r>
    </w:p>
    <w:p>
      <w:pPr>
        <w:pStyle w:val="HorizontalLine"/>
        <w:bidi w:val="0"/>
        <w:spacing w:lineRule="auto" w:line="300"/>
        <w:jc w:val="left"/>
        <w:rPr/>
      </w:pPr>
      <w:r>
        <w:rPr/>
      </w:r>
    </w:p>
    <w:p>
      <w:pPr>
        <w:pStyle w:val="HorizontalLine"/>
        <w:bidi w:val="0"/>
        <w:spacing w:lineRule="auto" w:line="300"/>
        <w:jc w:val="right"/>
        <w:rPr/>
      </w:pPr>
      <w:r>
        <w:rPr/>
      </w:r>
      <w:bookmarkStart w:id="230" w:name="exhibit_31-2.htm"/>
      <w:bookmarkStart w:id="231" w:name="ksexhibit_312"/>
      <w:bookmarkStart w:id="232" w:name="exhibit_31-2.htm"/>
      <w:bookmarkStart w:id="233" w:name="ksexhibit_312"/>
      <w:bookmarkEnd w:id="232"/>
      <w:bookmarkEnd w:id="233"/>
      <w:r>
        <w:br w:type="page"/>
      </w:r>
    </w:p>
    <w:p>
      <w:pPr>
        <w:pStyle w:val="TextBody"/>
        <w:bidi w:val="0"/>
        <w:spacing w:lineRule="auto" w:line="300" w:before="0" w:after="0"/>
        <w:jc w:val="right"/>
        <w:rPr>
          <w:rFonts w:ascii="Times New Roman;Times;serif" w:hAnsi="Times New Roman;Times;serif"/>
          <w:b/>
          <w:color w:val="000000"/>
          <w:sz w:val="20"/>
          <w:u w:val="single"/>
        </w:rPr>
      </w:pPr>
      <w:r>
        <w:rPr>
          <w:rFonts w:ascii="Times New Roman;Times;serif" w:hAnsi="Times New Roman;Times;serif"/>
          <w:b/>
          <w:color w:val="000000"/>
          <w:sz w:val="20"/>
          <w:u w:val="single"/>
        </w:rPr>
        <w:t>Exhibit 31.2</w:t>
      </w:r>
    </w:p>
    <w:p>
      <w:pPr>
        <w:pStyle w:val="TextBody"/>
        <w:bidi w:val="0"/>
        <w:spacing w:lineRule="auto" w:line="300" w:before="0" w:after="0"/>
        <w:jc w:val="left"/>
        <w:rPr/>
      </w:pPr>
      <w:r>
        <w:rPr/>
      </w:r>
    </w:p>
    <w:p>
      <w:pPr>
        <w:pStyle w:val="TextBody"/>
        <w:bidi w:val="0"/>
        <w:spacing w:lineRule="auto" w:line="300" w:before="0" w:after="0"/>
        <w:jc w:val="both"/>
        <w:rPr>
          <w:rFonts w:ascii="Times New Roman;Times;serif" w:hAnsi="Times New Roman;Times;serif"/>
          <w:color w:val="000000"/>
          <w:sz w:val="20"/>
        </w:rPr>
      </w:pPr>
      <w:r>
        <w:rPr>
          <w:rFonts w:ascii="Times New Roman;Times;serif" w:hAnsi="Times New Roman;Times;serif"/>
          <w:color w:val="000000"/>
          <w:sz w:val="20"/>
        </w:rPr>
        <w:t>I, Maoz Sigron, certify that:</w:t>
      </w:r>
    </w:p>
    <w:p>
      <w:pPr>
        <w:pStyle w:val="TextBody"/>
        <w:bidi w:val="0"/>
        <w:spacing w:lineRule="auto" w:line="300" w:before="0" w:after="0"/>
        <w:jc w:val="left"/>
        <w:rPr/>
      </w:pPr>
      <w:r>
        <w:rPr/>
      </w:r>
    </w:p>
    <w:p>
      <w:pPr>
        <w:pStyle w:val="TextBody"/>
        <w:bidi w:val="0"/>
        <w:spacing w:lineRule="auto" w:line="300" w:before="0" w:after="0"/>
        <w:jc w:val="both"/>
        <w:rPr>
          <w:rFonts w:ascii="Times New Roman;Times;serif" w:hAnsi="Times New Roman;Times;serif"/>
          <w:color w:val="000000"/>
          <w:sz w:val="20"/>
        </w:rPr>
      </w:pPr>
      <w:r>
        <w:rPr>
          <w:rFonts w:ascii="Times New Roman;Times;serif" w:hAnsi="Times New Roman;Times;serif"/>
          <w:color w:val="000000"/>
          <w:sz w:val="20"/>
        </w:rPr>
        <w:t>1. I have reviewed this Quarterly Report on Form 10-Q of SolarEdge Technologies, Inc.;</w:t>
      </w:r>
    </w:p>
    <w:p>
      <w:pPr>
        <w:pStyle w:val="TextBody"/>
        <w:bidi w:val="0"/>
        <w:spacing w:lineRule="auto" w:line="300" w:before="0" w:after="0"/>
        <w:jc w:val="left"/>
        <w:rPr/>
      </w:pPr>
      <w:r>
        <w:rPr/>
      </w:r>
    </w:p>
    <w:p>
      <w:pPr>
        <w:pStyle w:val="TextBody"/>
        <w:bidi w:val="0"/>
        <w:spacing w:lineRule="auto" w:line="300" w:before="0" w:after="0"/>
        <w:jc w:val="both"/>
        <w:rPr>
          <w:rFonts w:ascii="Times New Roman;Times;serif" w:hAnsi="Times New Roman;Times;serif"/>
          <w:color w:val="000000"/>
          <w:sz w:val="20"/>
        </w:rPr>
      </w:pPr>
      <w:r>
        <w:rPr>
          <w:rFonts w:ascii="Times New Roman;Times;serif" w:hAnsi="Times New Roman;Times;serif"/>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300" w:before="0" w:after="0"/>
        <w:jc w:val="left"/>
        <w:rPr/>
      </w:pPr>
      <w:r>
        <w:rPr/>
      </w:r>
    </w:p>
    <w:p>
      <w:pPr>
        <w:pStyle w:val="TextBody"/>
        <w:bidi w:val="0"/>
        <w:spacing w:lineRule="auto" w:line="300" w:before="0" w:after="0"/>
        <w:jc w:val="both"/>
        <w:rPr>
          <w:rFonts w:ascii="Times New Roman;Times;serif" w:hAnsi="Times New Roman;Times;serif"/>
          <w:color w:val="000000"/>
          <w:sz w:val="20"/>
        </w:rPr>
      </w:pPr>
      <w:r>
        <w:rPr>
          <w:rFonts w:ascii="Times New Roman;Times;serif" w:hAnsi="Times New Roman;Times;serif"/>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300" w:before="0" w:after="0"/>
        <w:jc w:val="left"/>
        <w:rPr/>
      </w:pPr>
      <w:r>
        <w:rPr/>
      </w:r>
    </w:p>
    <w:p>
      <w:pPr>
        <w:pStyle w:val="TextBody"/>
        <w:bidi w:val="0"/>
        <w:spacing w:lineRule="auto" w:line="300" w:before="0" w:after="0"/>
        <w:jc w:val="both"/>
        <w:rPr>
          <w:rFonts w:ascii="Times New Roman;Times;serif" w:hAnsi="Times New Roman;Times;serif"/>
          <w:color w:val="000000"/>
          <w:sz w:val="20"/>
        </w:rPr>
      </w:pPr>
      <w:r>
        <w:rPr>
          <w:rFonts w:ascii="Times New Roman;Times;serif" w:hAnsi="Times New Roman;Times;serif"/>
          <w:color w:val="000000"/>
          <w:sz w:val="20"/>
        </w:rPr>
        <w:t>4. 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300" w:before="0" w:after="0"/>
        <w:jc w:val="both"/>
        <w:rPr>
          <w:rFonts w:ascii="Times New Roman;Times;serif" w:hAnsi="Times New Roman;Times;serif"/>
        </w:rPr>
      </w:pPr>
      <w:r>
        <w:rPr>
          <w:rFonts w:ascii="Times New Roman;Times;serif" w:hAnsi="Times New Roman;Times;serif"/>
        </w:rPr>
      </w:r>
    </w:p>
    <w:p>
      <w:pPr>
        <w:pStyle w:val="TextBody"/>
        <w:bidi w:val="0"/>
        <w:spacing w:lineRule="auto" w:line="300" w:before="0" w:after="0"/>
        <w:jc w:val="both"/>
        <w:rPr>
          <w:rFonts w:ascii="Times New Roman;Times;serif" w:hAnsi="Times New Roman;Times;serif"/>
          <w:color w:val="000000"/>
          <w:sz w:val="20"/>
        </w:rPr>
      </w:pPr>
      <w:r>
        <w:rPr>
          <w:rFonts w:ascii="Times New Roman;Times;serif" w:hAnsi="Times New Roman;Times;serif"/>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300" w:before="0" w:after="0"/>
        <w:jc w:val="both"/>
        <w:rPr>
          <w:rFonts w:ascii="Times New Roman;Times;serif" w:hAnsi="Times New Roman;Times;serif"/>
        </w:rPr>
      </w:pPr>
      <w:r>
        <w:rPr>
          <w:rFonts w:ascii="Times New Roman;Times;serif" w:hAnsi="Times New Roman;Times;serif"/>
        </w:rPr>
      </w:r>
    </w:p>
    <w:p>
      <w:pPr>
        <w:pStyle w:val="TextBody"/>
        <w:bidi w:val="0"/>
        <w:spacing w:lineRule="auto" w:line="300" w:before="0" w:after="0"/>
        <w:jc w:val="both"/>
        <w:rPr>
          <w:rFonts w:ascii="Times New Roman;Times;serif" w:hAnsi="Times New Roman;Times;serif"/>
          <w:color w:val="000000"/>
          <w:sz w:val="20"/>
        </w:rPr>
      </w:pPr>
      <w:r>
        <w:rPr>
          <w:rFonts w:ascii="Times New Roman;Times;serif" w:hAnsi="Times New Roman;Times;serif"/>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300" w:before="0" w:after="0"/>
        <w:jc w:val="both"/>
        <w:rPr>
          <w:rFonts w:ascii="Times New Roman;Times;serif" w:hAnsi="Times New Roman;Times;serif"/>
        </w:rPr>
      </w:pPr>
      <w:r>
        <w:rPr>
          <w:rFonts w:ascii="Times New Roman;Times;serif" w:hAnsi="Times New Roman;Times;serif"/>
        </w:rPr>
      </w:r>
    </w:p>
    <w:p>
      <w:pPr>
        <w:pStyle w:val="TextBody"/>
        <w:bidi w:val="0"/>
        <w:spacing w:lineRule="auto" w:line="300" w:before="0" w:after="0"/>
        <w:jc w:val="both"/>
        <w:rPr>
          <w:rFonts w:ascii="Times New Roman;Times;serif" w:hAnsi="Times New Roman;Times;serif"/>
          <w:color w:val="000000"/>
          <w:sz w:val="20"/>
        </w:rPr>
      </w:pPr>
      <w:r>
        <w:rPr>
          <w:rFonts w:ascii="Times New Roman;Times;serif" w:hAnsi="Times New Roman;Times;serif"/>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300" w:before="0" w:after="0"/>
        <w:jc w:val="both"/>
        <w:rPr>
          <w:rFonts w:ascii="Times New Roman;Times;serif" w:hAnsi="Times New Roman;Times;serif"/>
        </w:rPr>
      </w:pPr>
      <w:r>
        <w:rPr>
          <w:rFonts w:ascii="Times New Roman;Times;serif" w:hAnsi="Times New Roman;Times;serif"/>
        </w:rPr>
      </w:r>
    </w:p>
    <w:p>
      <w:pPr>
        <w:pStyle w:val="TextBody"/>
        <w:bidi w:val="0"/>
        <w:spacing w:lineRule="auto" w:line="300" w:before="0" w:after="0"/>
        <w:jc w:val="both"/>
        <w:rPr>
          <w:rFonts w:ascii="Times New Roman;Times;serif" w:hAnsi="Times New Roman;Times;serif"/>
          <w:color w:val="000000"/>
          <w:sz w:val="20"/>
        </w:rPr>
      </w:pPr>
      <w:r>
        <w:rPr>
          <w:rFonts w:ascii="Times New Roman;Times;serif" w:hAnsi="Times New Roman;Times;serif"/>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300" w:before="0" w:after="0"/>
        <w:jc w:val="left"/>
        <w:rPr/>
      </w:pPr>
      <w:r>
        <w:rPr/>
      </w:r>
    </w:p>
    <w:p>
      <w:pPr>
        <w:pStyle w:val="TextBody"/>
        <w:bidi w:val="0"/>
        <w:spacing w:lineRule="auto" w:line="300" w:before="0" w:after="0"/>
        <w:jc w:val="both"/>
        <w:rPr>
          <w:rFonts w:ascii="Times New Roman;Times;serif" w:hAnsi="Times New Roman;Times;serif"/>
          <w:color w:val="000000"/>
          <w:sz w:val="20"/>
        </w:rPr>
      </w:pPr>
      <w:r>
        <w:rPr>
          <w:rFonts w:ascii="Times New Roman;Times;serif" w:hAnsi="Times New Roman;Times;serif"/>
          <w:color w:val="000000"/>
          <w:sz w:val="20"/>
        </w:rPr>
        <w:t>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300" w:before="0" w:after="0"/>
        <w:jc w:val="both"/>
        <w:rPr>
          <w:rFonts w:ascii="Times New Roman;Times;serif" w:hAnsi="Times New Roman;Times;serif"/>
        </w:rPr>
      </w:pPr>
      <w:r>
        <w:rPr>
          <w:rFonts w:ascii="Times New Roman;Times;serif" w:hAnsi="Times New Roman;Times;serif"/>
        </w:rPr>
      </w:r>
    </w:p>
    <w:p>
      <w:pPr>
        <w:pStyle w:val="TextBody"/>
        <w:bidi w:val="0"/>
        <w:spacing w:lineRule="auto" w:line="300" w:before="0" w:after="0"/>
        <w:jc w:val="both"/>
        <w:rPr>
          <w:rFonts w:ascii="Times New Roman;Times;serif" w:hAnsi="Times New Roman;Times;serif"/>
          <w:color w:val="000000"/>
          <w:sz w:val="20"/>
        </w:rPr>
      </w:pPr>
      <w:r>
        <w:rPr>
          <w:rFonts w:ascii="Times New Roman;Times;serif" w:hAnsi="Times New Roman;Times;serif"/>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300" w:before="0" w:after="0"/>
        <w:jc w:val="both"/>
        <w:rPr>
          <w:rFonts w:ascii="Times New Roman;Times;serif" w:hAnsi="Times New Roman;Times;serif"/>
        </w:rPr>
      </w:pPr>
      <w:r>
        <w:rPr>
          <w:rFonts w:ascii="Times New Roman;Times;serif" w:hAnsi="Times New Roman;Times;serif"/>
        </w:rPr>
      </w:r>
    </w:p>
    <w:p>
      <w:pPr>
        <w:pStyle w:val="TextBody"/>
        <w:bidi w:val="0"/>
        <w:spacing w:lineRule="auto" w:line="300" w:before="0" w:after="0"/>
        <w:jc w:val="both"/>
        <w:rPr>
          <w:rFonts w:ascii="Times New Roman;Times;serif" w:hAnsi="Times New Roman;Times;serif"/>
          <w:color w:val="000000"/>
          <w:sz w:val="20"/>
        </w:rPr>
      </w:pPr>
      <w:r>
        <w:rPr>
          <w:rFonts w:ascii="Times New Roman;Times;serif" w:hAnsi="Times New Roman;Times;serif"/>
          <w:color w:val="000000"/>
          <w:sz w:val="20"/>
        </w:rPr>
        <w:t>(b) Any fraud, whether or not material, that involves management or other employees who have a significant role in the registrant’s internal control over financial reporting.</w:t>
      </w:r>
    </w:p>
    <w:p>
      <w:pPr>
        <w:pStyle w:val="TextBody"/>
        <w:bidi w:val="0"/>
        <w:spacing w:lineRule="auto" w:line="300" w:before="0" w:after="0"/>
        <w:jc w:val="left"/>
        <w:rPr/>
      </w:pPr>
      <w:r>
        <w:rPr/>
      </w:r>
    </w:p>
    <w:p>
      <w:pPr>
        <w:pStyle w:val="TextBody"/>
        <w:bidi w:val="0"/>
        <w:spacing w:lineRule="auto" w:line="300" w:before="0" w:after="0"/>
        <w:jc w:val="left"/>
        <w:rPr>
          <w:rFonts w:ascii="Times New Roman;Times;serif" w:hAnsi="Times New Roman;Times;serif"/>
          <w:color w:val="000000"/>
          <w:sz w:val="20"/>
        </w:rPr>
      </w:pPr>
      <w:r>
        <w:rPr>
          <w:rFonts w:ascii="Times New Roman;Times;serif" w:hAnsi="Times New Roman;Times;serif"/>
          <w:color w:val="000000"/>
          <w:sz w:val="20"/>
        </w:rPr>
        <w:t>Date: August 5, 2026</w:t>
      </w:r>
    </w:p>
    <w:p>
      <w:pPr>
        <w:pStyle w:val="TextBody"/>
        <w:bidi w:val="0"/>
        <w:spacing w:lineRule="auto" w:line="300" w:before="0" w:after="0"/>
        <w:jc w:val="left"/>
        <w:rPr/>
      </w:pPr>
      <w:r>
        <w:rPr/>
      </w:r>
    </w:p>
    <w:p>
      <w:pPr>
        <w:pStyle w:val="TextBody"/>
        <w:bidi w:val="0"/>
        <w:spacing w:lineRule="auto" w:line="300" w:before="0" w:after="0"/>
        <w:jc w:val="both"/>
        <w:rPr>
          <w:rFonts w:ascii="Times New Roman;Times;serif" w:hAnsi="Times New Roman;Times;serif"/>
          <w:color w:val="000000"/>
          <w:sz w:val="20"/>
          <w:u w:val="single"/>
        </w:rPr>
      </w:pPr>
      <w:r>
        <w:rPr>
          <w:rFonts w:ascii="Times New Roman;Times;serif" w:hAnsi="Times New Roman;Times;serif"/>
          <w:color w:val="000000"/>
          <w:sz w:val="20"/>
          <w:u w:val="single"/>
        </w:rPr>
        <w:t>/s/ Maoz Sigron</w:t>
      </w:r>
    </w:p>
    <w:p>
      <w:pPr>
        <w:pStyle w:val="TextBody"/>
        <w:bidi w:val="0"/>
        <w:spacing w:lineRule="auto" w:line="300" w:before="0" w:after="0"/>
        <w:jc w:val="both"/>
        <w:rPr>
          <w:rFonts w:ascii="Times New Roman;Times;serif" w:hAnsi="Times New Roman;Times;serif"/>
          <w:color w:val="000000"/>
          <w:sz w:val="20"/>
        </w:rPr>
      </w:pPr>
      <w:r>
        <w:rPr>
          <w:rFonts w:ascii="Times New Roman;Times;serif" w:hAnsi="Times New Roman;Times;serif"/>
          <w:color w:val="000000"/>
          <w:sz w:val="20"/>
        </w:rPr>
        <w:t>Maoz Sigron</w:t>
      </w:r>
    </w:p>
    <w:p>
      <w:pPr>
        <w:pStyle w:val="TextBody"/>
        <w:bidi w:val="0"/>
        <w:spacing w:lineRule="auto" w:line="300" w:before="0" w:after="0"/>
        <w:jc w:val="both"/>
        <w:rPr>
          <w:rFonts w:ascii="Times New Roman;Times;serif" w:hAnsi="Times New Roman;Times;serif"/>
          <w:color w:val="000000"/>
          <w:sz w:val="20"/>
        </w:rPr>
      </w:pPr>
      <w:r>
        <w:rPr>
          <w:rFonts w:ascii="Times New Roman;Times;serif" w:hAnsi="Times New Roman;Times;serif"/>
          <w:color w:val="000000"/>
          <w:sz w:val="20"/>
        </w:rPr>
        <w:t>Chief Financial Officer</w:t>
      </w:r>
    </w:p>
    <w:p>
      <w:pPr>
        <w:pStyle w:val="TextBody"/>
        <w:bidi w:val="0"/>
        <w:spacing w:lineRule="auto" w:line="300" w:before="0" w:after="0"/>
        <w:jc w:val="both"/>
        <w:rPr>
          <w:rFonts w:ascii="Times New Roman;Times;serif" w:hAnsi="Times New Roman;Times;serif"/>
          <w:color w:val="000000"/>
          <w:sz w:val="20"/>
        </w:rPr>
      </w:pPr>
      <w:r>
        <w:rPr>
          <w:rFonts w:ascii="Times New Roman;Times;serif" w:hAnsi="Times New Roman;Times;serif"/>
          <w:color w:val="000000"/>
          <w:sz w:val="20"/>
        </w:rPr>
        <w:t>(Principal Financial Officer)</w:t>
      </w:r>
    </w:p>
    <w:p>
      <w:pPr>
        <w:pStyle w:val="TextBody"/>
        <w:bidi w:val="0"/>
        <w:spacing w:lineRule="auto" w:line="300" w:before="0" w:after="0"/>
        <w:jc w:val="left"/>
        <w:rPr/>
      </w:pPr>
      <w:r>
        <w:rPr/>
      </w:r>
    </w:p>
    <w:p>
      <w:pPr>
        <w:pStyle w:val="HorizontalLine"/>
        <w:bidi w:val="0"/>
        <w:spacing w:lineRule="auto" w:line="300"/>
        <w:jc w:val="left"/>
        <w:rPr/>
      </w:pPr>
      <w:r>
        <w:rPr/>
      </w:r>
    </w:p>
    <w:p>
      <w:pPr>
        <w:pStyle w:val="HorizontalLine"/>
        <w:bidi w:val="0"/>
        <w:spacing w:lineRule="auto" w:line="300"/>
        <w:jc w:val="right"/>
        <w:rPr/>
      </w:pPr>
      <w:r>
        <w:rPr/>
      </w:r>
      <w:bookmarkStart w:id="234" w:name="exhibit_32-1.htm"/>
      <w:bookmarkStart w:id="235" w:name="ksexhibit_321"/>
      <w:bookmarkStart w:id="236" w:name="exhibit_32-1.htm"/>
      <w:bookmarkStart w:id="237" w:name="ksexhibit_321"/>
      <w:bookmarkEnd w:id="236"/>
      <w:bookmarkEnd w:id="237"/>
      <w:r>
        <w:br w:type="page"/>
      </w:r>
    </w:p>
    <w:p>
      <w:pPr>
        <w:pStyle w:val="TextBody"/>
        <w:bidi w:val="0"/>
        <w:spacing w:lineRule="auto" w:line="300" w:before="0" w:after="0"/>
        <w:jc w:val="right"/>
        <w:rPr>
          <w:rFonts w:ascii="Times New Roman;Times;serif" w:hAnsi="Times New Roman;Times;serif"/>
          <w:b/>
          <w:color w:val="000000"/>
          <w:sz w:val="20"/>
          <w:u w:val="single"/>
        </w:rPr>
      </w:pPr>
      <w:r>
        <w:rPr>
          <w:rFonts w:ascii="Times New Roman;Times;serif" w:hAnsi="Times New Roman;Times;serif"/>
          <w:b/>
          <w:color w:val="000000"/>
          <w:sz w:val="20"/>
          <w:u w:val="single"/>
        </w:rPr>
        <w:t>Exhibit 32.1</w:t>
      </w:r>
    </w:p>
    <w:p>
      <w:pPr>
        <w:pStyle w:val="TextBody"/>
        <w:bidi w:val="0"/>
        <w:spacing w:lineRule="auto" w:line="300" w:before="0" w:after="0"/>
        <w:jc w:val="center"/>
        <w:rPr>
          <w:rFonts w:ascii="Times New Roman;Times;serif" w:hAnsi="Times New Roman;Times;serif"/>
          <w:b/>
        </w:rPr>
      </w:pPr>
      <w:r>
        <w:rPr>
          <w:rFonts w:ascii="Times New Roman;Times;serif" w:hAnsi="Times New Roman;Times;serif"/>
          <w:b/>
        </w:rPr>
      </w:r>
    </w:p>
    <w:p>
      <w:pPr>
        <w:pStyle w:val="TextBody"/>
        <w:bidi w:val="0"/>
        <w:spacing w:lineRule="auto" w:line="300" w:before="0" w:after="0"/>
        <w:jc w:val="center"/>
        <w:rPr>
          <w:rFonts w:ascii="Times New Roman;Times;serif" w:hAnsi="Times New Roman;Times;serif"/>
          <w:b/>
          <w:color w:val="000000"/>
          <w:sz w:val="20"/>
        </w:rPr>
      </w:pPr>
      <w:r>
        <w:rPr>
          <w:rFonts w:ascii="Times New Roman;Times;serif" w:hAnsi="Times New Roman;Times;serif"/>
          <w:b/>
          <w:color w:val="000000"/>
          <w:sz w:val="20"/>
        </w:rPr>
        <w:t>CERTIFICATION OF CHIEF EXECUTIVE OFFICER AND CHIEF FINANCIAL OFFICER</w:t>
      </w:r>
    </w:p>
    <w:p>
      <w:pPr>
        <w:pStyle w:val="TextBody"/>
        <w:bidi w:val="0"/>
        <w:spacing w:lineRule="auto" w:line="300" w:before="0" w:after="0"/>
        <w:jc w:val="center"/>
        <w:rPr>
          <w:rFonts w:ascii="Times New Roman;Times;serif" w:hAnsi="Times New Roman;Times;serif"/>
          <w:b/>
          <w:color w:val="000000"/>
          <w:sz w:val="20"/>
        </w:rPr>
      </w:pPr>
      <w:r>
        <w:rPr>
          <w:rFonts w:ascii="Times New Roman;Times;serif" w:hAnsi="Times New Roman;Times;serif"/>
          <w:b/>
          <w:color w:val="000000"/>
          <w:sz w:val="20"/>
        </w:rPr>
        <w:t>PURSUANT TO</w:t>
      </w:r>
    </w:p>
    <w:p>
      <w:pPr>
        <w:pStyle w:val="TextBody"/>
        <w:bidi w:val="0"/>
        <w:spacing w:lineRule="auto" w:line="300" w:before="0" w:after="0"/>
        <w:jc w:val="center"/>
        <w:rPr>
          <w:rFonts w:ascii="Times New Roman;Times;serif" w:hAnsi="Times New Roman;Times;serif"/>
          <w:b/>
          <w:color w:val="000000"/>
          <w:sz w:val="20"/>
        </w:rPr>
      </w:pPr>
      <w:r>
        <w:rPr>
          <w:rFonts w:ascii="Times New Roman;Times;serif" w:hAnsi="Times New Roman;Times;serif"/>
          <w:b/>
          <w:color w:val="000000"/>
          <w:sz w:val="20"/>
        </w:rPr>
        <w:t>18 U.S.C. SECTION 1350,</w:t>
      </w:r>
    </w:p>
    <w:p>
      <w:pPr>
        <w:pStyle w:val="TextBody"/>
        <w:bidi w:val="0"/>
        <w:spacing w:lineRule="auto" w:line="300" w:before="0" w:after="0"/>
        <w:jc w:val="center"/>
        <w:rPr>
          <w:rFonts w:ascii="Times New Roman;Times;serif" w:hAnsi="Times New Roman;Times;serif"/>
          <w:b/>
          <w:color w:val="000000"/>
          <w:sz w:val="20"/>
        </w:rPr>
      </w:pPr>
      <w:r>
        <w:rPr>
          <w:rFonts w:ascii="Times New Roman;Times;serif" w:hAnsi="Times New Roman;Times;serif"/>
          <w:b/>
          <w:color w:val="000000"/>
          <w:sz w:val="20"/>
        </w:rPr>
        <w:t>AS ADOPTED PURSUANT TO</w:t>
      </w:r>
    </w:p>
    <w:p>
      <w:pPr>
        <w:pStyle w:val="TextBody"/>
        <w:bidi w:val="0"/>
        <w:spacing w:lineRule="auto" w:line="300" w:before="0" w:after="0"/>
        <w:jc w:val="center"/>
        <w:rPr>
          <w:rFonts w:ascii="Times New Roman;Times;serif" w:hAnsi="Times New Roman;Times;serif"/>
          <w:b/>
          <w:color w:val="000000"/>
          <w:sz w:val="20"/>
        </w:rPr>
      </w:pPr>
      <w:r>
        <w:rPr>
          <w:rFonts w:ascii="Times New Roman;Times;serif" w:hAnsi="Times New Roman;Times;serif"/>
          <w:b/>
          <w:color w:val="000000"/>
          <w:sz w:val="20"/>
        </w:rPr>
        <w:t>SECTION 906 OF THE SARBANES-OXLEY ACT OF 2002</w:t>
      </w:r>
    </w:p>
    <w:p>
      <w:pPr>
        <w:pStyle w:val="TextBody"/>
        <w:bidi w:val="0"/>
        <w:spacing w:lineRule="auto" w:line="300" w:before="0" w:after="0"/>
        <w:jc w:val="left"/>
        <w:rPr/>
      </w:pPr>
      <w:r>
        <w:rPr/>
      </w:r>
    </w:p>
    <w:p>
      <w:pPr>
        <w:pStyle w:val="TextBody"/>
        <w:bidi w:val="0"/>
        <w:spacing w:lineRule="auto" w:line="300" w:before="0" w:after="0"/>
        <w:jc w:val="both"/>
        <w:rPr>
          <w:rFonts w:ascii="Times New Roman;Times;serif" w:hAnsi="Times New Roman;Times;serif"/>
          <w:color w:val="000000"/>
          <w:sz w:val="20"/>
        </w:rPr>
      </w:pPr>
      <w:r>
        <w:rPr>
          <w:rFonts w:ascii="Times New Roman;Times;serif" w:hAnsi="Times New Roman;Times;serif"/>
          <w:color w:val="000000"/>
          <w:sz w:val="20"/>
        </w:rPr>
        <w:t>I, Shuki Nir, certify, pursuant to 18 U.S.C. Section 1350, as adopted pursuant to Section 906 of the Sarbanes-Oxley Act of 2002, that the Quarterly Report on Form 10-Q of SolarEdge Technologies, Inc. for the quarterly period ended June 30, 2026 fully complies with the requirements of Section 13(a) or 15(d) of the Securities Exchange Act of 1934, as amended, and that the information contained in such Quarterly Report on Form 10-Q fairly presents, in all material respects, the financial condition and results of operations of SolarEdge Technologies, Inc.</w:t>
      </w:r>
    </w:p>
    <w:p>
      <w:pPr>
        <w:pStyle w:val="TextBody"/>
        <w:bidi w:val="0"/>
        <w:spacing w:lineRule="auto" w:line="300" w:before="0" w:after="0"/>
        <w:jc w:val="both"/>
        <w:rPr/>
      </w:pPr>
      <w:r>
        <w:rPr/>
      </w:r>
    </w:p>
    <w:p>
      <w:pPr>
        <w:pStyle w:val="TextBody"/>
        <w:bidi w:val="0"/>
        <w:spacing w:lineRule="auto" w:line="300" w:before="0" w:after="0"/>
        <w:jc w:val="left"/>
        <w:rPr>
          <w:rFonts w:ascii="Times New Roman;Times;serif" w:hAnsi="Times New Roman;Times;serif"/>
          <w:color w:val="000000"/>
          <w:sz w:val="20"/>
        </w:rPr>
      </w:pPr>
      <w:r>
        <w:rPr>
          <w:rFonts w:ascii="Times New Roman;Times;serif" w:hAnsi="Times New Roman;Times;serif"/>
          <w:color w:val="000000"/>
          <w:sz w:val="20"/>
        </w:rPr>
        <w:t>Date: August 5, 2026</w:t>
      </w:r>
    </w:p>
    <w:p>
      <w:pPr>
        <w:pStyle w:val="TextBody"/>
        <w:bidi w:val="0"/>
        <w:spacing w:lineRule="auto" w:line="300" w:before="0" w:after="0"/>
        <w:jc w:val="left"/>
        <w:rPr/>
      </w:pPr>
      <w:r>
        <w:rPr/>
      </w:r>
    </w:p>
    <w:p>
      <w:pPr>
        <w:pStyle w:val="TextBody"/>
        <w:bidi w:val="0"/>
        <w:spacing w:lineRule="auto" w:line="300" w:before="0" w:after="0"/>
        <w:jc w:val="left"/>
        <w:rPr>
          <w:rFonts w:ascii="Times New Roman;Times;serif" w:hAnsi="Times New Roman;Times;serif"/>
          <w:color w:val="000000"/>
          <w:sz w:val="20"/>
          <w:u w:val="single"/>
        </w:rPr>
      </w:pPr>
      <w:r>
        <w:rPr>
          <w:rFonts w:ascii="Times New Roman;Times;serif" w:hAnsi="Times New Roman;Times;serif"/>
          <w:color w:val="000000"/>
          <w:sz w:val="20"/>
          <w:u w:val="single"/>
        </w:rPr>
        <w:t>/s/ Shuki Nir</w:t>
      </w:r>
    </w:p>
    <w:p>
      <w:pPr>
        <w:pStyle w:val="TextBody"/>
        <w:bidi w:val="0"/>
        <w:spacing w:lineRule="auto" w:line="300" w:before="0" w:after="0"/>
        <w:jc w:val="left"/>
        <w:rPr>
          <w:rFonts w:ascii="Times New Roman;Times;serif" w:hAnsi="Times New Roman;Times;serif"/>
          <w:color w:val="000000"/>
          <w:sz w:val="20"/>
        </w:rPr>
      </w:pPr>
      <w:r>
        <w:rPr>
          <w:rFonts w:ascii="Times New Roman;Times;serif" w:hAnsi="Times New Roman;Times;serif"/>
          <w:color w:val="000000"/>
          <w:sz w:val="20"/>
        </w:rPr>
        <w:t>Shuki Nir</w:t>
      </w:r>
    </w:p>
    <w:p>
      <w:pPr>
        <w:pStyle w:val="TextBody"/>
        <w:bidi w:val="0"/>
        <w:spacing w:lineRule="auto" w:line="300" w:before="0" w:after="0"/>
        <w:jc w:val="left"/>
        <w:rPr>
          <w:rFonts w:ascii="Times New Roman;Times;serif" w:hAnsi="Times New Roman;Times;serif"/>
          <w:color w:val="000000"/>
          <w:sz w:val="20"/>
        </w:rPr>
      </w:pPr>
      <w:r>
        <w:rPr>
          <w:rFonts w:ascii="Times New Roman;Times;serif" w:hAnsi="Times New Roman;Times;serif"/>
          <w:color w:val="000000"/>
          <w:sz w:val="20"/>
        </w:rPr>
        <w:t>Chief Executive Officer</w:t>
      </w:r>
    </w:p>
    <w:p>
      <w:pPr>
        <w:pStyle w:val="TextBody"/>
        <w:bidi w:val="0"/>
        <w:spacing w:lineRule="auto" w:line="300" w:before="0" w:after="0"/>
        <w:jc w:val="left"/>
        <w:rPr>
          <w:rFonts w:ascii="Times New Roman;Times;serif" w:hAnsi="Times New Roman;Times;serif"/>
          <w:color w:val="000000"/>
          <w:sz w:val="20"/>
        </w:rPr>
      </w:pPr>
      <w:r>
        <w:rPr>
          <w:rFonts w:ascii="Times New Roman;Times;serif" w:hAnsi="Times New Roman;Times;serif"/>
          <w:color w:val="000000"/>
          <w:sz w:val="20"/>
        </w:rPr>
        <w:t>(Principal Executive Officer)</w:t>
      </w:r>
    </w:p>
    <w:p>
      <w:pPr>
        <w:pStyle w:val="TextBody"/>
        <w:bidi w:val="0"/>
        <w:spacing w:lineRule="auto" w:line="300" w:before="0" w:after="0"/>
        <w:jc w:val="left"/>
        <w:rPr/>
      </w:pPr>
      <w:r>
        <w:rPr/>
      </w:r>
    </w:p>
    <w:p>
      <w:pPr>
        <w:pStyle w:val="HorizontalLine"/>
        <w:bidi w:val="0"/>
        <w:spacing w:lineRule="auto" w:line="300"/>
        <w:jc w:val="left"/>
        <w:rPr/>
      </w:pPr>
      <w:r>
        <w:rPr/>
      </w:r>
    </w:p>
    <w:p>
      <w:pPr>
        <w:pStyle w:val="HorizontalLine"/>
        <w:bidi w:val="0"/>
        <w:spacing w:lineRule="auto" w:line="300"/>
        <w:jc w:val="right"/>
        <w:rPr/>
      </w:pPr>
      <w:r>
        <w:rPr/>
      </w:r>
      <w:bookmarkStart w:id="238" w:name="exhibit_32-2.htm"/>
      <w:bookmarkStart w:id="239" w:name="ksexhibit_322"/>
      <w:bookmarkStart w:id="240" w:name="exhibit_32-2.htm"/>
      <w:bookmarkStart w:id="241" w:name="ksexhibit_322"/>
      <w:bookmarkEnd w:id="240"/>
      <w:bookmarkEnd w:id="241"/>
      <w:r>
        <w:br w:type="page"/>
      </w:r>
    </w:p>
    <w:p>
      <w:pPr>
        <w:pStyle w:val="TextBody"/>
        <w:bidi w:val="0"/>
        <w:spacing w:lineRule="auto" w:line="300" w:before="0" w:after="0"/>
        <w:jc w:val="right"/>
        <w:rPr>
          <w:rFonts w:ascii="Times New Roman;Times;serif" w:hAnsi="Times New Roman;Times;serif"/>
          <w:b/>
          <w:color w:val="000000"/>
          <w:sz w:val="20"/>
          <w:u w:val="single"/>
        </w:rPr>
      </w:pPr>
      <w:r>
        <w:rPr>
          <w:rFonts w:ascii="Times New Roman;Times;serif" w:hAnsi="Times New Roman;Times;serif"/>
          <w:b/>
          <w:color w:val="000000"/>
          <w:sz w:val="20"/>
          <w:u w:val="single"/>
        </w:rPr>
        <w:t>Exhibit 32.2</w:t>
      </w:r>
    </w:p>
    <w:p>
      <w:pPr>
        <w:pStyle w:val="TextBody"/>
        <w:bidi w:val="0"/>
        <w:spacing w:lineRule="auto" w:line="300" w:before="0" w:after="0"/>
        <w:jc w:val="center"/>
        <w:rPr>
          <w:rFonts w:ascii="Times New Roman;Times;serif" w:hAnsi="Times New Roman;Times;serif"/>
          <w:b/>
        </w:rPr>
      </w:pPr>
      <w:r>
        <w:rPr>
          <w:rFonts w:ascii="Times New Roman;Times;serif" w:hAnsi="Times New Roman;Times;serif"/>
          <w:b/>
        </w:rPr>
      </w:r>
    </w:p>
    <w:p>
      <w:pPr>
        <w:pStyle w:val="TextBody"/>
        <w:bidi w:val="0"/>
        <w:spacing w:lineRule="auto" w:line="300" w:before="0" w:after="0"/>
        <w:jc w:val="center"/>
        <w:rPr>
          <w:rFonts w:ascii="Times New Roman;Times;serif" w:hAnsi="Times New Roman;Times;serif"/>
          <w:b/>
          <w:color w:val="000000"/>
          <w:sz w:val="20"/>
        </w:rPr>
      </w:pPr>
      <w:r>
        <w:rPr>
          <w:rFonts w:ascii="Times New Roman;Times;serif" w:hAnsi="Times New Roman;Times;serif"/>
          <w:b/>
          <w:color w:val="000000"/>
          <w:sz w:val="20"/>
        </w:rPr>
        <w:t>CERTIFICATION OF CHIEF EXECUTIVE OFFICER AND CHIEF FINANCIAL OFFICER</w:t>
      </w:r>
    </w:p>
    <w:p>
      <w:pPr>
        <w:pStyle w:val="TextBody"/>
        <w:bidi w:val="0"/>
        <w:spacing w:lineRule="auto" w:line="300" w:before="0" w:after="0"/>
        <w:jc w:val="center"/>
        <w:rPr>
          <w:rFonts w:ascii="Times New Roman;Times;serif" w:hAnsi="Times New Roman;Times;serif"/>
          <w:b/>
          <w:color w:val="000000"/>
          <w:sz w:val="20"/>
        </w:rPr>
      </w:pPr>
      <w:r>
        <w:rPr>
          <w:rFonts w:ascii="Times New Roman;Times;serif" w:hAnsi="Times New Roman;Times;serif"/>
          <w:b/>
          <w:color w:val="000000"/>
          <w:sz w:val="20"/>
        </w:rPr>
        <w:t>PURSUANT TO</w:t>
      </w:r>
    </w:p>
    <w:p>
      <w:pPr>
        <w:pStyle w:val="TextBody"/>
        <w:bidi w:val="0"/>
        <w:spacing w:lineRule="auto" w:line="300" w:before="0" w:after="0"/>
        <w:jc w:val="center"/>
        <w:rPr>
          <w:rFonts w:ascii="Times New Roman;Times;serif" w:hAnsi="Times New Roman;Times;serif"/>
          <w:b/>
          <w:color w:val="000000"/>
          <w:sz w:val="20"/>
        </w:rPr>
      </w:pPr>
      <w:r>
        <w:rPr>
          <w:rFonts w:ascii="Times New Roman;Times;serif" w:hAnsi="Times New Roman;Times;serif"/>
          <w:b/>
          <w:color w:val="000000"/>
          <w:sz w:val="20"/>
        </w:rPr>
        <w:t>18 U.S.C. SECTION 1350,</w:t>
      </w:r>
    </w:p>
    <w:p>
      <w:pPr>
        <w:pStyle w:val="TextBody"/>
        <w:bidi w:val="0"/>
        <w:spacing w:lineRule="auto" w:line="300" w:before="0" w:after="0"/>
        <w:jc w:val="center"/>
        <w:rPr>
          <w:rFonts w:ascii="Times New Roman;Times;serif" w:hAnsi="Times New Roman;Times;serif"/>
          <w:b/>
          <w:color w:val="000000"/>
          <w:sz w:val="20"/>
        </w:rPr>
      </w:pPr>
      <w:r>
        <w:rPr>
          <w:rFonts w:ascii="Times New Roman;Times;serif" w:hAnsi="Times New Roman;Times;serif"/>
          <w:b/>
          <w:color w:val="000000"/>
          <w:sz w:val="20"/>
        </w:rPr>
        <w:t>AS ADOPTED PURSUANT TO</w:t>
      </w:r>
    </w:p>
    <w:p>
      <w:pPr>
        <w:pStyle w:val="TextBody"/>
        <w:bidi w:val="0"/>
        <w:spacing w:lineRule="auto" w:line="300" w:before="0" w:after="0"/>
        <w:jc w:val="center"/>
        <w:rPr>
          <w:rFonts w:ascii="Times New Roman;Times;serif" w:hAnsi="Times New Roman;Times;serif"/>
          <w:b/>
          <w:color w:val="000000"/>
          <w:sz w:val="20"/>
        </w:rPr>
      </w:pPr>
      <w:r>
        <w:rPr>
          <w:rFonts w:ascii="Times New Roman;Times;serif" w:hAnsi="Times New Roman;Times;serif"/>
          <w:b/>
          <w:color w:val="000000"/>
          <w:sz w:val="20"/>
        </w:rPr>
        <w:t>SECTION 906 OF THE SARBANES-OXLEY ACT OF 2002</w:t>
      </w:r>
    </w:p>
    <w:p>
      <w:pPr>
        <w:pStyle w:val="TextBody"/>
        <w:bidi w:val="0"/>
        <w:spacing w:lineRule="auto" w:line="300" w:before="0" w:after="0"/>
        <w:jc w:val="left"/>
        <w:rPr/>
      </w:pPr>
      <w:r>
        <w:rPr/>
      </w:r>
    </w:p>
    <w:p>
      <w:pPr>
        <w:pStyle w:val="TextBody"/>
        <w:bidi w:val="0"/>
        <w:spacing w:lineRule="auto" w:line="300" w:before="0" w:after="0"/>
        <w:jc w:val="both"/>
        <w:rPr>
          <w:rFonts w:ascii="Times New Roman;Times;serif" w:hAnsi="Times New Roman;Times;serif"/>
          <w:color w:val="000000"/>
          <w:sz w:val="20"/>
        </w:rPr>
      </w:pPr>
      <w:r>
        <w:rPr>
          <w:rFonts w:ascii="Times New Roman;Times;serif" w:hAnsi="Times New Roman;Times;serif"/>
          <w:color w:val="000000"/>
          <w:sz w:val="20"/>
        </w:rPr>
        <w:t>I, Maoz Sigron, certify, pursuant to 18 U.S.C. Section 1350, as adopted pursuant to Section 906 of the Sarbanes-Oxley Act of 2002, that the Quarterly Report on Form 10-Q of SolarEdge Technologies, Inc. for the quarterly period ended June 30, 2026 fully complies with the requirements of Section 13(a) or 15(d) of the Securities Exchange Act of 1934, as amended, and that the information contained in such Quarterly Report on Form 10-Q fairly presents, in all material respects, the financial condition and results of operations of SolarEdge Technologies, Inc.</w:t>
      </w:r>
    </w:p>
    <w:p>
      <w:pPr>
        <w:pStyle w:val="TextBody"/>
        <w:bidi w:val="0"/>
        <w:spacing w:lineRule="auto" w:line="300" w:before="0" w:after="0"/>
        <w:jc w:val="left"/>
        <w:rPr/>
      </w:pPr>
      <w:r>
        <w:rPr/>
      </w:r>
    </w:p>
    <w:p>
      <w:pPr>
        <w:pStyle w:val="TextBody"/>
        <w:bidi w:val="0"/>
        <w:spacing w:lineRule="auto" w:line="300" w:before="0" w:after="0"/>
        <w:jc w:val="left"/>
        <w:rPr>
          <w:rFonts w:ascii="Times New Roman;Times;serif" w:hAnsi="Times New Roman;Times;serif"/>
          <w:color w:val="000000"/>
          <w:sz w:val="20"/>
        </w:rPr>
      </w:pPr>
      <w:r>
        <w:rPr>
          <w:rFonts w:ascii="Times New Roman;Times;serif" w:hAnsi="Times New Roman;Times;serif"/>
          <w:color w:val="000000"/>
          <w:sz w:val="20"/>
        </w:rPr>
        <w:t>Date: August 5, 2026</w:t>
      </w:r>
    </w:p>
    <w:p>
      <w:pPr>
        <w:pStyle w:val="TextBody"/>
        <w:bidi w:val="0"/>
        <w:spacing w:lineRule="auto" w:line="300" w:before="0" w:after="0"/>
        <w:jc w:val="left"/>
        <w:rPr/>
      </w:pPr>
      <w:r>
        <w:rPr/>
      </w:r>
    </w:p>
    <w:p>
      <w:pPr>
        <w:pStyle w:val="TextBody"/>
        <w:bidi w:val="0"/>
        <w:spacing w:lineRule="auto" w:line="300" w:before="0" w:after="0"/>
        <w:jc w:val="both"/>
        <w:rPr>
          <w:rFonts w:ascii="Times New Roman;Times;serif" w:hAnsi="Times New Roman;Times;serif"/>
          <w:color w:val="000000"/>
          <w:sz w:val="20"/>
          <w:u w:val="single"/>
        </w:rPr>
      </w:pPr>
      <w:r>
        <w:rPr>
          <w:rFonts w:ascii="Times New Roman;Times;serif" w:hAnsi="Times New Roman;Times;serif"/>
          <w:color w:val="000000"/>
          <w:sz w:val="20"/>
          <w:u w:val="single"/>
        </w:rPr>
        <w:t>/s/ Maoz Sigron</w:t>
      </w:r>
    </w:p>
    <w:p>
      <w:pPr>
        <w:pStyle w:val="TextBody"/>
        <w:bidi w:val="0"/>
        <w:spacing w:lineRule="auto" w:line="300" w:before="0" w:after="0"/>
        <w:jc w:val="both"/>
        <w:rPr>
          <w:rFonts w:ascii="Times New Roman;Times;serif" w:hAnsi="Times New Roman;Times;serif"/>
          <w:color w:val="000000"/>
          <w:sz w:val="20"/>
        </w:rPr>
      </w:pPr>
      <w:r>
        <w:rPr>
          <w:rFonts w:ascii="Times New Roman;Times;serif" w:hAnsi="Times New Roman;Times;serif"/>
          <w:color w:val="000000"/>
          <w:sz w:val="20"/>
        </w:rPr>
        <w:t>Maoz Sigron</w:t>
      </w:r>
    </w:p>
    <w:p>
      <w:pPr>
        <w:pStyle w:val="TextBody"/>
        <w:bidi w:val="0"/>
        <w:spacing w:lineRule="auto" w:line="300" w:before="0" w:after="0"/>
        <w:jc w:val="both"/>
        <w:rPr>
          <w:rFonts w:ascii="Times New Roman;Times;serif" w:hAnsi="Times New Roman;Times;serif"/>
          <w:color w:val="000000"/>
          <w:sz w:val="20"/>
        </w:rPr>
      </w:pPr>
      <w:r>
        <w:rPr>
          <w:rFonts w:ascii="Times New Roman;Times;serif" w:hAnsi="Times New Roman;Times;serif"/>
          <w:color w:val="000000"/>
          <w:sz w:val="20"/>
        </w:rPr>
        <w:t>Chief Financial Officer</w:t>
      </w:r>
    </w:p>
    <w:p>
      <w:pPr>
        <w:pStyle w:val="TextBody"/>
        <w:bidi w:val="0"/>
        <w:spacing w:lineRule="auto" w:line="300" w:before="0" w:after="0"/>
        <w:jc w:val="both"/>
        <w:rPr>
          <w:rFonts w:ascii="Times New Roman;Times;serif" w:hAnsi="Times New Roman;Times;serif"/>
          <w:color w:val="000000"/>
          <w:sz w:val="20"/>
        </w:rPr>
      </w:pPr>
      <w:r>
        <w:rPr>
          <w:rFonts w:ascii="Times New Roman;Times;serif" w:hAnsi="Times New Roman;Times;serif"/>
          <w:color w:val="000000"/>
          <w:sz w:val="20"/>
        </w:rPr>
        <w:t>(Principal Financial Officer)</w:t>
      </w:r>
    </w:p>
    <w:p>
      <w:pPr>
        <w:pStyle w:val="TextBody"/>
        <w:bidi w:val="0"/>
        <w:spacing w:lineRule="auto" w:line="300" w:before="0" w:after="0"/>
        <w:jc w:val="left"/>
        <w:rPr/>
      </w:pPr>
      <w:r>
        <w:rPr/>
      </w:r>
    </w:p>
    <w:p>
      <w:pPr>
        <w:pStyle w:val="HorizontalLine"/>
        <w:bidi w:val="0"/>
        <w:spacing w:lineRule="auto" w:line="300"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StrongEmphasis">
    <w:name w:val="Strong Emphasis"/>
    <w:qFormat/>
    <w:rPr>
      <w:b/>
      <w:bCs/>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13</Pages>
  <Words>38539</Words>
  <Characters>208691</Characters>
  <CharactersWithSpaces>248877</CharactersWithSpaces>
  <Paragraphs>8559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