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22"/>
          <w:szCs w:val="22"/>
          <w:b w:val="1"/>
          <w:bCs w:val="1"/>
          <w:color w:val="auto"/>
        </w:rPr>
        <mc:AlternateContent>
          <mc:Choice Requires="wps">
            <w:drawing>
              <wp:anchor simplePos="0" relativeHeight="251657728" behindDoc="1" locked="0" layoutInCell="0" allowOverlap="1">
                <wp:simplePos x="0" y="0"/>
                <wp:positionH relativeFrom="page">
                  <wp:posOffset>518160</wp:posOffset>
                </wp:positionH>
                <wp:positionV relativeFrom="page">
                  <wp:posOffset>533400</wp:posOffset>
                </wp:positionV>
                <wp:extent cx="653224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3048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42pt" to="555.15pt,42pt" o:allowincell="f" strokecolor="#000000" strokeweight="2.4pt">
                <w10:wrap anchorx="page" anchory="page"/>
              </v:line>
            </w:pict>
          </mc:Fallback>
        </mc:AlternateContent>
        <mc:AlternateContent>
          <mc:Choice Requires="wps">
            <w:drawing>
              <wp:anchor simplePos="0" relativeHeight="251657728" behindDoc="1" locked="0" layoutInCell="0" allowOverlap="1">
                <wp:simplePos x="0" y="0"/>
                <wp:positionH relativeFrom="page">
                  <wp:posOffset>518160</wp:posOffset>
                </wp:positionH>
                <wp:positionV relativeFrom="page">
                  <wp:posOffset>626745</wp:posOffset>
                </wp:positionV>
                <wp:extent cx="653224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457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49.35pt" to="555.15pt,49.35pt" o:allowincell="f" strokecolor="#000000" strokeweight="0.3599pt">
                <w10:wrap anchorx="page" anchory="page"/>
              </v:line>
            </w:pict>
          </mc:Fallback>
        </mc:AlternateContent>
        <w:t>UNITED STATES</w:t>
      </w:r>
    </w:p>
    <w:p>
      <w:pPr>
        <w:spacing w:after="0" w:line="3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3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04" w:lineRule="exact"/>
        <w:rPr>
          <w:sz w:val="24"/>
          <w:szCs w:val="24"/>
          <w:color w:val="auto"/>
        </w:rPr>
      </w:pPr>
    </w:p>
    <w:p>
      <w:pPr>
        <w:ind w:left="3624" w:right="1400" w:hanging="3624"/>
        <w:spacing w:after="0" w:line="493" w:lineRule="auto"/>
        <w:tabs>
          <w:tab w:leader="none" w:pos="1026" w:val="left"/>
        </w:tabs>
        <w:numPr>
          <w:ilvl w:val="0"/>
          <w:numId w:val="1"/>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1044" w:hanging="1044"/>
        <w:spacing w:after="0"/>
        <w:tabs>
          <w:tab w:leader="none" w:pos="1044" w:val="left"/>
        </w:tabs>
        <w:numPr>
          <w:ilvl w:val="0"/>
          <w:numId w:val="2"/>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__________</w:t>
      </w:r>
    </w:p>
    <w:p>
      <w:pPr>
        <w:spacing w:after="0" w:line="2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Commission File Number: 001-36894</w:t>
      </w:r>
    </w:p>
    <w:p>
      <w:pPr>
        <w:spacing w:after="0" w:line="25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6"/>
          <w:szCs w:val="26"/>
          <w:b w:val="1"/>
          <w:bCs w:val="1"/>
          <w:color w:val="auto"/>
        </w:rPr>
        <w:t>SOLAREDGE TECHNOLOGIES, INC.</w:t>
      </w:r>
    </w:p>
    <w:p>
      <w:pPr>
        <w:spacing w:after="0" w:line="3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8" w:lineRule="exact"/>
        <w:rPr>
          <w:sz w:val="24"/>
          <w:szCs w:val="24"/>
          <w:color w:val="auto"/>
        </w:rPr>
      </w:pPr>
    </w:p>
    <w:tbl>
      <w:tblPr>
        <w:tblLayout w:type="fixed"/>
        <w:tblInd w:w="224" w:type="dxa"/>
        <w:tblCellMar>
          <w:top w:w="0" w:type="dxa"/>
          <w:left w:w="0" w:type="dxa"/>
          <w:bottom w:w="0" w:type="dxa"/>
          <w:right w:w="0" w:type="dxa"/>
        </w:tblCellMar>
      </w:tblPr>
      <w:tr>
        <w:trPr>
          <w:trHeight w:val="200"/>
        </w:trPr>
        <w:tc>
          <w:tcPr>
            <w:tcW w:w="3980" w:type="dxa"/>
            <w:vAlign w:val="bottom"/>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80" w:type="dxa"/>
            <w:vAlign w:val="bottom"/>
          </w:tcPr>
          <w:p>
            <w:pPr>
              <w:spacing w:after="0"/>
              <w:rPr>
                <w:sz w:val="17"/>
                <w:szCs w:val="17"/>
                <w:color w:val="auto"/>
              </w:rPr>
            </w:pPr>
          </w:p>
        </w:tc>
        <w:tc>
          <w:tcPr>
            <w:tcW w:w="3080" w:type="dxa"/>
            <w:vAlign w:val="bottom"/>
          </w:tcPr>
          <w:p>
            <w:pPr>
              <w:jc w:val="right"/>
              <w:ind w:right="1780"/>
              <w:spacing w:after="0"/>
              <w:rPr>
                <w:sz w:val="20"/>
                <w:szCs w:val="20"/>
                <w:color w:val="auto"/>
              </w:rPr>
            </w:pPr>
            <w:r>
              <w:rPr>
                <w:rFonts w:ascii="Times New Roman" w:cs="Times New Roman" w:eastAsia="Times New Roman" w:hAnsi="Times New Roman"/>
                <w:sz w:val="16"/>
                <w:szCs w:val="16"/>
                <w:b w:val="1"/>
                <w:bCs w:val="1"/>
                <w:color w:val="auto"/>
              </w:rPr>
              <w:t>20-5338862</w:t>
            </w:r>
          </w:p>
        </w:tc>
      </w:tr>
      <w:tr>
        <w:trPr>
          <w:trHeight w:val="199"/>
        </w:trPr>
        <w:tc>
          <w:tcPr>
            <w:tcW w:w="3980" w:type="dxa"/>
            <w:vAlign w:val="bottom"/>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780" w:type="dxa"/>
            <w:vAlign w:val="bottom"/>
          </w:tcPr>
          <w:p>
            <w:pPr>
              <w:spacing w:after="0"/>
              <w:rPr>
                <w:sz w:val="17"/>
                <w:szCs w:val="17"/>
                <w:color w:val="auto"/>
              </w:rPr>
            </w:pPr>
          </w:p>
        </w:tc>
        <w:tc>
          <w:tcPr>
            <w:tcW w:w="3080" w:type="dxa"/>
            <w:vAlign w:val="bottom"/>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20"/>
        </w:trPr>
        <w:tc>
          <w:tcPr>
            <w:tcW w:w="3980" w:type="dxa"/>
            <w:vAlign w:val="bottom"/>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780" w:type="dxa"/>
            <w:vAlign w:val="bottom"/>
          </w:tcPr>
          <w:p>
            <w:pPr>
              <w:spacing w:after="0"/>
              <w:rPr>
                <w:sz w:val="19"/>
                <w:szCs w:val="19"/>
                <w:color w:val="auto"/>
              </w:rPr>
            </w:pPr>
          </w:p>
        </w:tc>
        <w:tc>
          <w:tcPr>
            <w:tcW w:w="3080" w:type="dxa"/>
            <w:vAlign w:val="bottom"/>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80"/>
        </w:trPr>
        <w:tc>
          <w:tcPr>
            <w:tcW w:w="3980" w:type="dxa"/>
            <w:vAlign w:val="bottom"/>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1 HaMada Street</w:t>
            </w:r>
          </w:p>
        </w:tc>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00"/>
        </w:trPr>
        <w:tc>
          <w:tcPr>
            <w:tcW w:w="3980" w:type="dxa"/>
            <w:vAlign w:val="bottom"/>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9"/>
              </w:rPr>
              <w:t>Herziliya Pituach, Israel</w:t>
            </w:r>
          </w:p>
        </w:tc>
        <w:tc>
          <w:tcPr>
            <w:tcW w:w="2780" w:type="dxa"/>
            <w:vAlign w:val="bottom"/>
          </w:tcPr>
          <w:p>
            <w:pPr>
              <w:spacing w:after="0"/>
              <w:rPr>
                <w:sz w:val="17"/>
                <w:szCs w:val="17"/>
                <w:color w:val="auto"/>
              </w:rPr>
            </w:pPr>
          </w:p>
        </w:tc>
        <w:tc>
          <w:tcPr>
            <w:tcW w:w="3080" w:type="dxa"/>
            <w:vAlign w:val="bottom"/>
          </w:tcPr>
          <w:p>
            <w:pPr>
              <w:jc w:val="right"/>
              <w:ind w:right="1880"/>
              <w:spacing w:after="0"/>
              <w:rPr>
                <w:sz w:val="20"/>
                <w:szCs w:val="20"/>
                <w:color w:val="auto"/>
              </w:rPr>
            </w:pPr>
            <w:r>
              <w:rPr>
                <w:rFonts w:ascii="Times New Roman" w:cs="Times New Roman" w:eastAsia="Times New Roman" w:hAnsi="Times New Roman"/>
                <w:sz w:val="16"/>
                <w:szCs w:val="16"/>
                <w:b w:val="1"/>
                <w:bCs w:val="1"/>
                <w:color w:val="auto"/>
              </w:rPr>
              <w:t>4673335</w:t>
            </w:r>
          </w:p>
        </w:tc>
      </w:tr>
      <w:tr>
        <w:trPr>
          <w:trHeight w:val="220"/>
        </w:trPr>
        <w:tc>
          <w:tcPr>
            <w:tcW w:w="3980" w:type="dxa"/>
            <w:vAlign w:val="bottom"/>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80" w:type="dxa"/>
            <w:vAlign w:val="bottom"/>
          </w:tcPr>
          <w:p>
            <w:pPr>
              <w:spacing w:after="0"/>
              <w:rPr>
                <w:sz w:val="19"/>
                <w:szCs w:val="19"/>
                <w:color w:val="auto"/>
              </w:rPr>
            </w:pPr>
          </w:p>
        </w:tc>
        <w:tc>
          <w:tcPr>
            <w:tcW w:w="3080" w:type="dxa"/>
            <w:vAlign w:val="bottom"/>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80"/>
        </w:trPr>
        <w:tc>
          <w:tcPr>
            <w:tcW w:w="3980" w:type="dxa"/>
            <w:vAlign w:val="bottom"/>
          </w:tcPr>
          <w:p>
            <w:pPr>
              <w:spacing w:after="0"/>
              <w:rPr>
                <w:sz w:val="24"/>
                <w:szCs w:val="24"/>
                <w:color w:val="auto"/>
              </w:rPr>
            </w:pPr>
          </w:p>
        </w:tc>
        <w:tc>
          <w:tcPr>
            <w:tcW w:w="2780" w:type="dxa"/>
            <w:vAlign w:val="bottom"/>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972 (9) 957-6620</w:t>
            </w:r>
          </w:p>
        </w:tc>
        <w:tc>
          <w:tcPr>
            <w:tcW w:w="3080" w:type="dxa"/>
            <w:vAlign w:val="bottom"/>
          </w:tcPr>
          <w:p>
            <w:pPr>
              <w:spacing w:after="0"/>
              <w:rPr>
                <w:sz w:val="24"/>
                <w:szCs w:val="24"/>
                <w:color w:val="auto"/>
              </w:rPr>
            </w:pPr>
          </w:p>
        </w:tc>
      </w:tr>
      <w:tr>
        <w:trPr>
          <w:trHeight w:val="200"/>
        </w:trPr>
        <w:tc>
          <w:tcPr>
            <w:tcW w:w="6760" w:type="dxa"/>
            <w:vAlign w:val="bottom"/>
            <w:gridSpan w:val="2"/>
          </w:tcPr>
          <w:p>
            <w:pPr>
              <w:jc w:val="center"/>
              <w:ind w:left="300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080" w:type="dxa"/>
            <w:vAlign w:val="bottom"/>
          </w:tcPr>
          <w:p>
            <w:pPr>
              <w:spacing w:after="0"/>
              <w:rPr>
                <w:sz w:val="17"/>
                <w:szCs w:val="17"/>
                <w:color w:val="auto"/>
              </w:rPr>
            </w:pPr>
          </w:p>
        </w:tc>
      </w:tr>
      <w:tr>
        <w:trPr>
          <w:trHeight w:val="220"/>
        </w:trPr>
        <w:tc>
          <w:tcPr>
            <w:tcW w:w="9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80"/>
        </w:trPr>
        <w:tc>
          <w:tcPr>
            <w:tcW w:w="3980" w:type="dxa"/>
            <w:vAlign w:val="bottom"/>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780" w:type="dxa"/>
            <w:vAlign w:val="bottom"/>
          </w:tcPr>
          <w:p>
            <w:pPr>
              <w:jc w:val="center"/>
              <w:ind w:right="82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08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3980" w:type="dxa"/>
            <w:vAlign w:val="bottom"/>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Common stock, par value $0.0001 per share</w:t>
            </w:r>
          </w:p>
        </w:tc>
        <w:tc>
          <w:tcPr>
            <w:tcW w:w="2780" w:type="dxa"/>
            <w:vAlign w:val="bottom"/>
          </w:tcPr>
          <w:p>
            <w:pPr>
              <w:jc w:val="center"/>
              <w:ind w:right="820"/>
              <w:spacing w:after="0"/>
              <w:rPr>
                <w:sz w:val="20"/>
                <w:szCs w:val="20"/>
                <w:color w:val="auto"/>
              </w:rPr>
            </w:pPr>
            <w:r>
              <w:rPr>
                <w:rFonts w:ascii="Times New Roman" w:cs="Times New Roman" w:eastAsia="Times New Roman" w:hAnsi="Times New Roman"/>
                <w:sz w:val="16"/>
                <w:szCs w:val="16"/>
                <w:color w:val="auto"/>
                <w:w w:val="95"/>
              </w:rPr>
              <w:t>SEDG</w:t>
            </w:r>
          </w:p>
        </w:tc>
        <w:tc>
          <w:tcPr>
            <w:tcW w:w="308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Nasdaq (Global Select Market)</w:t>
            </w:r>
          </w:p>
        </w:tc>
      </w:tr>
    </w:tbl>
    <w:p>
      <w:pPr>
        <w:spacing w:after="0" w:line="18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7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44" w:lineRule="exact"/>
        <w:rPr>
          <w:sz w:val="24"/>
          <w:szCs w:val="24"/>
          <w:color w:val="auto"/>
        </w:rPr>
      </w:pPr>
    </w:p>
    <w:p>
      <w:pPr>
        <w:jc w:val="center"/>
        <w:ind w:right="-43"/>
        <w:spacing w:after="0"/>
        <w:tabs>
          <w:tab w:leader="none" w:pos="14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143" w:lineRule="exact"/>
        <w:rPr>
          <w:sz w:val="24"/>
          <w:szCs w:val="24"/>
          <w:color w:val="auto"/>
        </w:rPr>
      </w:pPr>
    </w:p>
    <w:p>
      <w:pPr>
        <w:jc w:val="center"/>
        <w:ind w:right="-43"/>
        <w:spacing w:after="0"/>
        <w:tabs>
          <w:tab w:leader="none" w:pos="14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61" w:lineRule="exact"/>
        <w:rPr>
          <w:sz w:val="24"/>
          <w:szCs w:val="24"/>
          <w:color w:val="auto"/>
        </w:rPr>
      </w:pPr>
    </w:p>
    <w:p>
      <w:pPr>
        <w:jc w:val="both"/>
        <w:ind w:left="4" w:right="260" w:firstLine="576"/>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5" w:lineRule="exact"/>
        <w:rPr>
          <w:sz w:val="24"/>
          <w:szCs w:val="24"/>
          <w:color w:val="auto"/>
        </w:rPr>
      </w:pPr>
    </w:p>
    <w:p>
      <w:pPr>
        <w:jc w:val="center"/>
        <w:ind w:right="-43"/>
        <w:spacing w:after="0"/>
        <w:tabs>
          <w:tab w:leader="none" w:pos="14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61" w:lineRule="exact"/>
        <w:rPr>
          <w:sz w:val="24"/>
          <w:szCs w:val="24"/>
          <w:color w:val="auto"/>
        </w:rPr>
      </w:pPr>
    </w:p>
    <w:p>
      <w:pPr>
        <w:ind w:left="4" w:firstLine="576"/>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0" w:lineRule="exact"/>
        <w:rPr>
          <w:sz w:val="24"/>
          <w:szCs w:val="24"/>
          <w:color w:val="auto"/>
        </w:rPr>
      </w:pPr>
    </w:p>
    <w:p>
      <w:pPr>
        <w:jc w:val="center"/>
        <w:ind w:right="-43"/>
        <w:spacing w:after="0"/>
        <w:tabs>
          <w:tab w:leader="none" w:pos="14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279400</wp:posOffset>
                </wp:positionV>
                <wp:extent cx="653224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514.35pt,22pt" o:allowincell="f" strokecolor="#000000" strokeweight="1.1999pt"/>
            </w:pict>
          </mc:Fallback>
        </mc:AlternateContent>
      </w:r>
    </w:p>
    <w:p>
      <w:pPr>
        <w:sectPr>
          <w:pgSz w:w="11900" w:h="16840" w:orient="portrait"/>
          <w:cols w:equalWidth="0" w:num="1">
            <w:col w:w="10244"/>
          </w:cols>
          <w:pgMar w:left="816" w:top="1235" w:right="844" w:bottom="1440" w:gutter="0" w:footer="0" w:header="0"/>
        </w:sectPr>
      </w:pPr>
    </w:p>
    <w:bookmarkStart w:id="1" w:name="page2"/>
    <w:bookmarkEnd w:id="1"/>
    <w:p>
      <w:pPr>
        <w:ind w:right="20" w:firstLine="576"/>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40" w:orient="portrait"/>
          <w:cols w:equalWidth="0" w:num="1">
            <w:col w:w="10240"/>
          </w:cols>
          <w:pgMar w:left="820" w:top="910" w:right="844" w:bottom="1440" w:gutter="0" w:footer="0" w:header="0"/>
        </w:sectPr>
      </w:pPr>
    </w:p>
    <w:p>
      <w:pPr>
        <w:spacing w:after="0" w:line="85" w:lineRule="exact"/>
        <w:rPr>
          <w:sz w:val="20"/>
          <w:szCs w:val="20"/>
          <w:color w:val="auto"/>
        </w:rPr>
      </w:pPr>
    </w:p>
    <w:p>
      <w:pPr>
        <w:ind w:left="420"/>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520"/>
        <w:spacing w:after="0"/>
        <w:rPr>
          <w:sz w:val="20"/>
          <w:szCs w:val="20"/>
          <w:color w:val="auto"/>
        </w:rPr>
      </w:pPr>
      <w:r>
        <w:rPr>
          <w:rFonts w:ascii="Segoe UI Symbol" w:cs="Segoe UI Symbol" w:eastAsia="Segoe UI Symbol" w:hAnsi="Segoe UI Symbol"/>
          <w:sz w:val="15"/>
          <w:szCs w:val="15"/>
          <w:color w:val="auto"/>
        </w:rPr>
        <w:t xml:space="preserve">☐ </w:t>
      </w:r>
      <w:r>
        <w:rPr>
          <w:rFonts w:ascii="Times New Roman" w:cs="Times New Roman" w:eastAsia="Times New Roman" w:hAnsi="Times New Roman"/>
          <w:sz w:val="15"/>
          <w:szCs w:val="15"/>
          <w:color w:val="auto"/>
        </w:rPr>
        <w:t>Accelerated filer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Segoe UI Symbol" w:cs="Segoe UI Symbol" w:eastAsia="Segoe UI Symbol" w:hAnsi="Segoe UI Symbol"/>
          <w:sz w:val="15"/>
          <w:szCs w:val="15"/>
          <w:color w:val="auto"/>
        </w:rPr>
        <w:t xml:space="preserve">☐ </w:t>
      </w:r>
      <w:r>
        <w:rPr>
          <w:rFonts w:ascii="Times New Roman" w:cs="Times New Roman" w:eastAsia="Times New Roman" w:hAnsi="Times New Roman"/>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160"/>
        <w:spacing w:after="0" w:line="370" w:lineRule="auto"/>
        <w:rPr>
          <w:sz w:val="20"/>
          <w:szCs w:val="20"/>
          <w:color w:val="auto"/>
        </w:rPr>
      </w:pPr>
      <w:r>
        <w:rPr>
          <w:rFonts w:ascii="Segoe UI Symbol" w:cs="Segoe UI Symbol" w:eastAsia="Segoe UI Symbol" w:hAnsi="Segoe UI Symbol"/>
          <w:sz w:val="16"/>
          <w:szCs w:val="16"/>
          <w:color w:val="auto"/>
        </w:rPr>
        <w:t xml:space="preserve">☐ </w:t>
      </w:r>
      <w:r>
        <w:rPr>
          <w:rFonts w:ascii="Times New Roman" w:cs="Times New Roman" w:eastAsia="Times New Roman" w:hAnsi="Times New Roman"/>
          <w:sz w:val="16"/>
          <w:szCs w:val="16"/>
          <w:color w:val="auto"/>
        </w:rPr>
        <w:t>Smaller reporting company</w:t>
      </w:r>
      <w:r>
        <w:rPr>
          <w:rFonts w:ascii="Segoe UI Symbol" w:cs="Segoe UI Symbol" w:eastAsia="Segoe UI Symbol" w:hAnsi="Segoe UI Symbol"/>
          <w:sz w:val="16"/>
          <w:szCs w:val="16"/>
          <w:color w:val="auto"/>
        </w:rPr>
        <w:t xml:space="preserve"> ☐ </w:t>
      </w:r>
      <w:r>
        <w:rPr>
          <w:rFonts w:ascii="Times New Roman" w:cs="Times New Roman" w:eastAsia="Times New Roman" w:hAnsi="Times New Roman"/>
          <w:sz w:val="16"/>
          <w:szCs w:val="16"/>
          <w:color w:val="auto"/>
        </w:rPr>
        <w:t>Emerging growth company</w:t>
      </w:r>
    </w:p>
    <w:p>
      <w:pPr>
        <w:spacing w:after="0" w:line="1" w:lineRule="exact"/>
        <w:rPr>
          <w:sz w:val="20"/>
          <w:szCs w:val="20"/>
          <w:color w:val="auto"/>
        </w:rPr>
      </w:pPr>
    </w:p>
    <w:p>
      <w:pPr>
        <w:sectPr>
          <w:pgSz w:w="11900" w:h="16840" w:orient="portrait"/>
          <w:cols w:equalWidth="0" w:num="5">
            <w:col w:w="560" w:space="120"/>
            <w:col w:w="1860" w:space="720"/>
            <w:col w:w="1760" w:space="720"/>
            <w:col w:w="1680" w:space="720"/>
            <w:col w:w="2100"/>
          </w:cols>
          <w:pgMar w:left="820" w:top="910" w:right="844" w:bottom="1440" w:gutter="0" w:footer="0" w:header="0"/>
          <w:type w:val="continuous"/>
        </w:sectPr>
      </w:pPr>
    </w:p>
    <w:p>
      <w:pPr>
        <w:jc w:val="both"/>
        <w:ind w:right="140" w:firstLine="576"/>
        <w:spacing w:after="0" w:line="3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30" w:lineRule="exact"/>
        <w:rPr>
          <w:sz w:val="20"/>
          <w:szCs w:val="20"/>
          <w:color w:val="auto"/>
        </w:rPr>
      </w:pPr>
    </w:p>
    <w:p>
      <w:pPr>
        <w:jc w:val="both"/>
        <w:ind w:right="120" w:firstLine="576"/>
        <w:spacing w:after="0" w:line="30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6"/>
          <w:szCs w:val="16"/>
          <w:color w:val="auto"/>
        </w:rPr>
        <w:t>☒</w:t>
      </w:r>
    </w:p>
    <w:p>
      <w:pPr>
        <w:spacing w:after="0" w:line="62" w:lineRule="exact"/>
        <w:rPr>
          <w:sz w:val="20"/>
          <w:szCs w:val="20"/>
          <w:color w:val="auto"/>
        </w:rPr>
      </w:pPr>
    </w:p>
    <w:p>
      <w:pPr>
        <w:ind w:right="200" w:firstLine="576"/>
        <w:spacing w:after="0" w:line="34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33" w:lineRule="exact"/>
        <w:rPr>
          <w:sz w:val="20"/>
          <w:szCs w:val="20"/>
          <w:color w:val="auto"/>
        </w:rPr>
      </w:pPr>
    </w:p>
    <w:p>
      <w:pPr>
        <w:ind w:right="360" w:firstLine="576"/>
        <w:spacing w:after="0" w:line="343"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143" w:lineRule="exact"/>
        <w:rPr>
          <w:sz w:val="20"/>
          <w:szCs w:val="20"/>
          <w:color w:val="auto"/>
        </w:rPr>
      </w:pPr>
    </w:p>
    <w:p>
      <w:pPr>
        <w:ind w:left="4660"/>
        <w:spacing w:after="0"/>
        <w:tabs>
          <w:tab w:leader="none" w:pos="522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59" w:lineRule="exact"/>
        <w:rPr>
          <w:sz w:val="20"/>
          <w:szCs w:val="20"/>
          <w:color w:val="auto"/>
        </w:rPr>
      </w:pPr>
    </w:p>
    <w:p>
      <w:pPr>
        <w:ind w:right="60" w:firstLine="576"/>
        <w:spacing w:after="0" w:line="273"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stock held by non-affiliates of the registrant on June 30, 2025, the last business day of the registrant’s most recently completed second fiscal quarter was approximately $1.04 billion (assuming that the registrant’s only affiliates are its officers, directors and non-institutional 10% stockholders) based upon the closing market price on that date of $20.40 per share as reported on the Nasdaq Global Select Market.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February 1, 2026, there were 60,366,291 shares of the registrant’s common stock, par value of $0.0001 per share, outstanding.</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8" w:lineRule="exact"/>
        <w:rPr>
          <w:sz w:val="20"/>
          <w:szCs w:val="20"/>
          <w:color w:val="auto"/>
        </w:rPr>
      </w:pPr>
    </w:p>
    <w:p>
      <w:pPr>
        <w:ind w:right="140" w:firstLine="576"/>
        <w:spacing w:after="0" w:line="280" w:lineRule="auto"/>
        <w:rPr>
          <w:sz w:val="20"/>
          <w:szCs w:val="20"/>
          <w:color w:val="auto"/>
        </w:rPr>
      </w:pPr>
      <w:r>
        <w:rPr>
          <w:rFonts w:ascii="Times New Roman" w:cs="Times New Roman" w:eastAsia="Times New Roman" w:hAnsi="Times New Roman"/>
          <w:sz w:val="16"/>
          <w:szCs w:val="16"/>
          <w:color w:val="auto"/>
        </w:rPr>
        <w:t>The information required by Part III of this report, to the extent not set forth herein, is incorporated herein by reference from our definitive proxy statement relating to the Annual Meeting of Stockholders to be held in 2026, which definitive proxy statement shall be filed with the Securities and Exchange Commission within 120 days after the end of the annual period to which this report relates.</w:t>
      </w:r>
    </w:p>
    <w:p>
      <w:pPr>
        <w:spacing w:after="0" w:line="15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18" w:lineRule="exact"/>
        <w:rPr>
          <w:sz w:val="20"/>
          <w:szCs w:val="20"/>
          <w:color w:val="auto"/>
        </w:rPr>
      </w:pPr>
    </w:p>
    <w:p>
      <w:pPr>
        <w:ind w:firstLine="576"/>
        <w:spacing w:after="0" w:line="280" w:lineRule="auto"/>
        <w:rPr>
          <w:sz w:val="20"/>
          <w:szCs w:val="20"/>
          <w:color w:val="auto"/>
        </w:rPr>
      </w:pPr>
      <w:r>
        <w:rPr>
          <w:rFonts w:ascii="Times New Roman" w:cs="Times New Roman" w:eastAsia="Times New Roman" w:hAnsi="Times New Roman"/>
          <w:sz w:val="16"/>
          <w:szCs w:val="16"/>
          <w:color w:val="auto"/>
        </w:rPr>
        <w:t>SolarEdge Technologies, Inc. (“SolarEdge,” the “Company,” “we,” “us,” or “our”) is filing this Amendment No. 1 on Form 10-K/A (“Amendment”) to its Annual Report on Form 10-K for the year ended December 31, 2025, as filed with the Securities and Exchange Commission on February 25, 2026 (“Form 10-K”).</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only changes to our Form 10-K are at the end of this filing, after Item 15 “Exhibits and Financial Statement Schedules”.</w:t>
      </w:r>
    </w:p>
    <w:p>
      <w:pPr>
        <w:spacing w:after="0" w:line="216" w:lineRule="exact"/>
        <w:rPr>
          <w:sz w:val="20"/>
          <w:szCs w:val="20"/>
          <w:color w:val="auto"/>
        </w:rPr>
      </w:pPr>
    </w:p>
    <w:p>
      <w:pPr>
        <w:ind w:right="220" w:firstLine="576"/>
        <w:spacing w:after="0" w:line="280" w:lineRule="auto"/>
        <w:rPr>
          <w:sz w:val="20"/>
          <w:szCs w:val="20"/>
          <w:color w:val="auto"/>
        </w:rPr>
      </w:pPr>
      <w:r>
        <w:rPr>
          <w:rFonts w:ascii="Times New Roman" w:cs="Times New Roman" w:eastAsia="Times New Roman" w:hAnsi="Times New Roman"/>
          <w:sz w:val="16"/>
          <w:szCs w:val="16"/>
          <w:color w:val="auto"/>
        </w:rPr>
        <w:t>At the end of the filing, we have included the conformed signatures of our officers and directors, including a Power of Attorney, as such they were inadvertently omitted from our original 10-K filing. Pursuant to the rules of the SEC, currently dated certifications from our chief executive officer and chief financial officer, as required by Sections 302 and 906 of the Sarbanes-Oxley Act of 2002, are filed or furnished herewith, as applicable.</w:t>
      </w:r>
    </w:p>
    <w:p>
      <w:pPr>
        <w:spacing w:after="0" w:line="156" w:lineRule="exact"/>
        <w:rPr>
          <w:sz w:val="20"/>
          <w:szCs w:val="20"/>
          <w:color w:val="auto"/>
        </w:rPr>
      </w:pPr>
    </w:p>
    <w:p>
      <w:pPr>
        <w:ind w:right="20" w:firstLine="576"/>
        <w:spacing w:after="0" w:line="300" w:lineRule="auto"/>
        <w:rPr>
          <w:sz w:val="20"/>
          <w:szCs w:val="20"/>
          <w:color w:val="auto"/>
        </w:rPr>
      </w:pPr>
      <w:r>
        <w:rPr>
          <w:rFonts w:ascii="Times New Roman" w:cs="Times New Roman" w:eastAsia="Times New Roman" w:hAnsi="Times New Roman"/>
          <w:sz w:val="16"/>
          <w:szCs w:val="16"/>
          <w:color w:val="auto"/>
        </w:rPr>
        <w:t>This Amendment No. 1 does not reflect events occurring after the filing of the Form 10-K and does not update disclosures contained in the Form 10-K or modify or amend the Form 10-K except as specifically described in this explanatory note.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330835</wp:posOffset>
                </wp:positionV>
                <wp:extent cx="653224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6.05pt" to="514.15pt,26.05pt" o:allowincell="f" strokecolor="#000000" strokeweight="1.1999pt"/>
            </w:pict>
          </mc:Fallback>
        </mc:AlternateContent>
      </w:r>
    </w:p>
    <w:p>
      <w:pPr>
        <w:sectPr>
          <w:pgSz w:w="11900" w:h="16840" w:orient="portrait"/>
          <w:cols w:equalWidth="0" w:num="1">
            <w:col w:w="10240"/>
          </w:cols>
          <w:pgMar w:left="820" w:top="910" w:right="844"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60" w:type="dxa"/>
            <w:vAlign w:val="bottom"/>
            <w:gridSpan w:val="14"/>
          </w:tcPr>
          <w:p>
            <w:pPr>
              <w:ind w:left="160"/>
              <w:spacing w:after="0"/>
              <w:rPr>
                <w:sz w:val="20"/>
                <w:szCs w:val="20"/>
                <w:color w:val="auto"/>
              </w:rPr>
            </w:pPr>
            <w:r>
              <w:rPr>
                <w:rFonts w:ascii="Times New Roman" w:cs="Times New Roman" w:eastAsia="Times New Roman" w:hAnsi="Times New Roman"/>
                <w:sz w:val="16"/>
                <w:szCs w:val="16"/>
                <w:b w:val="1"/>
                <w:bCs w:val="1"/>
                <w:color w:val="auto"/>
              </w:rPr>
              <w:t>FISCAL YEAR FORM 10-K</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8740" w:type="dxa"/>
            <w:vAlign w:val="bottom"/>
            <w:gridSpan w:val="50"/>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1"/>
              </w:rPr>
              <w:t>PART I</w:t>
            </w:r>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6"/>
                <w:szCs w:val="16"/>
                <w:color w:val="0000EE"/>
                <w:w w:val="96"/>
              </w:rPr>
              <w:t>Item 1.</w:t>
            </w:r>
          </w:p>
        </w:tc>
        <w:tc>
          <w:tcPr>
            <w:tcW w:w="460" w:type="dxa"/>
            <w:vAlign w:val="bottom"/>
            <w:gridSpan w:val="3"/>
          </w:tcPr>
          <w:p>
            <w:pPr>
              <w:spacing w:after="0"/>
              <w:rPr>
                <w:sz w:val="15"/>
                <w:szCs w:val="15"/>
                <w:color w:val="auto"/>
              </w:rPr>
            </w:pPr>
          </w:p>
        </w:tc>
        <w:tc>
          <w:tcPr>
            <w:tcW w:w="580" w:type="dxa"/>
            <w:vAlign w:val="bottom"/>
            <w:tcBorders>
              <w:bottom w:val="single" w:sz="8" w:color="0000EE"/>
            </w:tcBorders>
            <w:gridSpan w:val="8"/>
          </w:tcPr>
          <w:p>
            <w:pPr>
              <w:spacing w:after="0" w:line="181" w:lineRule="exact"/>
              <w:rPr>
                <w:sz w:val="20"/>
                <w:szCs w:val="20"/>
                <w:color w:val="auto"/>
              </w:rPr>
            </w:pPr>
            <w:r>
              <w:rPr>
                <w:rFonts w:ascii="Times New Roman" w:cs="Times New Roman" w:eastAsia="Times New Roman" w:hAnsi="Times New Roman"/>
                <w:sz w:val="16"/>
                <w:szCs w:val="16"/>
                <w:color w:val="0000EE"/>
                <w:w w:val="98"/>
              </w:rPr>
              <w:t>Business</w:t>
            </w:r>
          </w:p>
        </w:tc>
        <w:tc>
          <w:tcPr>
            <w:tcW w:w="7240" w:type="dxa"/>
            <w:vAlign w:val="bottom"/>
            <w:gridSpan w:val="38"/>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9"/>
        </w:trPr>
        <w:tc>
          <w:tcPr>
            <w:tcW w:w="520" w:type="dxa"/>
            <w:vAlign w:val="bottom"/>
            <w:gridSpan w:val="3"/>
          </w:tcPr>
          <w:p>
            <w:pPr>
              <w:spacing w:after="0" w:line="179" w:lineRule="exact"/>
              <w:rPr>
                <w:sz w:val="20"/>
                <w:szCs w:val="20"/>
                <w:color w:val="auto"/>
              </w:rPr>
            </w:pPr>
            <w:r>
              <w:rPr>
                <w:rFonts w:ascii="Times New Roman" w:cs="Times New Roman" w:eastAsia="Times New Roman" w:hAnsi="Times New Roman"/>
                <w:sz w:val="16"/>
                <w:szCs w:val="16"/>
                <w:color w:val="0000EE"/>
                <w:w w:val="84"/>
              </w:rPr>
              <w:t>Item 1A.</w:t>
            </w:r>
          </w:p>
        </w:tc>
        <w:tc>
          <w:tcPr>
            <w:tcW w:w="400" w:type="dxa"/>
            <w:vAlign w:val="bottom"/>
          </w:tcPr>
          <w:p>
            <w:pPr>
              <w:spacing w:after="0"/>
              <w:rPr>
                <w:sz w:val="15"/>
                <w:szCs w:val="15"/>
                <w:color w:val="auto"/>
              </w:rPr>
            </w:pPr>
          </w:p>
        </w:tc>
        <w:tc>
          <w:tcPr>
            <w:tcW w:w="7820" w:type="dxa"/>
            <w:vAlign w:val="bottom"/>
            <w:gridSpan w:val="46"/>
          </w:tcPr>
          <w:p>
            <w:pPr>
              <w:spacing w:after="0" w:line="179" w:lineRule="exact"/>
              <w:rPr>
                <w:sz w:val="20"/>
                <w:szCs w:val="20"/>
                <w:color w:val="auto"/>
              </w:rPr>
            </w:pPr>
            <w:r>
              <w:rPr>
                <w:rFonts w:ascii="Times New Roman" w:cs="Times New Roman" w:eastAsia="Times New Roman" w:hAnsi="Times New Roman"/>
                <w:sz w:val="16"/>
                <w:szCs w:val="16"/>
                <w:color w:val="0000EE"/>
              </w:rPr>
              <w:t>Risk Factors</w:t>
            </w:r>
          </w:p>
        </w:tc>
        <w:tc>
          <w:tcPr>
            <w:tcW w:w="15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6"/>
                <w:szCs w:val="16"/>
                <w:color w:val="0000EE"/>
                <w:w w:val="85"/>
              </w:rPr>
              <w:t>Item 1B.</w:t>
            </w:r>
          </w:p>
        </w:tc>
        <w:tc>
          <w:tcPr>
            <w:tcW w:w="400" w:type="dxa"/>
            <w:vAlign w:val="bottom"/>
          </w:tcPr>
          <w:p>
            <w:pPr>
              <w:spacing w:after="0"/>
              <w:rPr>
                <w:sz w:val="15"/>
                <w:szCs w:val="15"/>
                <w:color w:val="auto"/>
              </w:rPr>
            </w:pPr>
          </w:p>
        </w:tc>
        <w:tc>
          <w:tcPr>
            <w:tcW w:w="1820" w:type="dxa"/>
            <w:vAlign w:val="bottom"/>
            <w:tcBorders>
              <w:bottom w:val="single" w:sz="8" w:color="0000EE"/>
            </w:tcBorders>
            <w:gridSpan w:val="20"/>
          </w:tcPr>
          <w:p>
            <w:pPr>
              <w:spacing w:after="0" w:line="181" w:lineRule="exact"/>
              <w:rPr>
                <w:sz w:val="20"/>
                <w:szCs w:val="20"/>
                <w:color w:val="auto"/>
              </w:rPr>
            </w:pPr>
            <w:r>
              <w:rPr>
                <w:rFonts w:ascii="Times New Roman" w:cs="Times New Roman" w:eastAsia="Times New Roman" w:hAnsi="Times New Roman"/>
                <w:sz w:val="16"/>
                <w:szCs w:val="16"/>
                <w:color w:val="0000EE"/>
                <w:w w:val="98"/>
              </w:rPr>
              <w:t>Unresolved Staff Comments</w:t>
            </w:r>
          </w:p>
        </w:tc>
        <w:tc>
          <w:tcPr>
            <w:tcW w:w="6000" w:type="dxa"/>
            <w:vAlign w:val="bottom"/>
            <w:gridSpan w:val="26"/>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5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EE"/>
                <w:w w:val="85"/>
              </w:rPr>
              <w:t>Item 1C.</w:t>
            </w:r>
          </w:p>
        </w:tc>
        <w:tc>
          <w:tcPr>
            <w:tcW w:w="400" w:type="dxa"/>
            <w:vAlign w:val="bottom"/>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Cybersecurity</w:t>
            </w: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line="20" w:lineRule="exact"/>
              <w:rPr>
                <w:sz w:val="1"/>
                <w:szCs w:val="1"/>
                <w:color w:val="auto"/>
              </w:rPr>
            </w:pPr>
          </w:p>
        </w:tc>
      </w:tr>
      <w:tr>
        <w:trPr>
          <w:trHeight w:val="179"/>
        </w:trPr>
        <w:tc>
          <w:tcPr>
            <w:tcW w:w="4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0000EE"/>
                <w:w w:val="96"/>
              </w:rPr>
              <w:t>Item 2.</w:t>
            </w:r>
          </w:p>
        </w:tc>
        <w:tc>
          <w:tcPr>
            <w:tcW w:w="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7820" w:type="dxa"/>
            <w:vAlign w:val="bottom"/>
            <w:gridSpan w:val="46"/>
          </w:tcPr>
          <w:p>
            <w:pPr>
              <w:spacing w:after="0" w:line="179" w:lineRule="exact"/>
              <w:rPr>
                <w:sz w:val="20"/>
                <w:szCs w:val="20"/>
                <w:color w:val="auto"/>
              </w:rPr>
            </w:pPr>
            <w:r>
              <w:rPr>
                <w:rFonts w:ascii="Times New Roman" w:cs="Times New Roman" w:eastAsia="Times New Roman" w:hAnsi="Times New Roman"/>
                <w:sz w:val="16"/>
                <w:szCs w:val="16"/>
                <w:color w:val="0000EE"/>
              </w:rPr>
              <w:t>Properties</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line="20" w:lineRule="exact"/>
              <w:rPr>
                <w:sz w:val="1"/>
                <w:szCs w:val="1"/>
                <w:color w:val="auto"/>
              </w:rPr>
            </w:pPr>
          </w:p>
        </w:tc>
      </w:tr>
      <w:tr>
        <w:trPr>
          <w:trHeight w:val="180"/>
        </w:trPr>
        <w:tc>
          <w:tcPr>
            <w:tcW w:w="4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EE"/>
                <w:w w:val="96"/>
              </w:rPr>
              <w:t>Item 3.</w:t>
            </w:r>
          </w:p>
        </w:tc>
        <w:tc>
          <w:tcPr>
            <w:tcW w:w="460" w:type="dxa"/>
            <w:vAlign w:val="bottom"/>
            <w:gridSpan w:val="3"/>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Legal Proceeding</w:t>
            </w:r>
            <w:r>
              <w:rPr>
                <w:rFonts w:ascii="Times New Roman" w:cs="Times New Roman" w:eastAsia="Times New Roman" w:hAnsi="Times New Roman"/>
                <w:sz w:val="16"/>
                <w:szCs w:val="16"/>
                <w:u w:val="single" w:color="auto"/>
                <w:color w:val="0000EE"/>
              </w:rPr>
              <w:t>s</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EE"/>
                <w:w w:val="96"/>
              </w:rPr>
              <w:t>Item 4.</w:t>
            </w:r>
          </w:p>
        </w:tc>
        <w:tc>
          <w:tcPr>
            <w:tcW w:w="460" w:type="dxa"/>
            <w:vAlign w:val="bottom"/>
            <w:gridSpan w:val="3"/>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Mine Safety Disclosures</w:t>
            </w: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gridSpan w:val="4"/>
          </w:tcPr>
          <w:p>
            <w:pPr>
              <w:spacing w:after="0" w:line="179" w:lineRule="exact"/>
              <w:rPr>
                <w:sz w:val="20"/>
                <w:szCs w:val="20"/>
                <w:color w:val="auto"/>
              </w:rPr>
            </w:pPr>
            <w:r>
              <w:rPr>
                <w:rFonts w:ascii="Times New Roman" w:cs="Times New Roman" w:eastAsia="Times New Roman" w:hAnsi="Times New Roman"/>
                <w:sz w:val="16"/>
                <w:szCs w:val="16"/>
                <w:color w:val="0000EE"/>
              </w:rPr>
              <w:t>PART II</w:t>
            </w:r>
          </w:p>
        </w:tc>
        <w:tc>
          <w:tcPr>
            <w:tcW w:w="7820" w:type="dxa"/>
            <w:vAlign w:val="bottom"/>
            <w:gridSpan w:val="46"/>
            <w:vMerge w:val="restart"/>
          </w:tcPr>
          <w:p>
            <w:pPr>
              <w:spacing w:after="0"/>
              <w:rPr>
                <w:sz w:val="20"/>
                <w:szCs w:val="20"/>
                <w:color w:val="auto"/>
              </w:rPr>
            </w:pPr>
            <w:r>
              <w:rPr>
                <w:rFonts w:ascii="Times New Roman" w:cs="Times New Roman" w:eastAsia="Times New Roman" w:hAnsi="Times New Roman"/>
                <w:sz w:val="16"/>
                <w:szCs w:val="16"/>
                <w:color w:val="0000EE"/>
              </w:rPr>
              <w:t>Market for Registrant’s Common Equity, Related Stockholder Matters and Issuer Purchases of Equity</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72"/>
        </w:trPr>
        <w:tc>
          <w:tcPr>
            <w:tcW w:w="520" w:type="dxa"/>
            <w:vAlign w:val="bottom"/>
            <w:tcBorders>
              <w:top w:val="single" w:sz="8" w:color="0000EE"/>
            </w:tcBorders>
            <w:gridSpan w:val="3"/>
          </w:tcPr>
          <w:p>
            <w:pPr>
              <w:spacing w:after="0" w:line="172" w:lineRule="exact"/>
              <w:rPr>
                <w:sz w:val="20"/>
                <w:szCs w:val="20"/>
                <w:color w:val="auto"/>
              </w:rPr>
            </w:pPr>
            <w:r>
              <w:rPr>
                <w:rFonts w:ascii="Times New Roman" w:cs="Times New Roman" w:eastAsia="Times New Roman" w:hAnsi="Times New Roman"/>
                <w:sz w:val="16"/>
                <w:szCs w:val="16"/>
                <w:color w:val="0000EE"/>
              </w:rPr>
              <w:t>Item 5.</w:t>
            </w:r>
          </w:p>
        </w:tc>
        <w:tc>
          <w:tcPr>
            <w:tcW w:w="400" w:type="dxa"/>
            <w:vAlign w:val="bottom"/>
          </w:tcPr>
          <w:p>
            <w:pPr>
              <w:spacing w:after="0"/>
              <w:rPr>
                <w:sz w:val="14"/>
                <w:szCs w:val="14"/>
                <w:color w:val="auto"/>
              </w:rPr>
            </w:pPr>
          </w:p>
        </w:tc>
        <w:tc>
          <w:tcPr>
            <w:tcW w:w="7820" w:type="dxa"/>
            <w:vAlign w:val="bottom"/>
            <w:gridSpan w:val="46"/>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top w:val="single" w:sz="8" w:color="0000EE"/>
              <w:bottom w:val="single" w:sz="8" w:color="0000EE"/>
            </w:tcBorders>
          </w:tcPr>
          <w:p>
            <w:pPr>
              <w:spacing w:after="0" w:line="165" w:lineRule="exact"/>
              <w:rPr>
                <w:sz w:val="20"/>
                <w:szCs w:val="20"/>
                <w:color w:val="auto"/>
              </w:rPr>
            </w:pPr>
            <w:r>
              <w:rPr>
                <w:rFonts w:ascii="Times New Roman" w:cs="Times New Roman" w:eastAsia="Times New Roman" w:hAnsi="Times New Roman"/>
                <w:sz w:val="16"/>
                <w:szCs w:val="16"/>
                <w:color w:val="0000EE"/>
                <w:w w:val="96"/>
              </w:rPr>
              <w:t>Item 6.</w:t>
            </w:r>
          </w:p>
        </w:tc>
        <w:tc>
          <w:tcPr>
            <w:tcW w:w="6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top w:val="single" w:sz="8" w:color="0000EE"/>
              <w:bottom w:val="single" w:sz="8" w:color="0000EE"/>
            </w:tcBorders>
            <w:gridSpan w:val="10"/>
          </w:tcPr>
          <w:p>
            <w:pPr>
              <w:spacing w:after="0" w:line="165" w:lineRule="exact"/>
              <w:rPr>
                <w:sz w:val="20"/>
                <w:szCs w:val="20"/>
                <w:color w:val="auto"/>
              </w:rPr>
            </w:pPr>
            <w:r>
              <w:rPr>
                <w:rFonts w:ascii="Times New Roman" w:cs="Times New Roman" w:eastAsia="Times New Roman" w:hAnsi="Times New Roman"/>
                <w:sz w:val="16"/>
                <w:szCs w:val="16"/>
                <w:color w:val="0000EE"/>
              </w:rPr>
              <w:t>Reserved</w:t>
            </w:r>
          </w:p>
        </w:tc>
        <w:tc>
          <w:tcPr>
            <w:tcW w:w="240" w:type="dxa"/>
            <w:vAlign w:val="bottom"/>
            <w:tcBorders>
              <w:top w:val="single" w:sz="8" w:color="0000EE"/>
            </w:tcBorders>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gridSpan w:val="2"/>
          </w:tcPr>
          <w:p>
            <w:pPr>
              <w:spacing w:after="0"/>
              <w:rPr>
                <w:sz w:val="14"/>
                <w:szCs w:val="14"/>
                <w:color w:val="auto"/>
              </w:rPr>
            </w:pPr>
          </w:p>
        </w:tc>
        <w:tc>
          <w:tcPr>
            <w:tcW w:w="340" w:type="dxa"/>
            <w:vAlign w:val="bottom"/>
            <w:tcBorders>
              <w:top w:val="single" w:sz="8" w:color="0000EE"/>
            </w:tcBorders>
            <w:gridSpan w:val="2"/>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72"/>
        </w:trPr>
        <w:tc>
          <w:tcPr>
            <w:tcW w:w="4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0000EE"/>
                <w:w w:val="96"/>
              </w:rPr>
              <w:t>Item 7.</w:t>
            </w:r>
          </w:p>
        </w:tc>
        <w:tc>
          <w:tcPr>
            <w:tcW w:w="6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7820" w:type="dxa"/>
            <w:vAlign w:val="bottom"/>
            <w:gridSpan w:val="46"/>
          </w:tcPr>
          <w:p>
            <w:pPr>
              <w:spacing w:after="0" w:line="172"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line="20" w:lineRule="exact"/>
              <w:rPr>
                <w:sz w:val="1"/>
                <w:szCs w:val="1"/>
                <w:color w:val="auto"/>
              </w:rPr>
            </w:pPr>
          </w:p>
        </w:tc>
      </w:tr>
      <w:tr>
        <w:trPr>
          <w:trHeight w:val="192"/>
        </w:trPr>
        <w:tc>
          <w:tcPr>
            <w:tcW w:w="460" w:type="dxa"/>
            <w:vAlign w:val="bottom"/>
            <w:tcBorders>
              <w:bottom w:val="single" w:sz="8" w:color="0000EE"/>
            </w:tcBorders>
          </w:tcPr>
          <w:p>
            <w:pPr>
              <w:spacing w:after="0" w:line="172" w:lineRule="exact"/>
              <w:rPr>
                <w:sz w:val="20"/>
                <w:szCs w:val="20"/>
                <w:color w:val="auto"/>
              </w:rPr>
            </w:pPr>
            <w:r>
              <w:rPr>
                <w:rFonts w:ascii="Times New Roman" w:cs="Times New Roman" w:eastAsia="Times New Roman" w:hAnsi="Times New Roman"/>
                <w:sz w:val="16"/>
                <w:szCs w:val="16"/>
                <w:color w:val="0000EE"/>
                <w:w w:val="96"/>
              </w:rPr>
              <w:t>Item 8.</w:t>
            </w:r>
          </w:p>
        </w:tc>
        <w:tc>
          <w:tcPr>
            <w:tcW w:w="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7820" w:type="dxa"/>
            <w:vAlign w:val="bottom"/>
            <w:gridSpan w:val="46"/>
          </w:tcPr>
          <w:p>
            <w:pPr>
              <w:spacing w:after="0" w:line="172" w:lineRule="exact"/>
              <w:rPr>
                <w:sz w:val="20"/>
                <w:szCs w:val="20"/>
                <w:color w:val="auto"/>
              </w:rPr>
            </w:pPr>
            <w:r>
              <w:rPr>
                <w:rFonts w:ascii="Times New Roman" w:cs="Times New Roman" w:eastAsia="Times New Roman" w:hAnsi="Times New Roman"/>
                <w:sz w:val="16"/>
                <w:szCs w:val="16"/>
                <w:color w:val="0000EE"/>
              </w:rPr>
              <w:t>Financial Statements and Su</w:t>
            </w:r>
            <w:r>
              <w:rPr>
                <w:rFonts w:ascii="Times New Roman" w:cs="Times New Roman" w:eastAsia="Times New Roman" w:hAnsi="Times New Roman"/>
                <w:sz w:val="16"/>
                <w:szCs w:val="16"/>
                <w:u w:val="single" w:color="auto"/>
                <w:color w:val="0000EE"/>
              </w:rPr>
              <w:t>pplementar</w:t>
            </w:r>
            <w:r>
              <w:rPr>
                <w:rFonts w:ascii="Times New Roman" w:cs="Times New Roman" w:eastAsia="Times New Roman" w:hAnsi="Times New Roman"/>
                <w:sz w:val="16"/>
                <w:szCs w:val="16"/>
                <w:color w:val="0000EE"/>
              </w:rPr>
              <w:t>y Data</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2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rPr>
              <w:t>PART III</w:t>
            </w: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0"/>
        </w:trPr>
        <w:tc>
          <w:tcPr>
            <w:tcW w:w="520" w:type="dxa"/>
            <w:vAlign w:val="bottom"/>
            <w:tcBorders>
              <w:top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6"/>
                <w:szCs w:val="16"/>
                <w:color w:val="0000EE"/>
                <w:w w:val="89"/>
              </w:rPr>
              <w:t>Item 10.</w:t>
            </w:r>
          </w:p>
        </w:tc>
        <w:tc>
          <w:tcPr>
            <w:tcW w:w="400" w:type="dxa"/>
            <w:vAlign w:val="bottom"/>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line="20" w:lineRule="exact"/>
              <w:rPr>
                <w:sz w:val="1"/>
                <w:szCs w:val="1"/>
                <w:color w:val="auto"/>
              </w:rPr>
            </w:pPr>
          </w:p>
        </w:tc>
      </w:tr>
      <w:tr>
        <w:trPr>
          <w:trHeight w:val="179"/>
        </w:trPr>
        <w:tc>
          <w:tcPr>
            <w:tcW w:w="520" w:type="dxa"/>
            <w:vAlign w:val="bottom"/>
            <w:gridSpan w:val="3"/>
          </w:tcPr>
          <w:p>
            <w:pPr>
              <w:spacing w:after="0" w:line="179" w:lineRule="exact"/>
              <w:rPr>
                <w:sz w:val="20"/>
                <w:szCs w:val="20"/>
                <w:color w:val="auto"/>
              </w:rPr>
            </w:pPr>
            <w:r>
              <w:rPr>
                <w:rFonts w:ascii="Times New Roman" w:cs="Times New Roman" w:eastAsia="Times New Roman" w:hAnsi="Times New Roman"/>
                <w:sz w:val="16"/>
                <w:szCs w:val="16"/>
                <w:color w:val="0000EE"/>
                <w:w w:val="89"/>
              </w:rPr>
              <w:t>Item 11.</w:t>
            </w:r>
          </w:p>
        </w:tc>
        <w:tc>
          <w:tcPr>
            <w:tcW w:w="400" w:type="dxa"/>
            <w:vAlign w:val="bottom"/>
          </w:tcPr>
          <w:p>
            <w:pPr>
              <w:spacing w:after="0"/>
              <w:rPr>
                <w:sz w:val="15"/>
                <w:szCs w:val="15"/>
                <w:color w:val="auto"/>
              </w:rPr>
            </w:pPr>
          </w:p>
        </w:tc>
        <w:tc>
          <w:tcPr>
            <w:tcW w:w="7820" w:type="dxa"/>
            <w:vAlign w:val="bottom"/>
            <w:gridSpan w:val="46"/>
          </w:tcPr>
          <w:p>
            <w:pPr>
              <w:spacing w:after="0" w:line="179" w:lineRule="exact"/>
              <w:rPr>
                <w:sz w:val="20"/>
                <w:szCs w:val="20"/>
                <w:color w:val="auto"/>
              </w:rPr>
            </w:pPr>
            <w:r>
              <w:rPr>
                <w:rFonts w:ascii="Times New Roman" w:cs="Times New Roman" w:eastAsia="Times New Roman" w:hAnsi="Times New Roman"/>
                <w:sz w:val="16"/>
                <w:szCs w:val="16"/>
                <w:color w:val="0000EE"/>
              </w:rPr>
              <w:t>Executive Compensation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line="20" w:lineRule="exact"/>
              <w:rPr>
                <w:sz w:val="1"/>
                <w:szCs w:val="1"/>
                <w:color w:val="auto"/>
              </w:rPr>
            </w:pPr>
          </w:p>
        </w:tc>
      </w:tr>
      <w:tr>
        <w:trPr>
          <w:trHeight w:val="180"/>
        </w:trPr>
        <w:tc>
          <w:tcPr>
            <w:tcW w:w="5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EE"/>
                <w:w w:val="89"/>
              </w:rPr>
              <w:t>Item 12.</w:t>
            </w:r>
          </w:p>
        </w:tc>
        <w:tc>
          <w:tcPr>
            <w:tcW w:w="400" w:type="dxa"/>
            <w:vAlign w:val="bottom"/>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tcBorders>
              <w:right w:val="single" w:sz="8" w:color="0000EE"/>
            </w:tcBorders>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line="20" w:lineRule="exact"/>
              <w:rPr>
                <w:sz w:val="1"/>
                <w:szCs w:val="1"/>
                <w:color w:val="auto"/>
              </w:rPr>
            </w:pPr>
          </w:p>
        </w:tc>
      </w:tr>
      <w:tr>
        <w:trPr>
          <w:trHeight w:val="180"/>
        </w:trPr>
        <w:tc>
          <w:tcPr>
            <w:tcW w:w="5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EE"/>
                <w:w w:val="89"/>
              </w:rPr>
              <w:t>Item 13.</w:t>
            </w:r>
          </w:p>
        </w:tc>
        <w:tc>
          <w:tcPr>
            <w:tcW w:w="400" w:type="dxa"/>
            <w:vAlign w:val="bottom"/>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6"/>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0" w:type="dxa"/>
            <w:vAlign w:val="bottom"/>
            <w:gridSpan w:val="3"/>
          </w:tcPr>
          <w:p>
            <w:pPr>
              <w:spacing w:after="0" w:line="179" w:lineRule="exact"/>
              <w:rPr>
                <w:sz w:val="20"/>
                <w:szCs w:val="20"/>
                <w:color w:val="auto"/>
              </w:rPr>
            </w:pPr>
            <w:r>
              <w:rPr>
                <w:rFonts w:ascii="Times New Roman" w:cs="Times New Roman" w:eastAsia="Times New Roman" w:hAnsi="Times New Roman"/>
                <w:sz w:val="16"/>
                <w:szCs w:val="16"/>
                <w:color w:val="0000EE"/>
                <w:w w:val="89"/>
              </w:rPr>
              <w:t>Item 14.</w:t>
            </w:r>
          </w:p>
        </w:tc>
        <w:tc>
          <w:tcPr>
            <w:tcW w:w="400" w:type="dxa"/>
            <w:vAlign w:val="bottom"/>
          </w:tcPr>
          <w:p>
            <w:pPr>
              <w:spacing w:after="0"/>
              <w:rPr>
                <w:sz w:val="15"/>
                <w:szCs w:val="15"/>
                <w:color w:val="auto"/>
              </w:rPr>
            </w:pPr>
          </w:p>
        </w:tc>
        <w:tc>
          <w:tcPr>
            <w:tcW w:w="7820" w:type="dxa"/>
            <w:vAlign w:val="bottom"/>
            <w:gridSpan w:val="46"/>
          </w:tcPr>
          <w:p>
            <w:pPr>
              <w:spacing w:after="0" w:line="179"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15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2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EE"/>
              </w:rPr>
              <w:t>PART IV</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 w:type="dxa"/>
            <w:vAlign w:val="bottom"/>
            <w:tcBorders>
              <w:top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6"/>
                <w:szCs w:val="16"/>
                <w:color w:val="0000EE"/>
                <w:w w:val="89"/>
              </w:rPr>
              <w:t>Item 15.</w:t>
            </w:r>
          </w:p>
        </w:tc>
        <w:tc>
          <w:tcPr>
            <w:tcW w:w="400" w:type="dxa"/>
            <w:vAlign w:val="bottom"/>
          </w:tcPr>
          <w:p>
            <w:pPr>
              <w:spacing w:after="0"/>
              <w:rPr>
                <w:sz w:val="15"/>
                <w:szCs w:val="15"/>
                <w:color w:val="auto"/>
              </w:rPr>
            </w:pPr>
          </w:p>
        </w:tc>
        <w:tc>
          <w:tcPr>
            <w:tcW w:w="7820" w:type="dxa"/>
            <w:vAlign w:val="bottom"/>
            <w:gridSpan w:val="46"/>
          </w:tcPr>
          <w:p>
            <w:pPr>
              <w:spacing w:after="0" w:line="181" w:lineRule="exact"/>
              <w:rPr>
                <w:sz w:val="20"/>
                <w:szCs w:val="20"/>
                <w:color w:val="auto"/>
              </w:rPr>
            </w:pPr>
            <w:r>
              <w:rPr>
                <w:rFonts w:ascii="Times New Roman" w:cs="Times New Roman" w:eastAsia="Times New Roman" w:hAnsi="Times New Roman"/>
                <w:sz w:val="16"/>
                <w:szCs w:val="16"/>
                <w:color w:val="0000EE"/>
              </w:rPr>
              <w:t>Exhibits, Financial Statement Schedules</w:t>
            </w: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5240" w:type="dxa"/>
            <w:vAlign w:val="bottom"/>
            <w:gridSpan w:val="1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0" w:type="dxa"/>
            <w:vAlign w:val="bottom"/>
            <w:gridSpan w:val="3"/>
          </w:tcPr>
          <w:p>
            <w:pPr>
              <w:spacing w:after="0" w:line="179" w:lineRule="exact"/>
              <w:rPr>
                <w:sz w:val="20"/>
                <w:szCs w:val="20"/>
                <w:color w:val="auto"/>
              </w:rPr>
            </w:pPr>
            <w:r>
              <w:rPr>
                <w:rFonts w:ascii="Times New Roman" w:cs="Times New Roman" w:eastAsia="Times New Roman" w:hAnsi="Times New Roman"/>
                <w:sz w:val="16"/>
                <w:szCs w:val="16"/>
                <w:color w:val="0000EE"/>
                <w:w w:val="97"/>
              </w:rPr>
              <w:t>Item 16</w:t>
            </w:r>
          </w:p>
        </w:tc>
        <w:tc>
          <w:tcPr>
            <w:tcW w:w="400" w:type="dxa"/>
            <w:vAlign w:val="bottom"/>
          </w:tcPr>
          <w:p>
            <w:pPr>
              <w:spacing w:after="0"/>
              <w:rPr>
                <w:sz w:val="15"/>
                <w:szCs w:val="15"/>
                <w:color w:val="auto"/>
              </w:rPr>
            </w:pPr>
          </w:p>
        </w:tc>
        <w:tc>
          <w:tcPr>
            <w:tcW w:w="7820" w:type="dxa"/>
            <w:vAlign w:val="bottom"/>
            <w:gridSpan w:val="46"/>
          </w:tcPr>
          <w:p>
            <w:pPr>
              <w:spacing w:after="0" w:line="179" w:lineRule="exact"/>
              <w:rPr>
                <w:sz w:val="20"/>
                <w:szCs w:val="20"/>
                <w:color w:val="auto"/>
              </w:rPr>
            </w:pPr>
            <w:r>
              <w:rPr>
                <w:rFonts w:ascii="Times New Roman" w:cs="Times New Roman" w:eastAsia="Times New Roman" w:hAnsi="Times New Roman"/>
                <w:sz w:val="16"/>
                <w:szCs w:val="16"/>
                <w:color w:val="0000EE"/>
              </w:rPr>
              <w:t>Form 10-K Summary</w:t>
            </w:r>
          </w:p>
        </w:tc>
        <w:tc>
          <w:tcPr>
            <w:tcW w:w="15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4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Borders>
              <w:top w:val="single" w:sz="8" w:color="0000EE"/>
            </w:tcBorders>
            <w:gridSpan w:val="17"/>
          </w:tcPr>
          <w:p>
            <w:pPr>
              <w:spacing w:after="0" w:line="181" w:lineRule="exact"/>
              <w:rPr>
                <w:sz w:val="20"/>
                <w:szCs w:val="20"/>
                <w:color w:val="auto"/>
              </w:rPr>
            </w:pPr>
            <w:r>
              <w:rPr>
                <w:rFonts w:ascii="Times New Roman" w:cs="Times New Roman" w:eastAsia="Times New Roman" w:hAnsi="Times New Roman"/>
                <w:sz w:val="16"/>
                <w:szCs w:val="16"/>
                <w:color w:val="0000EE"/>
              </w:rPr>
              <w:t>Signatures</w:t>
            </w:r>
          </w:p>
        </w:tc>
        <w:tc>
          <w:tcPr>
            <w:tcW w:w="6520" w:type="dxa"/>
            <w:vAlign w:val="bottom"/>
            <w:gridSpan w:val="29"/>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68"/>
        </w:trPr>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1134745</wp:posOffset>
                </wp:positionH>
                <wp:positionV relativeFrom="paragraph">
                  <wp:posOffset>-2522220</wp:posOffset>
                </wp:positionV>
                <wp:extent cx="2095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35pt,-198.5999pt" to="91pt,-198.5999pt" o:allowincell="f" strokecolor="#0000EE" strokeweight="0.36pt"/>
            </w:pict>
          </mc:Fallback>
        </mc:AlternateContent>
        <mc:AlternateContent>
          <mc:Choice Requires="wps">
            <w:drawing>
              <wp:anchor simplePos="0" relativeHeight="251657728" behindDoc="1" locked="0" layoutInCell="0" allowOverlap="1">
                <wp:simplePos x="0" y="0"/>
                <wp:positionH relativeFrom="column">
                  <wp:posOffset>2211705</wp:posOffset>
                </wp:positionH>
                <wp:positionV relativeFrom="paragraph">
                  <wp:posOffset>-1892300</wp:posOffset>
                </wp:positionV>
                <wp:extent cx="107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15pt,-149pt" to="175pt,-149pt" o:allowincell="f" strokecolor="#0000EE" strokeweight="0.36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-1892300</wp:posOffset>
                </wp:positionV>
                <wp:extent cx="203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49pt" to="371.35pt,-149pt" o:allowincell="f" strokecolor="#0000EE" strokeweight="0.36pt"/>
            </w:pict>
          </mc:Fallback>
        </mc:AlternateContent>
        <mc:AlternateContent>
          <mc:Choice Requires="wps">
            <w:drawing>
              <wp:anchor simplePos="0" relativeHeight="251657728" behindDoc="1" locked="0" layoutInCell="0" allowOverlap="1">
                <wp:simplePos x="0" y="0"/>
                <wp:positionH relativeFrom="column">
                  <wp:posOffset>1439545</wp:posOffset>
                </wp:positionH>
                <wp:positionV relativeFrom="paragraph">
                  <wp:posOffset>-383540</wp:posOffset>
                </wp:positionV>
                <wp:extent cx="2095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35pt,-30.1999pt" to="115pt,-30.1999pt" o:allowincell="f" strokecolor="#0000EE" strokeweight="0.36pt"/>
            </w:pict>
          </mc:Fallback>
        </mc:AlternateContent>
      </w:r>
    </w:p>
    <w:p>
      <w:pPr>
        <w:sectPr>
          <w:pgSz w:w="11900" w:h="16840" w:orient="portrait"/>
          <w:cols w:equalWidth="0" w:num="1">
            <w:col w:w="10280"/>
          </w:cols>
          <w:pgMar w:left="820" w:top="908" w:right="804"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1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This Annual Report on Form 10-K and the documents incorporated herein by reference contain forward -looking statements that are based on our management’s expectations, estimates, projections, beliefs and assumptions and on information currently available to our management. The forward-looking statements are contained principally in “Item 1. Business,” “Item 1A. Risk Factors” “Item 7. Management’s Discussion and Analysis of Financial Condition and Results of Operations.” and “Item 7A. Quantitative and Qualitative Disclosures About Market Risk”. This discussion contains certain forward-looking statements within the meaning of Section 27A of the Securities Act of 1933, as amended, and Section 21E of the Securities Exchange Act of 1934, as amended. Forward-looking statements include information concerning our possible or assumed future results of operations, business strategies, technology developments, new products and services, financing and investment plans, competitive position, industry and regulatory environment, effects of acquisitions, growth opportunities, and the effects of competition.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spacing w:after="0" w:line="16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Forward-looking and other statements regarding our sustainability efforts and aspirations are not an indication that these statements are necessarily material to investors or requiring disclosure in our filing with the Securities and Exchange Commission (“SEC”). In addition, historical, current and forward-looking sustainability-related statements may be based on standards for measuring progress that are still developing, internal controls and processes that continue to evolve and assumptions that are subject to change in the future, including future rule-making. Also, forward-looking statements represent our management’s beliefs and assumptions only as of the date of this filing. Important factors that could cause actual results to differ materially from our expectations include those discussed in Item 1A, Risk Factors, as well as those discussed elsewhere in this Annual Report on Form 10-K, including:</w:t>
      </w:r>
    </w:p>
    <w:p>
      <w:pPr>
        <w:spacing w:after="0" w:line="164" w:lineRule="exact"/>
        <w:rPr>
          <w:sz w:val="20"/>
          <w:szCs w:val="20"/>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be profitable in the future;</w:t>
      </w:r>
    </w:p>
    <w:p>
      <w:pPr>
        <w:spacing w:after="0" w:line="6"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rapidly evolving and competitive nature of the solar industry;</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tax treaties, regulations, guidance or the interpretation of them, including the IRA and the H.R.1;</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demand for solar energy solutions, including if demand for solar energy solutions does not resume growth or grows at a slower rate than anticipated;</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in our domestic and international markets, as well as inflation concerns, rising interest rates and recessionary concerns;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U.S. and global trade environments, including the imposition and/or increase of import tariffs or other restrictive trade measures;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price of electricity derived from the utility grid or alternative energy sources;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and supply of capital in the global financial markets in general and in the PV market specifically;</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including introductions of power optimizer, inverter, EV chargers, batteries and PV system monitoring products by our competitors;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alternative technologies or improvements in distributed solar energy generation;</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 cyclicality of the solar industry and periodic downturns;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quality or performance problems in our products;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geographic footprint or product and service offerings;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a small number of outside contract manufacturers and limited or single source suppliers;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disruptions, and quality control problems in manufacturing;</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shortages, delays, price changes, or cessation of operations or production affecting our suppliers of key components;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capacity constraints, delivery schedules, manufacturing yields, and costs of our contract manufacturers and availability of components;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political, geopolitical conditions, and the conditions of the global energy market;</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distributors and large installers in selling our products;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in the solar industry among our customers and distributors;</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implement our new Enterprise Resource Planning ("ERP") system;</w:t>
      </w: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discontinuation of our e-Mobility business, energy storage business, and PV Tracker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4" w:name="page5"/>
    <w:bookmarkEnd w:id="4"/>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successfully operate our global operations with a reduced work force;</w:t>
      </w:r>
    </w:p>
    <w:p>
      <w:pPr>
        <w:spacing w:after="0" w:line="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recognize expected benefits from restructuring plans;</w:t>
      </w:r>
    </w:p>
    <w:p>
      <w:pPr>
        <w:ind w:left="580" w:hanging="296"/>
        <w:spacing w:after="0" w:line="239"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unauthorized access to, disclosure, or theft of confidential or personal information or unauthorized access to our network or other similar cyber incidents;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attempts by third parties, our employees, or our vendors might gain unauthorized access to our network or seek to compromise our products and services;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issues related to the development and use of artificial intelligence;</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key executives, and our ability to retain key personnel and attract additional qualified personnel;</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our business operations due to the evolving conflict in Israel and other conditions in Israel that affect our operations;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benefits that are available to us under Israeli law require us to meet various conditions and may be terminated or reduced in the future;difficulty to enforce a judgment of a U.S. court against our officers and directors, to assert U.S. securities laws claims in Israel;</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ocean transportation to timely deliver our products in a cost-effective manner;</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entry into business engagements with South Korean military bodies;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global currency exchange rates;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evolving legal and regulatory requirements including emerging corporate social responsibility requirements;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and future responses to and effects of pandemics, epidemics or other health crises;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elimination or expiration of government subsidies and economic incentives for on-grid solar electricity applications;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net metering policies may reduce demand for electricity from PV systems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stringent and changing data privacy and security laws, rules, regulations and other obligations;</w:t>
      </w:r>
    </w:p>
    <w:p>
      <w:pPr>
        <w:ind w:left="580" w:hanging="296"/>
        <w:spacing w:after="0"/>
        <w:tabs>
          <w:tab w:leader="none" w:pos="58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Existing electric utility industry regulations and changes to regulations, may present technical, regulatory, and economic barriers to the purchase and use of PV systems;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practices and regulatory compliance of our raw material suppliers;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brand and to protect and defend our intellectual property;</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for remuneration or royalties for assigned service invention rights by our employees;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our goodwill or other long-lived and intangible assets;</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of our stock price;</w:t>
      </w:r>
    </w:p>
    <w:p>
      <w:pPr>
        <w:ind w:left="580" w:hanging="296"/>
        <w:spacing w:after="0" w:line="239"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our certificate of incorporation and by-laws may have the effect of delaying or preventing a change of control or changes in our management;</w:t>
      </w:r>
    </w:p>
    <w:p>
      <w:pPr>
        <w:ind w:left="580" w:hanging="296"/>
        <w:spacing w:after="0"/>
        <w:tabs>
          <w:tab w:leader="none" w:pos="58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our certificate of incorporation includes a forum selection clause, which could limit our stockholders’ ability to obtain a favorable judicial forum;</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liquidity and our ability to service our debt; and</w:t>
      </w: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set forth under “Item 1A. Risk Factors.”</w:t>
      </w:r>
    </w:p>
    <w:p>
      <w:pPr>
        <w:spacing w:after="0" w:line="202"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The preceding list is not intended to be an exhaustive list of all of our forward-looking statements.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1999pt"/>
            </w:pict>
          </mc:Fallback>
        </mc:AlternateContent>
      </w:r>
    </w:p>
    <w:p>
      <w:pPr>
        <w:sectPr>
          <w:pgSz w:w="11900" w:h="16840" w:orient="portrait"/>
          <w:cols w:equalWidth="0" w:num="1">
            <w:col w:w="10280"/>
          </w:cols>
          <w:pgMar w:left="820" w:top="902" w:right="804"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19"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We are a global smart energy technology company that changed the way power is harvested and managed in photovoltaic (also known as PV) systems. Our direct current (“DC”), optimized inverter system maximizes power generation while lowering the cost of energy produced by the PV system for improved return on investment, or ROI. Additional benefits of the DC optimized inverter system include: comprehensive and advanced safety features, improved design flexibility, efficient integration (DC coupled) with SolarEdge storage solutions, and improved operation and maintenance, or O&amp;M, with remote monitoring at the module-level. The typical SolarEdge DC optimized inverter system consists of inverters, Optimizers, a communication device which enables access to a cloud-based Monitoring Platform and, in many cases, a battery and additional smart energy management solutions and devices, such as EV chargers and load controllers. As part of our hardware sales, we also provide the energy management software which controls, manages and optimizes the energy production, storage and use of energy generated by our systems. Our solutions address a broad range of solar market segments, from residential solar installations to commercial and small utility scale solar installations.</w:t>
      </w:r>
    </w:p>
    <w:p>
      <w:pPr>
        <w:spacing w:after="0" w:line="171"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have expanded our activity to other areas of smart energy technology, both through organic growth and through acquisitions. By leveraging world-class engineering capabilities and with a relentless focus on innovation, we now offer energy solutions that include primarily the hardware technology used in residential, commercial, and small scale utility PV systems and also product offerings in the areas of energy storage systems, or ESS, EV chargers, home and commercial energy management software, grid services, software platforms and applications that enable virtual power plants ("VPPs").</w:t>
      </w:r>
    </w:p>
    <w:p>
      <w:pPr>
        <w:spacing w:after="0" w:line="16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primarily sell our products indirectly to thousands of solar installers through large distributors and electrical equipment wholesalers and directly to large solar installers and engineering, procurement, and construction firms, or EPCs. Our customers include leading providers of PV systems to residential and commercial end users, key solar distributors, and electrical equipment wholesalers.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The SolarEdge Solution. </w:t>
      </w:r>
      <w:r>
        <w:rPr>
          <w:rFonts w:ascii="Times New Roman" w:cs="Times New Roman" w:eastAsia="Times New Roman" w:hAnsi="Times New Roman"/>
          <w:sz w:val="16"/>
          <w:szCs w:val="16"/>
          <w:color w:val="auto"/>
        </w:rPr>
        <w:t>The key advantages of our solution over a traditional string inverter PV system include:</w:t>
      </w:r>
    </w:p>
    <w:p>
      <w:pPr>
        <w:spacing w:after="0" w:line="210" w:lineRule="exact"/>
        <w:rPr>
          <w:sz w:val="20"/>
          <w:szCs w:val="20"/>
          <w:color w:val="auto"/>
        </w:rPr>
      </w:pPr>
    </w:p>
    <w:p>
      <w:pPr>
        <w:jc w:val="both"/>
        <w:ind w:left="860" w:hanging="288"/>
        <w:spacing w:after="0" w:line="249"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Maximized PV module power output. </w:t>
      </w:r>
      <w:r>
        <w:rPr>
          <w:rFonts w:ascii="Times New Roman" w:cs="Times New Roman" w:eastAsia="Times New Roman" w:hAnsi="Times New Roman"/>
          <w:sz w:val="16"/>
          <w:szCs w:val="16"/>
          <w:color w:val="auto"/>
        </w:rPr>
        <w:t>Our Power Optimizers provide module-level, maximum power point ("MPP") tracking, i.e. real-time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adjustments of current and voltage to the optimal operating point of each individual PV module. This enables each PV module to continuously operate at its MPP, independent of other modules in the same string, thus minimizing power lost due to module mismatch (e.g. due to manufacturing differences, aging, etc.) and partial shading. By performing these adjustments at a high rate, our Power Optimizers also reduce the dynamic MPP losses associated with traditional inverters.</w:t>
      </w:r>
    </w:p>
    <w:p>
      <w:pPr>
        <w:spacing w:after="0" w:line="165" w:lineRule="exact"/>
        <w:rPr>
          <w:rFonts w:ascii="Times New Roman" w:cs="Times New Roman" w:eastAsia="Times New Roman" w:hAnsi="Times New Roman"/>
          <w:sz w:val="16"/>
          <w:szCs w:val="16"/>
          <w:color w:val="auto"/>
        </w:rPr>
      </w:pPr>
    </w:p>
    <w:p>
      <w:pPr>
        <w:jc w:val="both"/>
        <w:ind w:left="860" w:hanging="288"/>
        <w:spacing w:after="0" w:line="252"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Optimized architecture with economies of scale. </w:t>
      </w:r>
      <w:r>
        <w:rPr>
          <w:rFonts w:ascii="Times New Roman" w:cs="Times New Roman" w:eastAsia="Times New Roman" w:hAnsi="Times New Roman"/>
          <w:sz w:val="16"/>
          <w:szCs w:val="16"/>
          <w:color w:val="auto"/>
        </w:rPr>
        <w:t>Our system shifts certain functions of the traditional inverter to our Power Optimizers while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keeping the DC-to-AC function and grid interaction in our inverter. As a result, our inverter is more efficient and more reliable than inverters used in traditional string inverter systems. As a PV system grows in size, our inverter benefits from economies of scale. This enables our technology to be viable for both large commercial and small-scale utility applications.</w:t>
      </w:r>
    </w:p>
    <w:p>
      <w:pPr>
        <w:spacing w:after="0" w:line="163" w:lineRule="exact"/>
        <w:rPr>
          <w:rFonts w:ascii="Times New Roman" w:cs="Times New Roman" w:eastAsia="Times New Roman" w:hAnsi="Times New Roman"/>
          <w:sz w:val="16"/>
          <w:szCs w:val="16"/>
          <w:color w:val="auto"/>
        </w:rPr>
      </w:pPr>
    </w:p>
    <w:p>
      <w:pPr>
        <w:jc w:val="both"/>
        <w:ind w:left="860" w:hanging="288"/>
        <w:spacing w:after="0" w:line="249"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Enhanced system design flexibility. </w:t>
      </w:r>
      <w:r>
        <w:rPr>
          <w:rFonts w:ascii="Times New Roman" w:cs="Times New Roman" w:eastAsia="Times New Roman" w:hAnsi="Times New Roman"/>
          <w:sz w:val="16"/>
          <w:szCs w:val="16"/>
          <w:color w:val="auto"/>
        </w:rPr>
        <w:t>Unlike a traditional inverter system that requires each parallel connected string to be substantially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length, use the same type of PV modules and be positioned at the same angle toward the sun, our system allows significant design flexibility by enabling the installer to place PV modules in uneven string lengths, on multiple roof facets, and in locations receiving different irradiance. This design flexibility increases the amount of the available roof that can be utilized for power production. As a result, our system is significantly less prone to wasted roof space resulting from rooftop asymmetries and obstructions.</w:t>
      </w:r>
    </w:p>
    <w:p>
      <w:pPr>
        <w:spacing w:after="0" w:line="166" w:lineRule="exact"/>
        <w:rPr>
          <w:rFonts w:ascii="Times New Roman" w:cs="Times New Roman" w:eastAsia="Times New Roman" w:hAnsi="Times New Roman"/>
          <w:sz w:val="16"/>
          <w:szCs w:val="16"/>
          <w:color w:val="auto"/>
        </w:rPr>
      </w:pPr>
    </w:p>
    <w:p>
      <w:pPr>
        <w:jc w:val="both"/>
        <w:ind w:left="860" w:hanging="288"/>
        <w:spacing w:after="0" w:line="258"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Reduced balance of system (BoS) costs. </w:t>
      </w:r>
      <w:r>
        <w:rPr>
          <w:rFonts w:ascii="Times New Roman" w:cs="Times New Roman" w:eastAsia="Times New Roman" w:hAnsi="Times New Roman"/>
          <w:sz w:val="16"/>
          <w:szCs w:val="16"/>
          <w:color w:val="auto"/>
        </w:rPr>
        <w:t>Our commercial DC optimized inverter system allows significantly longer strings to be connected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inverter (as compared to a traditional inverter system). This reduces the cost of cabling, fuse boxes and other ancillary electric components. These factors result in easier installations with shorter design times and a lower initial cost per watt, while enabling larger installations per rooftop.</w:t>
      </w:r>
    </w:p>
    <w:p>
      <w:pPr>
        <w:spacing w:after="0" w:line="157" w:lineRule="exact"/>
        <w:rPr>
          <w:rFonts w:ascii="Times New Roman" w:cs="Times New Roman" w:eastAsia="Times New Roman" w:hAnsi="Times New Roman"/>
          <w:sz w:val="16"/>
          <w:szCs w:val="16"/>
          <w:color w:val="auto"/>
        </w:rPr>
      </w:pPr>
    </w:p>
    <w:p>
      <w:pPr>
        <w:jc w:val="both"/>
        <w:ind w:left="860" w:hanging="288"/>
        <w:spacing w:after="0" w:line="252"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Continuous monitoring and control to reduce operation and maintenance costs. </w:t>
      </w:r>
      <w:r>
        <w:rPr>
          <w:rFonts w:ascii="Times New Roman" w:cs="Times New Roman" w:eastAsia="Times New Roman" w:hAnsi="Times New Roman"/>
          <w:sz w:val="16"/>
          <w:szCs w:val="16"/>
          <w:color w:val="auto"/>
        </w:rPr>
        <w:t>Our cloud-based monitoring platform provides data visibility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module level, string level, inverter level and system level. The data can be accessed remotely by web-enabled device, allowing comprehensive analysis, immediate fault detection and alerts. These monitoring features reduce O&amp;M costs for the system owner by identifying and locating faults, enabling remote testing and reducing field visits.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6" w:name="page7"/>
    <w:bookmarkEnd w:id="6"/>
    <w:p>
      <w:pPr>
        <w:jc w:val="both"/>
        <w:ind w:left="288" w:hanging="288"/>
        <w:spacing w:after="0" w:line="243" w:lineRule="auto"/>
        <w:tabs>
          <w:tab w:leader="none" w:pos="28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Enhanced safety. </w:t>
      </w:r>
      <w:r>
        <w:rPr>
          <w:rFonts w:ascii="Times New Roman" w:cs="Times New Roman" w:eastAsia="Times New Roman" w:hAnsi="Times New Roman"/>
          <w:sz w:val="16"/>
          <w:szCs w:val="16"/>
          <w:color w:val="auto"/>
        </w:rPr>
        <w:t>We have incorporated module-level safety mechanisms in our DC optimized system to protect installers, electricians,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firefighters. Each Power Optimizer is configured to reduce output voltage to 1 volt unless the Power Optimizer receives a fail-safe signal from a functioning inverter that is paired to the optimizer. As a result, if the inverter is shut down (e.g., for system maintenance, grid shutdown, due to malfunction, in the event of a fire, or otherwise), the DC voltage throughout the system is reduced to a safe level. Our DC-optimized inverters comply with the applicable safety requirements of the regions in which they are sold, providing cost savings to installers by reducing the need for additional hardware such as DC breakers, switches, or fire-proof ducts required by traditional inverter systems. In the U.S., the SolarEdge SafeDC feature is compliant with NEC 2020 &amp; NEC 2023 Rapid Shutdown functionality, Section 690.12. SolarEdge inverters also have a built-in safety feature designed to mitigate the effects of some arcing faults that may pose a risk of fire, in compliance with the UL1699B arc detection standard. Most SolarEdge inverters comply with IEC 63027 arc detection standards. In addition, some of the SolarEdge Power Optimizers include the SolarEdge "Sense Connect" capability which is designed to monitor Power Optimizers’ connectors, and identify improper connections and possible malfunctions for early detection and mitigation of arc risks. In addition, certain SolarEdge residential batteries also meet UL 9540A.</w:t>
      </w:r>
    </w:p>
    <w:p>
      <w:pPr>
        <w:spacing w:after="0" w:line="174" w:lineRule="exact"/>
        <w:rPr>
          <w:rFonts w:ascii="Times New Roman" w:cs="Times New Roman" w:eastAsia="Times New Roman" w:hAnsi="Times New Roman"/>
          <w:sz w:val="16"/>
          <w:szCs w:val="16"/>
          <w:color w:val="auto"/>
        </w:rPr>
      </w:pPr>
    </w:p>
    <w:p>
      <w:pPr>
        <w:jc w:val="both"/>
        <w:ind w:left="288" w:hanging="288"/>
        <w:spacing w:after="0" w:line="247" w:lineRule="auto"/>
        <w:tabs>
          <w:tab w:leader="none" w:pos="28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High reliability. </w:t>
      </w:r>
      <w:r>
        <w:rPr>
          <w:rFonts w:ascii="Times New Roman" w:cs="Times New Roman" w:eastAsia="Times New Roman" w:hAnsi="Times New Roman"/>
          <w:sz w:val="16"/>
          <w:szCs w:val="16"/>
          <w:color w:val="auto"/>
        </w:rPr>
        <w:t>PV systems are typically expected to operate for approximately 25 years under harsh outdoor conditions. High reliability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critical and is facilitated by our utilization of systems and components that have low heat generation, solid and stable materials, and the minimal use of moving parts in our products. We have designed our system to meet these stringent requirements. Our Power Optimizers’ high switching frequency allows the use of ceramic capacitors with a low, fixed rate of aging and an estimated life expectancy in excess of 25 years. Further, we use application-specific integrated circuits (“ASICs”) that embed many of the required electronics. This reduces the number of components and consequently the potential points of failure.</w:t>
      </w:r>
    </w:p>
    <w:p>
      <w:pPr>
        <w:spacing w:after="0" w:line="168" w:lineRule="exact"/>
        <w:rPr>
          <w:rFonts w:ascii="Times New Roman" w:cs="Times New Roman" w:eastAsia="Times New Roman" w:hAnsi="Times New Roman"/>
          <w:sz w:val="16"/>
          <w:szCs w:val="16"/>
          <w:color w:val="auto"/>
        </w:rPr>
      </w:pPr>
    </w:p>
    <w:p>
      <w:pPr>
        <w:jc w:val="both"/>
        <w:ind w:left="288" w:hanging="288"/>
        <w:spacing w:after="0" w:line="252" w:lineRule="auto"/>
        <w:tabs>
          <w:tab w:leader="none" w:pos="28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DC Coupling with Energy Storage. </w:t>
      </w:r>
      <w:r>
        <w:rPr>
          <w:rFonts w:ascii="Times New Roman" w:cs="Times New Roman" w:eastAsia="Times New Roman" w:hAnsi="Times New Roman"/>
          <w:sz w:val="16"/>
          <w:szCs w:val="16"/>
          <w:color w:val="auto"/>
        </w:rPr>
        <w:t>For residential systems, our DC-optimized inverter system enables direct storage of solar energy in batteries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without the need for DC-AC or AC-DC conversions, a process known as DC coupling. This approach eliminates energy loss that is typically associated with such conversions, allowing for more efficient energy management within the battery. As a result, users benefit from improved efficiency, increased savings, and a higher overall return on investment (ROI).</w:t>
      </w:r>
    </w:p>
    <w:p>
      <w:pPr>
        <w:spacing w:after="0" w:line="163" w:lineRule="exact"/>
        <w:rPr>
          <w:rFonts w:ascii="Times New Roman" w:cs="Times New Roman" w:eastAsia="Times New Roman" w:hAnsi="Times New Roman"/>
          <w:sz w:val="16"/>
          <w:szCs w:val="16"/>
          <w:color w:val="auto"/>
        </w:rPr>
      </w:pPr>
    </w:p>
    <w:p>
      <w:pPr>
        <w:jc w:val="both"/>
        <w:ind w:left="288" w:hanging="288"/>
        <w:spacing w:after="0" w:line="252" w:lineRule="auto"/>
        <w:tabs>
          <w:tab w:leader="none" w:pos="28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Energy Management. </w:t>
      </w:r>
      <w:r>
        <w:rPr>
          <w:rFonts w:ascii="Times New Roman" w:cs="Times New Roman" w:eastAsia="Times New Roman" w:hAnsi="Times New Roman"/>
          <w:sz w:val="16"/>
          <w:szCs w:val="16"/>
          <w:color w:val="auto"/>
        </w:rPr>
        <w:t>Our residential and commercial systems feature SolarEdge ONE, a single platform to manage, monitor and gain real-time,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module-level insights on all site energy assets. SolarEdge ONE manages a site’s entire energy portfolio, including PV, battery storage, EV, smart devices, and building assets, to ensure optimized performance of each component. It includes capabilities tailored to the specific needs of the varying residential and commercial system stakeholders and is fortified with advanced cyber capabilities designed to protect against cyber threats.</w:t>
      </w:r>
    </w:p>
    <w:p>
      <w:pPr>
        <w:spacing w:after="0" w:line="172" w:lineRule="exact"/>
        <w:rPr>
          <w:sz w:val="20"/>
          <w:szCs w:val="20"/>
          <w:color w:val="auto"/>
        </w:rPr>
      </w:pPr>
    </w:p>
    <w:p>
      <w:pPr>
        <w:jc w:val="both"/>
        <w:ind w:left="288" w:firstLine="576"/>
        <w:spacing w:after="0" w:line="273" w:lineRule="auto"/>
        <w:rPr>
          <w:sz w:val="20"/>
          <w:szCs w:val="20"/>
          <w:color w:val="auto"/>
        </w:rPr>
      </w:pPr>
      <w:r>
        <w:rPr>
          <w:rFonts w:ascii="Times New Roman" w:cs="Times New Roman" w:eastAsia="Times New Roman" w:hAnsi="Times New Roman"/>
          <w:sz w:val="16"/>
          <w:szCs w:val="16"/>
          <w:color w:val="auto"/>
        </w:rPr>
        <w:t>For residential systems, SolarEdge ONE optimizes the way homeowners use, store, and sell their energy, as well as charge their EVs using their smart devices, in accordance with their personalized preferences. It enables users to store solar energy at cost-effective times. It is designed to permit homeowners to control the timing of their PV energy consumption in order to increase their energy independence, take advantage of lower time-of-use rates, reduce electricity bills, and is designed to improve overall system return on investment.</w:t>
      </w:r>
    </w:p>
    <w:p>
      <w:pPr>
        <w:spacing w:after="0" w:line="162" w:lineRule="exact"/>
        <w:rPr>
          <w:sz w:val="20"/>
          <w:szCs w:val="20"/>
          <w:color w:val="auto"/>
        </w:rPr>
      </w:pPr>
    </w:p>
    <w:p>
      <w:pPr>
        <w:jc w:val="both"/>
        <w:ind w:left="288" w:firstLine="576"/>
        <w:spacing w:after="0" w:line="279" w:lineRule="auto"/>
        <w:rPr>
          <w:sz w:val="20"/>
          <w:szCs w:val="20"/>
          <w:color w:val="auto"/>
        </w:rPr>
      </w:pPr>
      <w:r>
        <w:rPr>
          <w:rFonts w:ascii="Times New Roman" w:cs="Times New Roman" w:eastAsia="Times New Roman" w:hAnsi="Times New Roman"/>
          <w:sz w:val="16"/>
          <w:szCs w:val="16"/>
          <w:color w:val="auto"/>
        </w:rPr>
        <w:t>Commercial installations benefit from SolarEdge ONE’s ability to synchronize production, consumption, and storage to align with business goals, making data-driven decisions based on customer definitions and market conditions. SolarEdge ONE includes robust monitoring and reporting tools that enable PV professionals to enhance operational efficiencies and lower maintenance costs across their fleets.</w:t>
      </w:r>
    </w:p>
    <w:p>
      <w:pPr>
        <w:spacing w:after="0" w:line="159" w:lineRule="exact"/>
        <w:rPr>
          <w:sz w:val="20"/>
          <w:szCs w:val="20"/>
          <w:color w:val="auto"/>
        </w:rPr>
      </w:pPr>
    </w:p>
    <w:p>
      <w:pPr>
        <w:jc w:val="both"/>
        <w:ind w:left="288" w:firstLine="576"/>
        <w:spacing w:after="0" w:line="306" w:lineRule="auto"/>
        <w:rPr>
          <w:sz w:val="20"/>
          <w:szCs w:val="20"/>
          <w:color w:val="auto"/>
        </w:rPr>
      </w:pPr>
      <w:r>
        <w:rPr>
          <w:rFonts w:ascii="Times New Roman" w:cs="Times New Roman" w:eastAsia="Times New Roman" w:hAnsi="Times New Roman"/>
          <w:sz w:val="15"/>
          <w:szCs w:val="15"/>
          <w:color w:val="auto"/>
        </w:rPr>
        <w:t>The SolarEdge ONE for commercial capabilities extend to optimization and management of sites featuring large quantities of EV chargers (e.g. workplaces, parking lots, apartment buildings, public charging stations, etc.) as well as support for enterprises seeking to take control of their energy usage with greater energy management and connectivity capabilities, enabling more efficient and sustainable energy management.</w:t>
      </w:r>
    </w:p>
    <w:p>
      <w:pPr>
        <w:spacing w:after="0" w:line="132" w:lineRule="exact"/>
        <w:rPr>
          <w:sz w:val="20"/>
          <w:szCs w:val="20"/>
          <w:color w:val="auto"/>
        </w:rPr>
      </w:pPr>
    </w:p>
    <w:p>
      <w:pPr>
        <w:jc w:val="both"/>
        <w:ind w:left="288" w:hanging="288"/>
        <w:spacing w:after="0" w:line="252" w:lineRule="auto"/>
        <w:tabs>
          <w:tab w:leader="none" w:pos="28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Distributed Energy Generation. </w:t>
      </w:r>
      <w:r>
        <w:rPr>
          <w:rFonts w:ascii="Times New Roman" w:cs="Times New Roman" w:eastAsia="Times New Roman" w:hAnsi="Times New Roman"/>
          <w:sz w:val="16"/>
          <w:szCs w:val="16"/>
          <w:color w:val="auto"/>
        </w:rPr>
        <w:t>As an electric grid evolves from centralized power stations to a network of distributed, renewable energy sources,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inverter can serve as a local control system that manages the energy resources within such a distributed network. Our inverters facilitate the creation of a distributed and interactive grid, enhancing grid stability. One such example is inverter-enabled charging and discharging of batteries within a VPP, helping to manage grid load and support grid stability.</w:t>
      </w:r>
    </w:p>
    <w:p>
      <w:pPr>
        <w:spacing w:after="0" w:line="131" w:lineRule="exact"/>
        <w:rPr>
          <w:sz w:val="20"/>
          <w:szCs w:val="20"/>
          <w:color w:val="auto"/>
        </w:rPr>
      </w:pPr>
    </w:p>
    <w:p>
      <w:pPr>
        <w:ind w:left="4528"/>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-365760</wp:posOffset>
                </wp:positionH>
                <wp:positionV relativeFrom="paragraph">
                  <wp:posOffset>53340</wp:posOffset>
                </wp:positionV>
                <wp:extent cx="65322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99pt,4.2pt" to="485.55pt,4.2pt" o:allowincell="f" strokecolor="#000000" strokeweight="1.1999pt"/>
            </w:pict>
          </mc:Fallback>
        </mc:AlternateContent>
      </w:r>
    </w:p>
    <w:p>
      <w:pPr>
        <w:sectPr>
          <w:pgSz w:w="11900" w:h="16840" w:orient="portrait"/>
          <w:cols w:equalWidth="0" w:num="1">
            <w:col w:w="9708"/>
          </w:cols>
          <w:pgMar w:left="1392" w:top="902" w:right="804"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Our Products</w:t>
      </w:r>
    </w:p>
    <w:p>
      <w:pPr>
        <w:spacing w:after="0" w:line="218"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products reflect our focus on innovation, the capacity of our technology departments as well as the emphasis that we put on creating value for our customers. Our core product roadmap includes: our power optimizers and inverters, which form an integral part of the DC optimized inverter systems, batteries, and smart energy management.</w:t>
      </w:r>
    </w:p>
    <w:p>
      <w:pPr>
        <w:spacing w:after="0" w:line="15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have drawn on our expertise in the fields of power electronics, analog and digital electronics, magnetic design, mechanical and heat dissipation, control, and algorithms, power line communications and lithium-ion battery technology, to design and develop advanced commercial solutions for harvesting power from PV, storage and energy management solutions for residential and commercial applications. These technologies are explained in greater detail below. Our portfolio also includes energy IoT, EV charging optimization, and energy storage systems.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operate in one reportable segment, which includes the following products:</w:t>
      </w:r>
    </w:p>
    <w:p>
      <w:pPr>
        <w:spacing w:after="0" w:line="214"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SolarEdge Power Optimizer. </w:t>
      </w:r>
      <w:r>
        <w:rPr>
          <w:rFonts w:ascii="Times New Roman" w:cs="Times New Roman" w:eastAsia="Times New Roman" w:hAnsi="Times New Roman"/>
          <w:sz w:val="16"/>
          <w:szCs w:val="16"/>
          <w:color w:val="auto"/>
        </w:rPr>
        <w:t>Our Power Optimizer which forms an integral part of our DC optimized inverter system is a highly reliable and efficient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DC-to-DC converter which is connected to each PV module. Our Power Optimizer increases energy output from the connected PV module by continuously tracking the MPP of the module and controlling its operating point. The Power Optimizer’s ability to track the MPP of the connected PV module and its ability to adjust the optimizer output voltage enables the inverter’s input voltage to remain fixed under a large variety of string configurations. This feature enhances the flexibility in PV system designs, enabling a single inverter to be connected to strings of different lengths to PV modules featuring multiple orientations, and using various PV module types. In addition, our Power Optimizers monitor the performance of each PV module and communicate performance data to our inverter using our proprietary power line communications (“PLC”). In turn, the inverter transmits this information to our monitoring server. Each Power Optimizer is equipped with our proprietary safety mechanism which automatically reduces the output voltage of each PV module to 1 volt unless the Power Optimizer receives a fail-safe signal from a paired functioning inverter. As a result, if the inverter is shut down (e.g., for system maintenance, due to malfunction, in the event of a fire or otherwise), the system is designed to reduce the DC voltage to a safe level. Some of our SolarEdge Power Optimizers include our “Sense-Connect” capability which is designed to monitor Power Optimizers’ connectors to identify improper connections and possible malfunctions, enabling the early detection and mitigation of arc risks.</w:t>
      </w:r>
    </w:p>
    <w:p>
      <w:pPr>
        <w:spacing w:after="0" w:line="17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Our Power Optimizers are designed to withstand high temperatures and harsh environmental conditions and contain multiple bypass features that localize failures and enable continued system operation, even in cases of Power Optimizer failure, in the vast majority of cases. Our Power Optimizers are compatible with most modules on the market today and carry a 25-year product warranty. During the year ended December 31, 2025, the year ended December 31, 2024 and the year ended December 31, 2023, revenues derived from the sale of Power Optimizers represented 41.4%, 34.9% and 30.3% of total revenues, respectively.</w:t>
      </w:r>
    </w:p>
    <w:p>
      <w:pPr>
        <w:spacing w:after="0" w:line="165"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i w:val="1"/>
          <w:iCs w:val="1"/>
          <w:color w:val="auto"/>
        </w:rPr>
        <w:t>Our Power Optimizer Technology</w:t>
      </w:r>
      <w:r>
        <w:rPr>
          <w:rFonts w:ascii="Times New Roman" w:cs="Times New Roman" w:eastAsia="Times New Roman" w:hAnsi="Times New Roman"/>
          <w:sz w:val="16"/>
          <w:szCs w:val="16"/>
          <w:color w:val="auto"/>
        </w:rPr>
        <w:t>: Our Power Optimizers are DC/DC step up/step down ("buck+boost") converters designed and developed to operate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harsh outdoor environments at very high conversion efficiency. Our Power Optimizers include proprietary power electronics and control loops customized to efficiently convert power from the PV module to the inverter.</w:t>
      </w:r>
    </w:p>
    <w:p>
      <w:pPr>
        <w:spacing w:after="0" w:line="159"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A key factor in the performance of our Power Optimizer is determined by the digital control algorithms and closed-loop control mechanism. The Power Optimizer’s control is built into our advanced ASIC which is responsible for all digital control functions of the power optimizer, including detailed power analysis, digital real-time control of the power conversion subsystem, power line communications and networking. Since each Power Optimizer handles the power and voltage of either a single module or two modules, we are able to reach a high degree of semiconductor integration by leveraging low-cost silicon in standard semiconductor packages. As a result, much of the Power Optimizer functionality can be integrated into a standard ASIC instead of requiring discrete electronic components, resulting in lower costs and higher reliability.</w:t>
      </w:r>
    </w:p>
    <w:p>
      <w:pPr>
        <w:spacing w:after="0" w:line="167"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ASIC performs the critical power analysis and power conversion control functions of the Power Optimizer. The power analysis functions process the state and working parameters at the Power Optimizer’s input and output and, together with advanced digital control and state machine logic, control the power conversion function. In addition, our digital control system uses technology that allows the PV installation to anticipate and adapt to changing operating conditions, and to protect itself against system anomalies.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8" w:name="page9"/>
    <w:bookmarkEnd w:id="8"/>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Each Power Optimizer in the array is connected to the inverter by a power line communications networking link. Our power line communications link uses a proprietary networking technology that we developed, utilizing the existing DC wiring between the Power Optimizers and the inverter to transmit and receive data between these devices using scalable technology supporting a wide range of installation sizes, from small residential to large commercial installations.</w:t>
      </w:r>
    </w:p>
    <w:p>
      <w:pPr>
        <w:spacing w:after="0" w:line="162"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i w:val="1"/>
          <w:iCs w:val="1"/>
          <w:color w:val="auto"/>
        </w:rPr>
        <w:t>Our Power Optimizer Product Roadmap</w:t>
      </w:r>
      <w:r>
        <w:rPr>
          <w:rFonts w:ascii="Times New Roman" w:cs="Times New Roman" w:eastAsia="Times New Roman" w:hAnsi="Times New Roman"/>
          <w:sz w:val="16"/>
          <w:szCs w:val="16"/>
          <w:color w:val="auto"/>
        </w:rPr>
        <w:t>: We currently sell our fourth and fifth generation of Power Optimizers, the S-Series, designed for fully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automated assembly and based on our fourth and fifth generation ASICs, respectively. We have launched the H1300, a Gen 4 based Power Optimizer, as a part of the SolarEdge TerraMax™ inverter solution, with our H1500 Power Optimizer now available in North America. The H1500 is designed to enable more power per string and supports even higher power PV modules, leading to reduced BoS costs for our TerraMax solution. The H-Series models are our first optimizer equipped with high frequency DC power line communications technology which allows communication with larger numbers of Power Optimizers for ground mount applications as well as improved remote software upgrade capabilities.</w:t>
      </w:r>
    </w:p>
    <w:p>
      <w:pPr>
        <w:spacing w:after="0" w:line="16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an effort to improve efficiency, with each new ASIC generation, we have reduced the number of components required for any given functionality, thereby adding more functions to the Power Optimizer. An improvement in efficiency reduces energy loss, which in turn, decreases heat dissipation. This enables design of a more cost- effective and typically smaller enclosure and while keeping the electronics cooler, improving the Power Optimizer’s reliability. Our research and development teams continuously work on further improving our ASICs and releasing new generations of this advanced technology.</w:t>
      </w:r>
    </w:p>
    <w:p>
      <w:pPr>
        <w:spacing w:after="0" w:line="16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For the commercial market, we plan to launch our SolarEdge Duo Power Optimizer featuring a dual input design. This allows the connection of two PV modules with Maximum Power Point Tracking (MPPT) for each independent module, for enhanced system performance.</w:t>
      </w:r>
    </w:p>
    <w:p>
      <w:pPr>
        <w:spacing w:after="0" w:line="138" w:lineRule="exact"/>
        <w:rPr>
          <w:sz w:val="20"/>
          <w:szCs w:val="20"/>
          <w:color w:val="auto"/>
        </w:rPr>
      </w:pPr>
    </w:p>
    <w:p>
      <w:pPr>
        <w:jc w:val="both"/>
        <w:ind w:firstLine="576"/>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SolarEdge Inverters. </w:t>
      </w:r>
      <w:r>
        <w:rPr>
          <w:rFonts w:ascii="Times New Roman" w:cs="Times New Roman" w:eastAsia="Times New Roman" w:hAnsi="Times New Roman"/>
          <w:sz w:val="16"/>
          <w:szCs w:val="16"/>
          <w:color w:val="auto"/>
        </w:rPr>
        <w:t>Our DC-to-AC inverters which form an integral part of our DC optimized inverter systems, contain sophisticated digital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technology with efficient power conversion architecture resulting in superior solar power harvesting and high reliability, and are designed to work exclusively with our DC Power Optimizers. A proprietary power line communication receiver is integrated into each inverter, receiving data from our Power Optimizers, storing this data and transmitting it to our monitoring server when an internet connection exists. Since each string that features our Power Optimizers provides fixed input voltage to our inverter, the inverter is able to operate at an optimized efficiency at all times and therefore is more cost effective, energy efficient and reliable.</w:t>
      </w:r>
    </w:p>
    <w:p>
      <w:pPr>
        <w:spacing w:after="0" w:line="165"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Like our Power Optimizers, our inverters are designed to withstand harsh environmental conditions.We currently offer single-phase inverters designed to address the residential market (2.2 kilowatt (“kW”) to 11.4 kW), and three-phase inverters designed to address the residential and commercial markets (5 kW to 120 kW). We also offer our three-phase SolarEdge TerraMax™ inverters, which are designed to address the ground mount market (300kW to 330kW). Paired with our H-Series Power Optimizers, the SolarEdge Terramax™ supports distributed and centralized inverter configurations and is designed for grount mount installations such as, community solar, floating PV, and dual use Agri-PV sites.</w:t>
      </w:r>
    </w:p>
    <w:p>
      <w:pPr>
        <w:spacing w:after="0" w:line="165"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The vast majority of our inverters are sold with a 12 year warranty that is extendable to 20 or 25 years for an additional cost. During the year ended December 31, 2025, the year ended December 31, 2024 and the year ended December 31, 2023 revenues derived from the sale of inverters, represented 28.2%, 27.5% and 46.2% of our total revenues, respectively.</w:t>
      </w:r>
    </w:p>
    <w:p>
      <w:pPr>
        <w:spacing w:after="0" w:line="158"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i w:val="1"/>
          <w:iCs w:val="1"/>
          <w:color w:val="auto"/>
        </w:rPr>
        <w:t>Our Inverter Technology</w:t>
      </w:r>
      <w:r>
        <w:rPr>
          <w:rFonts w:ascii="Times New Roman" w:cs="Times New Roman" w:eastAsia="Times New Roman" w:hAnsi="Times New Roman"/>
          <w:sz w:val="16"/>
          <w:szCs w:val="16"/>
          <w:color w:val="auto"/>
        </w:rPr>
        <w:t>: Most of our inverters are designed for single -stage DC/AC conversion. Using our inverter in combination with the Power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Optimizers allows the inverter control loop to maintain a regulated DC voltage level at its input, thereby enabling the inclusion of long, uneven, and multi-faceted strings of solar modules while also enabling custom, cost efficient, and reliable inverter design and component selection.</w:t>
      </w:r>
    </w:p>
    <w:p>
      <w:pPr>
        <w:spacing w:after="0" w:line="157"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Our inverters’ digital control algorithms are implemented using programmable digital signal processors which allow for flexibility and the adaptation of control loops for various grids and for the requirements and standards of different grid operators across geographies. We have already implemented the control mechanisms necessary to support advanced grid codes and standards that are required to support high penetration of solar energy into utility grids. We continue to develop and manufacture our own DSP (ASIC) in our inverters which enables us to improve the performance of our control loops, increase our cost savings and reduce dependence on third party suppliers. The DSP (ASIC) performs the critical power analysis and power conversion control functions of the inverter. Additionally, our digital control system uses technology that is designed to allow the inverter to anticipate and adapt to changing operating conditions, and to protect itself against system anomalies as well as comply with applicable regulations in the different regions in which we operate.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9" w:name="page10"/>
    <w:bookmarkEnd w:id="9"/>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DSP (ASIC) is also in charge of our PLC networking link between the inverter and the optimizers. Our PLC uses a proprietary networking technology that we developed, utilizing the existing DC wiring between the Power Optimizers and the inverter to transmit and receive data and commands between these devices.</w:t>
      </w:r>
    </w:p>
    <w:p>
      <w:pPr>
        <w:spacing w:after="0" w:line="158"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have developed and continue to develop in-house design and manufacturing capabilities for several major passive components, such as magnetic components, in order to decrease dependence on suppliers, improve component performance, reduce costs and have better control over our production processes.</w:t>
      </w:r>
    </w:p>
    <w:p>
      <w:pPr>
        <w:spacing w:after="0" w:line="15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i w:val="1"/>
          <w:iCs w:val="1"/>
          <w:color w:val="auto"/>
        </w:rPr>
        <w:t>Our Inverter Product Roadmap</w:t>
      </w:r>
      <w:r>
        <w:rPr>
          <w:rFonts w:ascii="Times New Roman" w:cs="Times New Roman" w:eastAsia="Times New Roman" w:hAnsi="Times New Roman"/>
          <w:sz w:val="16"/>
          <w:szCs w:val="16"/>
          <w:color w:val="auto"/>
        </w:rPr>
        <w:t>: Our inverter roadmap includes both new products as well as additional capabilities for existing inverters. Our inverter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roadmap is intended to serve four main purposes: (i) expand addressable markets (ii) improve electronic design: increase total power throughput while minimally changing the existing enclosure, thereby reducing cost per watt and increasing economies of scale; (iii) simplify and enhance ease of installation: integrate additional functionality required in certain installations to reduce costs of additional hardware and subcontractors’ labor costs; and (iv) improve the residential inverter's functionality.We are in the final stages of the development of our next-generation SolarEdge Nexis Inverters for single phase and three phase systems, which is now in the process of being launched. We plan to begin offering the new SolarEdge Nexis Inverter 3ph which is designed to provide between 8-20 kW to address the three phase residential market and the SolarEdge Nexis Inverter 1ph designed to provide 3.8-13 kW to address the single phase residential market.</w:t>
      </w:r>
    </w:p>
    <w:p>
      <w:pPr>
        <w:spacing w:after="0" w:line="169" w:lineRule="exact"/>
        <w:rPr>
          <w:sz w:val="20"/>
          <w:szCs w:val="20"/>
          <w:color w:val="auto"/>
        </w:rPr>
      </w:pPr>
    </w:p>
    <w:p>
      <w:pPr>
        <w:jc w:val="both"/>
        <w:ind w:firstLine="576"/>
        <w:spacing w:after="0" w:line="292" w:lineRule="auto"/>
        <w:rPr>
          <w:sz w:val="20"/>
          <w:szCs w:val="20"/>
          <w:color w:val="auto"/>
        </w:rPr>
      </w:pPr>
      <w:r>
        <w:rPr>
          <w:rFonts w:ascii="Times New Roman" w:cs="Times New Roman" w:eastAsia="Times New Roman" w:hAnsi="Times New Roman"/>
          <w:sz w:val="15"/>
          <w:szCs w:val="15"/>
          <w:color w:val="auto"/>
        </w:rPr>
        <w:t>We plan to introduce our MultiRange Concept, which is designed to simplify the way our customers stock, sell, install, and service SolarEdge inverters. This is part of our ongoing efforts to save time, reduce complexity, and grow profitably with our products. With the MultiRange Concept, select residential and commercial inverters will be able to support multiple power ratings rather than be limited to one power setting. While the inverters are stocked, the inverter power rating remains undefined. Installers only need to configure the inverter power onsite, during the commissioning process using our SolarEdge Go mobile app. This concept is intended to lessen the amount of overall part numbers and simplify inventory management. Each inverter can support multiple job sizes.</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Storage Solutions.</w:t>
      </w:r>
    </w:p>
    <w:p>
      <w:pPr>
        <w:spacing w:after="0" w:line="21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For the Residential Market</w:t>
      </w:r>
      <w:r>
        <w:rPr>
          <w:rFonts w:ascii="Times New Roman" w:cs="Times New Roman" w:eastAsia="Times New Roman" w:hAnsi="Times New Roman"/>
          <w:sz w:val="16"/>
          <w:szCs w:val="16"/>
          <w:color w:val="auto"/>
        </w:rPr>
        <w:t>: The SolarEdge Home Battery 400V, our DC-coupled, 10kWh, single-phase battery (scales up to 3 batteries per inverter)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integrates with our single phase SolarEdge Home Hub and Wave family of inverters. We also offer the SolarEdge Home Battery 48V, our DC-coupled, 4.6/4.85kWh (can scale up to 5 battery modules per inverter) battery that integrates with our three phase SolarEdge Home Hub Inverters. When connected with our SolarEdge Home Backup Interface (BUI), with either of our single and three-phase inverters, the SolarEdge Home Battery aims to provide homeowners the ability to power their homes even when the grid is off for anywhere from several hours to several days, depending on use of loads and available sunlight during the outage. The battery also works in tandem with the SolarEdge ONE energy optimization system to optimize the use of solar energy in locations with different types of import and export tariffs scenarios (such as time-of-use and dynamic rates). Our batteries can be connected to our cloud</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based monitoring platform, reporting information on the battery status, solar production, and self-consumption data.</w:t>
      </w:r>
    </w:p>
    <w:p>
      <w:pPr>
        <w:spacing w:after="0" w:line="169"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With the SolarEdge backup solution, power is stored in a battery and can be used during a power outage to power essential devices such as refrigerators, communication devices, lighting, and AC outlets for anywhere from several hours to many days, depending on use of loads and available sunlight during the outage.</w:t>
      </w:r>
    </w:p>
    <w:p>
      <w:pPr>
        <w:spacing w:after="0" w:line="157"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i w:val="1"/>
          <w:iCs w:val="1"/>
          <w:color w:val="auto"/>
        </w:rPr>
        <w:t>Residential Storage Solution - Technology</w:t>
      </w:r>
      <w:r>
        <w:rPr>
          <w:rFonts w:ascii="Times New Roman" w:cs="Times New Roman" w:eastAsia="Times New Roman" w:hAnsi="Times New Roman"/>
          <w:sz w:val="16"/>
          <w:szCs w:val="16"/>
          <w:color w:val="auto"/>
        </w:rPr>
        <w:t>: In 2021, we released our first lithium-ion residential batteries for sale in the U.S. and Europe through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solar distribution channels. Our batteries are composed of lithium cells, a Battery Management System (BMS), bi-directional DC/DC high efficiency converter that facilitates the charging and discharging of the battery, and a user interface. Our DC/DC converter uses digital control algorithms, which are implemented using a programmable digital signal processor. Our power products, inverters, Power Optimizers, and batteries are connected to the same DC bus, allowing the battery to be directly charged by the DC current generated by the Power Optimizers without AC conversion, thereby reducing the round-trip efficiency of PV generated power provided from batteries the AC loads.</w:t>
      </w:r>
    </w:p>
    <w:p>
      <w:pPr>
        <w:spacing w:after="0" w:line="168"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i w:val="1"/>
          <w:iCs w:val="1"/>
          <w:color w:val="auto"/>
        </w:rPr>
        <w:t>Residential Storage Solution - Product Roadmap</w:t>
      </w:r>
      <w:r>
        <w:rPr>
          <w:rFonts w:ascii="Times New Roman" w:cs="Times New Roman" w:eastAsia="Times New Roman" w:hAnsi="Times New Roman"/>
          <w:sz w:val="16"/>
          <w:szCs w:val="16"/>
          <w:color w:val="auto"/>
        </w:rPr>
        <w:t>: Our residential storage solution, launched in 2021, is designed to integrate with our single phase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 phase inverters to provide optimal energy management, maximum efficiency, longer backup times and increased ease of use for homeowners.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10" w:name="page11"/>
    <w:bookmarkEnd w:id="10"/>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plan to begin offering a new SolarEdge Nexis Battery, our DC-coupled, 4.65 kWh battery (scaling up to 78.4 kWh per inverter) that integrates with both our single phase and our three phase SolarEdge Nexis Inverters. When connected to the SolarEdge Home Backup Interface (in Europe) and SolarEdge IslanDERTM (in North America), the SolarEdge Nexis Battery is designed to provide homeowners the ability to power their homes even when the grid is off for anywhere from several hours to many days, depending on use of loads and available sunlight during the outage.</w:t>
      </w:r>
    </w:p>
    <w:p>
      <w:pPr>
        <w:spacing w:after="0" w:line="162"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For the Commercial market</w:t>
      </w:r>
      <w:r>
        <w:rPr>
          <w:rFonts w:ascii="Times New Roman" w:cs="Times New Roman" w:eastAsia="Times New Roman" w:hAnsi="Times New Roman"/>
          <w:sz w:val="16"/>
          <w:szCs w:val="16"/>
          <w:color w:val="auto"/>
        </w:rPr>
        <w:t>: The SolarEdge CSS-OD solution, suitable for indoor or outdoor installations, includes the CSS-OD 102.4 (102.4 kilowatt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hour) and CSS-OD 197 (197 kilowatt hour) batteries scalable up to megawatt hour ("MWh") size sites. Each model consists of a pre-assembled battery cabinet and one or two battery inverters (depending on the model) and includes advanced safety features. The CSS-OD connects with the SolarEdge PV system and is managed by the SolarEdge ONE for C&amp;I energy optimization platform, which controls the battery’s functionality to support various use cases such as maximum self-consumption, peak shaving and more, for maximum electricity savings.</w:t>
      </w:r>
    </w:p>
    <w:p>
      <w:pPr>
        <w:spacing w:after="0" w:line="165"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The CSS-OD solution also supports backup power by integrating with the CSS-OD back up unit, or BUI, which is available in some countries. It is designed to avoid downtime with uninterrupted power supply, ensuring continuous business operations during unplanned outages or challenging grid conditions such as load shedding.</w:t>
      </w:r>
    </w:p>
    <w:p>
      <w:pPr>
        <w:spacing w:after="0" w:line="15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For small-scale indoor/outdoor commercial sites, we also offer our modular SolarEdge 48V battery. Scaling up to 69kW per hour per site, this battery supports new and existing PV installations connected to three-phase SolarEdge commercial inverters. This on-grid storage solution can enable system owners to reduce their electricity costs by storing excess solar production in the battery for maximizing self-consumption and by boosting their resilience to volatile electricity prices.</w:t>
      </w:r>
    </w:p>
    <w:p>
      <w:pPr>
        <w:spacing w:after="0" w:line="162"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i w:val="1"/>
          <w:iCs w:val="1"/>
          <w:color w:val="auto"/>
        </w:rPr>
        <w:t>Commercial Storage Solution - Technology</w:t>
      </w:r>
      <w:r>
        <w:rPr>
          <w:rFonts w:ascii="Times New Roman" w:cs="Times New Roman" w:eastAsia="Times New Roman" w:hAnsi="Times New Roman"/>
          <w:sz w:val="16"/>
          <w:szCs w:val="16"/>
          <w:color w:val="auto"/>
        </w:rPr>
        <w:t>: We offer commercial and industrial battery storage solutions through our CSS-OD product family,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the 102.4kWh-rated CSS-OD 102.4 and the 197kWh-rated CSS-OD 197. Designed for indoor and outdoor deployment, including operation in harsh environments, both battery systems are delivered in pre -assembled enclosures to minimize onsite work and reduce installation faults. The CSS-OD 102.4 incorporates a 50kW inverter and can support connection of up to two batteries per commercial inverter for MWh- scale sites, while the CSS-OD 197 provides higher energy density, with 50kW or 100kW inverter capacity, and storage capacity scaling up to 4MWh per site, addressing the needs of larger applications. Both solutions are designed to integrate with the SolarEdge commercial PV ecosystem and are managed through SolarEdge ONE for C&amp;I, enabling optimized energy utilization and cost reduction.</w:t>
      </w:r>
    </w:p>
    <w:p>
      <w:pPr>
        <w:spacing w:after="0" w:line="167"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Our CSS-OD battery systems are incorporate built-in, multi-layered safety technologies meant to address potential risks across cell, module, cluster, and cabinet levels, creating a comprehensive safety framework that safeguards the system and the site. The CSS-OD meets multiple battery safety standards including UL9540A (that measures fire, gas emissions, and explosion risks) and IEC 62619 (covering industrial lithium-ion batteries).</w:t>
      </w:r>
    </w:p>
    <w:p>
      <w:pPr>
        <w:spacing w:after="0" w:line="156"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At the cell and module levels, protection mechanisms focus on early risk prevention through continuous monitoring of key parameters, such as voltage and temperature. At the cluster level, integrated detection and response technologies—including fire, smoke, and environmental sensors—monitor and regulate groups of battery modules, with the CSS-OD 197 incorporating enhanced detection and suppression capabilities to support higher energy density deployments. At the cabinet level, each system provides physical and environmental protection for the battery enclosure, supported by thermal management and system monitoring. Our built-in battery enclosure HVAC system is designed to protect internal components, and module-level fire detection mechanisms and multiple electrical safeguards such as Dual DC Relays and DC Breakers (MCCB) work to isolate faults in connected energy modules. Software-driven safety measures, including real-time alerts, diagnostics, and secure cloud connectivity, further enhance system protection and operational resilience.</w:t>
      </w:r>
    </w:p>
    <w:p>
      <w:pPr>
        <w:spacing w:after="0" w:line="167"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Both CSS-OD models can be connected to our SolarEdge ONE for the C&amp;I platform, for cloud-based operation, maintenance, and monitoring. It can present the operational status and alerts from cell to cabinet level and consolidates data and alerts for both the PV system and CSS- OD battery. The ONE for C&amp;I platform is designed to ensure the CSS-OD storage solution is leveraged in an optimized manner, by intelligently combining site-level production and consumption patterns with factors such as weather conditions, electricity prices, and local feed-in tariffs. It combines with the SolarEdge ONE Controller to manage energy storage and discharge.</w:t>
      </w:r>
    </w:p>
    <w:p>
      <w:pPr>
        <w:spacing w:after="0" w:line="165"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i w:val="1"/>
          <w:iCs w:val="1"/>
          <w:color w:val="auto"/>
        </w:rPr>
        <w:t>Commercial Storage Solution - Product Roadmap</w:t>
      </w:r>
      <w:r>
        <w:rPr>
          <w:rFonts w:ascii="Times New Roman" w:cs="Times New Roman" w:eastAsia="Times New Roman" w:hAnsi="Times New Roman"/>
          <w:sz w:val="16"/>
          <w:szCs w:val="16"/>
          <w:color w:val="auto"/>
        </w:rPr>
        <w:t>: In 2025, we extended our commercial storage solution portfolio with the release of our 197kWh-rated SolarEdge CSS-OD 197 with 50kW or 10kW inverter capacity and storage capacity scaling up to 4MWh per site. We plan to introduce an indoor/outdoor 107.52 kWh-rated SolarEdge CSS -OD 107 storage solution. Similar to the previous CSS -OD models, it includes advanced battery safety technologies designed to protect against thermal runway events, ensure safe electrical operation and safeguard internal components, and is delivered in a pre-assembled enclosure to minimize onsite work and reduce installation faults. The CSS-OD 107 incorporates a next generation 30kW or 50kW battery inverter designed to deliver built-in backup capabilities, transformerless off-grid operation and phase-independent control for stable system performance.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6"/>
          <w:szCs w:val="16"/>
          <w:b w:val="1"/>
          <w:bCs w:val="1"/>
          <w:color w:val="auto"/>
        </w:rPr>
        <w:t>EV Chargers and Software management of EV charging.</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Product Offering: </w:t>
      </w:r>
      <w:r>
        <w:rPr>
          <w:rFonts w:ascii="Times New Roman" w:cs="Times New Roman" w:eastAsia="Times New Roman" w:hAnsi="Times New Roman"/>
          <w:sz w:val="16"/>
          <w:szCs w:val="16"/>
          <w:color w:val="auto"/>
        </w:rPr>
        <w:t>We sell EV chargers for residential and commercial applications which allow the system owner to redirect excess PV energy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charge electric vehicles. This product enables consumers to increase their self-consumption of clean energy. The SolarEdge ONE smart energy optimization system can be programmed to automatically charge the EVs using energy generated at the most advantageous times and the optimal economically efficient rates.</w:t>
      </w:r>
    </w:p>
    <w:p>
      <w:pPr>
        <w:spacing w:after="0" w:line="162"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April 2024, we completed the acquisition of all outstanding shares in Wevo Energy Ltd., (formerly known as Weev Energy B.F Ltd) (“Wevo”). Wevo is a software company specializing in EV charging optimization and management for sites with large quantities of EV chargers such as apartment buildings, workplace parking lots, and public charging locations. The Wevo solution integrates between on-site solar generation, battery storage and large-scale EV charging.</w:t>
      </w:r>
    </w:p>
    <w:p>
      <w:pPr>
        <w:spacing w:after="0" w:line="164"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September 2025, we introduced the SolarEdge ONE EV Charger, suitable for both residential and commercial installations. Designed for flexible installations and long-term reliability, it supports both single- and three-phase installations, with indoor/outdoor compatibility and socket or tethered configurations. The SolarEdge ONE EV Charger is available in two models, standard and Pro. The SolarEdge ONE EV Charger is designed to integrate seamlessly with the SolarEdge product ecosystem.</w:t>
      </w:r>
    </w:p>
    <w:p>
      <w:pPr>
        <w:spacing w:after="0" w:line="160"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Smart Energy Products. </w:t>
      </w:r>
      <w:r>
        <w:rPr>
          <w:rFonts w:ascii="Times New Roman" w:cs="Times New Roman" w:eastAsia="Times New Roman" w:hAnsi="Times New Roman"/>
          <w:sz w:val="16"/>
          <w:szCs w:val="16"/>
          <w:color w:val="auto"/>
        </w:rPr>
        <w:t>As the solar energy industry evolves, SolarEdge has and continues to develop innovative solutions to further enhance smart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energy technology.</w:t>
      </w:r>
    </w:p>
    <w:p>
      <w:pPr>
        <w:spacing w:after="0" w:line="137" w:lineRule="exact"/>
        <w:rPr>
          <w:sz w:val="20"/>
          <w:szCs w:val="20"/>
          <w:color w:val="auto"/>
        </w:rPr>
      </w:pPr>
    </w:p>
    <w:p>
      <w:pPr>
        <w:jc w:val="both"/>
        <w:ind w:firstLine="576"/>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Smart Energy Management Systems. </w:t>
      </w:r>
      <w:r>
        <w:rPr>
          <w:rFonts w:ascii="Times New Roman" w:cs="Times New Roman" w:eastAsia="Times New Roman" w:hAnsi="Times New Roman"/>
          <w:sz w:val="16"/>
          <w:szCs w:val="16"/>
          <w:color w:val="auto"/>
        </w:rPr>
        <w:t>We have developed smart energy management software and capabilities that integrate seamlessly with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hardware solutions. These tools are designed to enable system owners to store solar energy at cost</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effective times by controlling the timing of their PV energy consumption, increasing energy independence, taking advantage of time</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of</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use rates, reducing electricity bills, and improving overall system ROI.</w:t>
      </w:r>
    </w:p>
    <w:p>
      <w:pPr>
        <w:spacing w:after="0" w:line="156"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SolarEdge ONE for Residential is an energy optimization system, designed for a dynamic energy landscape. It deploys a personalized 24-hour home energy plan that adapts to real-time market and weather changes, optimizing how homeowners use, store &amp; sell their PV power to maximize savings. ONE is based on AI algorithms that gather &amp; process data from three sources: external data (weather forecasts, utility rates), internal data (homeowner usage patterns &amp; PV system parameters), and homeowner preferences and schedules. SolarEdge ONE is designed to adapt to dynamic or peak rates tariffs, optimize negative rates, facilitate VPP participation, and maximize self-consumption &amp; backup duration, while synchronizing with site data &amp; correcting itself in real-time.</w:t>
      </w:r>
    </w:p>
    <w:p>
      <w:pPr>
        <w:spacing w:after="0" w:line="165"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SolarEdge ONE for Residential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Product Roadmap</w:t>
      </w:r>
      <w:r>
        <w:rPr>
          <w:rFonts w:ascii="Times New Roman" w:cs="Times New Roman" w:eastAsia="Times New Roman" w:hAnsi="Times New Roman"/>
          <w:sz w:val="16"/>
          <w:szCs w:val="16"/>
          <w:color w:val="auto"/>
        </w:rPr>
        <w:t>: We are developing new features and capabilities for the smart energy management solutions.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instance, our SolarEdge ONE Controller, is designed to enable the homeowner to run and manage their most energy-intensive devices on excess solar energy.</w:t>
      </w:r>
    </w:p>
    <w:p>
      <w:pPr>
        <w:spacing w:after="0" w:line="143"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have introduced smart energy and fleet management platforms for the commercial market with the SolarEdge ONE Controller for C&amp;I. It is a local communication gateway that is designed to optimize energy use across commercial facilities for lower electricity costs. The SolarEdge ONE Controller integrates the site’s energy infrastructure including PV inverters, batteries, sensors, meters, and other energy equipment, enabling real-time monitoring and control. It also acts as a cyber gateway, meant to protect against unauthorized system access.</w:t>
      </w:r>
    </w:p>
    <w:p>
      <w:pPr>
        <w:spacing w:after="0" w:line="160"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SolarEdge Software Solutions. </w:t>
      </w:r>
      <w:r>
        <w:rPr>
          <w:rFonts w:ascii="Times New Roman" w:cs="Times New Roman" w:eastAsia="Times New Roman" w:hAnsi="Times New Roman"/>
          <w:sz w:val="16"/>
          <w:szCs w:val="16"/>
          <w:color w:val="auto"/>
        </w:rPr>
        <w:t>We offer a variety of professional software tools to support the complete PV system planning, installation, monitoring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maintenance processes of our DC optimized inverter solutions:</w:t>
      </w:r>
    </w:p>
    <w:p>
      <w:pPr>
        <w:spacing w:after="0" w:line="139"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i w:val="1"/>
          <w:iCs w:val="1"/>
          <w:color w:val="auto"/>
        </w:rPr>
        <w:t>Monitoring Platform</w:t>
      </w:r>
      <w:r>
        <w:rPr>
          <w:rFonts w:ascii="Times New Roman" w:cs="Times New Roman" w:eastAsia="Times New Roman" w:hAnsi="Times New Roman"/>
          <w:sz w:val="16"/>
          <w:szCs w:val="16"/>
          <w:color w:val="auto"/>
        </w:rPr>
        <w:t>. The SolarEdge monitoring platform is a cloud-based monitoring platform which collects power, voltage, current temperature,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data sent from SolarEdge inverters and Power Optimizers and allows users to view the data pertaining to their SolarEdge site/s at the module level, string level, inverter level and system level. The monitoring platform is accessible from most browsers and from most smart phones and tablets. The monitoring software continuously analyzes data and flags potential issues. The monitoring software includes features which are used routinely by integrators, installers, maintenance staff, and system owners to improve a PV system’s performance. In 2025, we started migrating our commercial customers from the legacy Monitoring Platform to the SolarEdge ONE energy optimization platform, featuring new, that enable improved performance analysis, monitoring, and management capabilities across SolarEdge commercial fleets.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12" w:name="page13"/>
    <w:bookmarkEnd w:id="12"/>
    <w:p>
      <w:pPr>
        <w:jc w:val="both"/>
        <w:ind w:firstLine="576"/>
        <w:spacing w:after="0" w:line="298" w:lineRule="auto"/>
        <w:rPr>
          <w:sz w:val="20"/>
          <w:szCs w:val="20"/>
          <w:color w:val="auto"/>
        </w:rPr>
      </w:pPr>
      <w:r>
        <w:rPr>
          <w:rFonts w:ascii="Times New Roman" w:cs="Times New Roman" w:eastAsia="Times New Roman" w:hAnsi="Times New Roman"/>
          <w:sz w:val="16"/>
          <w:szCs w:val="16"/>
          <w:i w:val="1"/>
          <w:iCs w:val="1"/>
          <w:color w:val="auto"/>
        </w:rPr>
        <w:t>mySolarEdge app</w:t>
      </w:r>
      <w:r>
        <w:rPr>
          <w:rFonts w:ascii="Times New Roman" w:cs="Times New Roman" w:eastAsia="Times New Roman" w:hAnsi="Times New Roman"/>
          <w:sz w:val="16"/>
          <w:szCs w:val="16"/>
          <w:color w:val="auto"/>
        </w:rPr>
        <w:t>. The mySolarEdge application enables system owners to track their real-time system production and household energy consumption,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view their inverter and battery status for quick analysis, and control the battery's back-up configuration, all from their mobile phones.</w:t>
      </w:r>
    </w:p>
    <w:p>
      <w:pPr>
        <w:spacing w:after="0" w:line="14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i w:val="1"/>
          <w:iCs w:val="1"/>
          <w:color w:val="auto"/>
        </w:rPr>
        <w:t>SolarEdge Go app</w:t>
      </w:r>
      <w:r>
        <w:rPr>
          <w:rFonts w:ascii="Times New Roman" w:cs="Times New Roman" w:eastAsia="Times New Roman" w:hAnsi="Times New Roman"/>
          <w:sz w:val="16"/>
          <w:szCs w:val="16"/>
          <w:color w:val="auto"/>
        </w:rPr>
        <w:t>. The SolarEdge Go app is a mobile application designed for SolarEdge installers, integrating installation, management, and service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capabilities into a single platform. This comprehensive app allows installers to manage their fleets efficiently by providing real-time alerts, equipment management, and user administration. It also offers remote service and operation features, including diagnosis, troubleshooting, and configuration, which help minimize downtime and reduce the need for on-site visits. Additionally, SolarEdge Go simplifies the commissioning process with an intuitive step-by-step “wizard” and detailed reports, ensuring streamlined installations. This app enhances the overall installer experience by consolidating multiple functionalities into one tool, making it convenient for installers to monitor and manage their entire fleet. We intend for SolarEdge Go to replace our legacy SetApp mobile app for all residential and commercial site installation commissioning.</w:t>
      </w:r>
    </w:p>
    <w:p>
      <w:pPr>
        <w:spacing w:after="0" w:line="167"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i w:val="1"/>
          <w:iCs w:val="1"/>
          <w:color w:val="auto"/>
        </w:rPr>
        <w:t>SolarEdge Designer Platform</w:t>
      </w:r>
      <w:r>
        <w:rPr>
          <w:rFonts w:ascii="Times New Roman" w:cs="Times New Roman" w:eastAsia="Times New Roman" w:hAnsi="Times New Roman"/>
          <w:sz w:val="16"/>
          <w:szCs w:val="16"/>
          <w:color w:val="auto"/>
        </w:rPr>
        <w:t>. Our Designer Platform is a web-based tool that helps solar professionals plan, build, simulate, and validate residential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commercial systems from inception to installation.</w:t>
      </w:r>
    </w:p>
    <w:p>
      <w:pPr>
        <w:spacing w:after="0" w:line="140"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i w:val="1"/>
          <w:iCs w:val="1"/>
          <w:color w:val="auto"/>
        </w:rPr>
        <w:t xml:space="preserve">SolarEdge Designer Platform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Product Roadmap</w:t>
      </w:r>
      <w:r>
        <w:rPr>
          <w:rFonts w:ascii="Times New Roman" w:cs="Times New Roman" w:eastAsia="Times New Roman" w:hAnsi="Times New Roman"/>
          <w:sz w:val="16"/>
          <w:szCs w:val="16"/>
          <w:color w:val="auto"/>
        </w:rPr>
        <w:t>: Over the course of 2025, we released several major features designed to enhance the system design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sales experience, including:</w:t>
      </w:r>
    </w:p>
    <w:p>
      <w:pPr>
        <w:spacing w:after="0" w:line="132" w:lineRule="exact"/>
        <w:rPr>
          <w:sz w:val="20"/>
          <w:szCs w:val="20"/>
          <w:color w:val="auto"/>
        </w:rPr>
      </w:pPr>
    </w:p>
    <w:p>
      <w:pPr>
        <w:ind w:left="860" w:hanging="216"/>
        <w:spacing w:after="0" w:line="244"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Importing existing sites from our monitoring software directly into Designer - complete with all equipment and real consumption data – to quickly plan customer upgrades or expansions e.g. adding more PV modules or batteries to an existing system;</w:t>
      </w:r>
    </w:p>
    <w:p>
      <w:pPr>
        <w:ind w:left="860" w:hanging="216"/>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smart battery sizing recommendations, tailored to desired capacity and performance targets, when adding storage to SolarEdge PV sites. Users can view and compare multiple optimized options side by side, making it easy to choose the best solution at a glance; and</w:t>
      </w:r>
    </w:p>
    <w:p>
      <w:pPr>
        <w:ind w:left="860" w:hanging="216"/>
        <w:spacing w:after="0" w:line="270"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AC and DC cabling calculation and visualization across the electric design, that automatically feed into string reports and losses diagram (gradual roll out).</w:t>
      </w:r>
    </w:p>
    <w:p>
      <w:pPr>
        <w:spacing w:after="0" w:line="156"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i w:val="1"/>
          <w:iCs w:val="1"/>
          <w:color w:val="auto"/>
        </w:rPr>
        <w:t>Mapper Application</w:t>
      </w:r>
      <w:r>
        <w:rPr>
          <w:rFonts w:ascii="Times New Roman" w:cs="Times New Roman" w:eastAsia="Times New Roman" w:hAnsi="Times New Roman"/>
          <w:sz w:val="16"/>
          <w:szCs w:val="16"/>
          <w:color w:val="auto"/>
        </w:rPr>
        <w:t>. The mapper application provides SolarEdge installers with an efficient, streamlined process for registering the physical layout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PV sites installed with SolarEdge DC optimized inverter systems in the SolarEdge Monitoring Platform. Installers can use the Mapper application to scan SolarEdge Power Optimizer and SolarEdge inverter barcodes, creating a virtual map of the PV site in the monitoring platform. The map may later help facilitate remote diagnostics thereby enabling enhanced customer support and reducing maintenance costs for installers and SolarEdge system owners.</w:t>
      </w:r>
    </w:p>
    <w:p>
      <w:pPr>
        <w:spacing w:after="0" w:line="16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SetApp Application. </w:t>
      </w:r>
      <w:r>
        <w:rPr>
          <w:rFonts w:ascii="Times New Roman" w:cs="Times New Roman" w:eastAsia="Times New Roman" w:hAnsi="Times New Roman"/>
          <w:sz w:val="16"/>
          <w:szCs w:val="16"/>
          <w:color w:val="auto"/>
        </w:rPr>
        <w:t>The SetApp application is used to activate and configure SolarEdge inverters during commissioning directly through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smartphone. This application is designed to simplify and expedite installations. We plan to replace our SetApp application with SolarEdge Go, for all residential and commercial site installations as well as for commissioning activities.</w:t>
      </w:r>
    </w:p>
    <w:p>
      <w:pPr>
        <w:spacing w:after="0" w:line="159"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i w:val="1"/>
          <w:iCs w:val="1"/>
          <w:color w:val="auto"/>
        </w:rPr>
        <w:t>SetApp Application - Product Roadmap</w:t>
      </w:r>
      <w:r>
        <w:rPr>
          <w:rFonts w:ascii="Times New Roman" w:cs="Times New Roman" w:eastAsia="Times New Roman" w:hAnsi="Times New Roman"/>
          <w:sz w:val="16"/>
          <w:szCs w:val="16"/>
          <w:color w:val="auto"/>
        </w:rPr>
        <w:t>: We continue to improve our software offering portfolio with the introduction of new tools and features. We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developing algorithms that detect and pinpoint problems that can affect power production in field systems. In addition, we are expanding the capabilities of our public Application Programming Interfaces (APIs) to enable third</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party developers, partners, and customers to integrate our systems into their own applications and workflows. These expanded APIs will allow users to build, deploy, and share innovative solutions leveraging the monitoring and operational data generated by our software platforms.</w:t>
      </w:r>
    </w:p>
    <w:p>
      <w:pPr>
        <w:spacing w:after="0" w:line="163"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Grid Services. </w:t>
      </w:r>
      <w:r>
        <w:rPr>
          <w:rFonts w:ascii="Times New Roman" w:cs="Times New Roman" w:eastAsia="Times New Roman" w:hAnsi="Times New Roman"/>
          <w:sz w:val="16"/>
          <w:szCs w:val="16"/>
          <w:color w:val="auto"/>
        </w:rPr>
        <w:t>As energy production is transitioning from a centralized system to a distributed network model, where energy is produced and stored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close to the location in which it is consumed. This model creates an opportunity for new interconnected and decentralized energy networks offering improved grid reliability and stability, new energy service and reduction in grid infrastructure costs. SolarEdge grid services deliver near real-time aggregated control and data reporting, enabling the pooling of distributed energy resources - photovoltaic systems, battery storage and electric vehicle chargers, in the cloud for the creation of VPPs. The SolarEdge grid services and VPP solution provide management platforms to enable near real-time, aggregated control of available energy resources to meet ever-changing supply needs and demand. Our Virtual Power Plant program interfaces (APIs) are used by our partners for countering peak demand events and for participating in various electricity markets. In 2025, SolarEdge continued to sell grid services, mainly in the U.S., including services provided to independent system operators, energy retailers, national installers and others.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Product Portfolio Evolution.</w:t>
      </w:r>
    </w:p>
    <w:p>
      <w:pPr>
        <w:spacing w:after="0" w:line="21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continuously evaluate opportunities to expand our core product offerings and services to our customers. We may from time to time develop new products or services that are a natural extension of our core products and existing business, or may engage in acquisitions of businesses or product lines with the potential to strengthen our market position, enable us to enter attractive markets, expand our technological capabilities, or provide synergistic opportunities. In parallel, we also evaluate and, when appropriate, divest or discontinue non</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core product lines, such as our recent divestitures from our Energy Storage Department and our PV tracker business, to maintain a company wide focus on our core offerings.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 Strategy</w:t>
      </w:r>
    </w:p>
    <w:p>
      <w:pPr>
        <w:spacing w:after="0" w:line="218"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We remain open to penetrating new geographic regions and increasing our market share.</w:t>
      </w:r>
    </w:p>
    <w:p>
      <w:pPr>
        <w:spacing w:after="0" w:line="156"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target our sales and marketing efforts to the largest distributors, electrical equipment wholesalers, EPC contractors and installers in each of the countries where we operate. Our products are carried and actively sold by most of the top PV distributors as well as some of the largest electrical distribution companies. As of December 31, 2025, based on the number of installer accounts on our monitoring portal, over 93,000 installers around the world have installed SolarEdge PV systems.</w:t>
      </w:r>
    </w:p>
    <w:p>
      <w:pPr>
        <w:spacing w:after="0" w:line="162"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Additionally, as further detailed below, we offer several programs focused on educating installers and other industry professionals about our technology, and we use a combination of road shows, webinars, and partner trainings to teach them how to best design, sell, and implement our technology in their projects.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218"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derive a significant portion of our revenues from key solar distributors, electrical equipment wholesalers and large installers in the U.S. and worldwide. In 2025, one of our customers, Consolidated Electrical Distributors, Inc, represented 18.6% of our revenues. None of our other customers accounted for more than ten percent of our revenues in the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Training and Customer Support</w:t>
      </w:r>
    </w:p>
    <w:p>
      <w:pPr>
        <w:spacing w:after="0" w:line="21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We offer our installer base a comprehensive package of customer support and training services which include pre-sales support, ongoing trainings, and technical support before, during, and after installation based on our global operation structure. We also provide customized support programs to large installers and distributors to help prioritize and track support issues, thereby enabling short cycle times for issue resolution. In December 2025, we began to roll out new AI</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powered virtual support agents, designed to help resolve common technical inquiries, reduce service wait times, and provide real</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time troubleshooting and product guidance across phone and chat channels. We also deployed an AI</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driven agent assistant that delivers context</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aware response recommendations to support teams, enhancing service accuracy, consistency, and operational efficiency.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2025, our training portal (Edge Academy) hosted over 161,263 learners.</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2025, 12,162 installers completed our certification programs.</w:t>
      </w:r>
    </w:p>
    <w:p>
      <w:pPr>
        <w:spacing w:after="0" w:line="217" w:lineRule="exact"/>
        <w:rPr>
          <w:sz w:val="20"/>
          <w:szCs w:val="20"/>
          <w:color w:val="auto"/>
        </w:rPr>
      </w:pPr>
    </w:p>
    <w:p>
      <w:pPr>
        <w:jc w:val="center"/>
        <w:ind w:right="100"/>
        <w:spacing w:after="0" w:line="508" w:lineRule="auto"/>
        <w:rPr>
          <w:sz w:val="20"/>
          <w:szCs w:val="20"/>
          <w:color w:val="auto"/>
        </w:rPr>
      </w:pPr>
      <w:r>
        <w:rPr>
          <w:rFonts w:ascii="Times New Roman" w:cs="Times New Roman" w:eastAsia="Times New Roman" w:hAnsi="Times New Roman"/>
          <w:sz w:val="16"/>
          <w:szCs w:val="16"/>
          <w:color w:val="auto"/>
        </w:rPr>
        <w:t>In addition to the above, we support our commercial system customers with design consulting throughout their sales process and installation. 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-95250</wp:posOffset>
                </wp:positionV>
                <wp:extent cx="653224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4999pt" to="514.15pt,-7.4999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14" w:name="page15"/>
    <w:bookmarkEnd w:id="14"/>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Our technical support organization includes local expert teams, tech centers, an online service portal, an AI-powered virtual support agent, and live chat service. Our toll- free call and live chat centers are open Monday through Friday at least from 9:00 a.m. to 6:00 p.m. based on our global support operation structure. In addition, customers can open and track support cases 24/7 utilizing our online portal. All support cases are monitored via a customer relationship management system in order to provide service, track closure of all customer issues and further improve our customer service. Our call centers have access to our cloud-based monitoring platform database, which enables real-time remote diagnostics.</w:t>
      </w:r>
    </w:p>
    <w:p>
      <w:pPr>
        <w:spacing w:after="0" w:line="165"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Customer service and satisfaction continue to be a key component of our business offering and we consider it integral to our continued success. We maintain high levels of customer engagement through our call centers in California, India, Bulgaria, Israel, Brazil, Taiwan, Thailand, and Poland. In addition to our call centers, we have field service engineers located in the geographies where we are active, and support our customers with commissioning of large projects, introduction of new technologies and features and on-the-job training of new installers. As of December 31, 2025, our customer support and training organization consisted of 749 employees worldwide.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218" w:lineRule="exact"/>
        <w:rPr>
          <w:sz w:val="20"/>
          <w:szCs w:val="20"/>
          <w:color w:val="auto"/>
        </w:rPr>
      </w:pPr>
    </w:p>
    <w:p>
      <w:pPr>
        <w:jc w:val="both"/>
        <w:ind w:firstLine="576"/>
        <w:spacing w:after="0" w:line="263" w:lineRule="auto"/>
        <w:rPr>
          <w:sz w:val="20"/>
          <w:szCs w:val="20"/>
          <w:color w:val="auto"/>
        </w:rPr>
      </w:pPr>
      <w:r>
        <w:rPr>
          <w:rFonts w:ascii="Times New Roman" w:cs="Times New Roman" w:eastAsia="Times New Roman" w:hAnsi="Times New Roman"/>
          <w:sz w:val="16"/>
          <w:szCs w:val="16"/>
          <w:color w:val="auto"/>
        </w:rPr>
        <w:t>We have designed our manufacturing processes to produce high quality products at competitive costs. The strategy is threefold: outsource, automate, and localize. We currently contract to have our solar products manufactured by two of the world’s leading global electronics manufacturing service providers, Jabil Inc. (“Jabil”) and Flex Ltd. (“Flex”). By using contract manufacturers, we are able to access advanced manufacturing equipment, processes, skills and capacity on a relatively “asset light” budget while remaining flexible in our manufacturing operations and are able to enjoy the CM’s global reach and access to different manufacturing regions. Our contract manufacturers are responsible for funding some of the capital expenses incurred in connection with the manufacture of our products, except with regard to some of the automated optimizer assembly lines, our proprietary end-of-line testing equipment and other specific manufacturing equipment utilized in assembling our products or sub-components which are financed and owned by the Company. We expect to continue this funding arrangement in the future, with respect to any expansions to such existing lines save for circumstances where the direct purchase by us of non-specific manufacturing equipment will result in a substantial reduction in costs in which case we will consider financing such non-specific manufacturing equipment ourselves. In light of the Inflation Reduction Act ("IRA") legislation in the United States which incentivizes the local manufacturing of renewable energy products by providing benefits to installers for the purchase and installation of US-manufactured products, as well as by incentivizing manufacturers of such products domestically, we are manufacturing inverters in Texas, inverters and optimizers in Florida, and are also ramping manufacturing of our batteries in Utah. With the ramp-up of these new sites and as part of an effort to centralize and improve operational activity, we have discontinued manufacturing in China, Mexico, and Hungary. We continue to maintain manufacturing capabilities in Vietnam with a third party manufacturer.</w:t>
      </w:r>
    </w:p>
    <w:p>
      <w:pPr>
        <w:spacing w:after="0" w:line="177"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own manufacturing facility in the North of Israel, is called “Sella 1". The proximity of Sella 1 to our R&amp;D team and labs enables us to accelerate new product development cycles as well as define equipment and manufacturing processes of newly developed products which can then be adopted by our contract manufacturers worldwide.</w:t>
      </w:r>
    </w:p>
    <w:p>
      <w:pPr>
        <w:spacing w:after="0" w:line="159"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SolarEdge is mindful of the transformative impact of automation and AI in manufacturing efficiency and product manufacturing innovation. We are continuously striving to enhance the capabilities of all of our products through cutting-edge advancements in production processes. One significant focus that we have taken on is automating the manufacture of our inverters and optimizers.</w:t>
      </w:r>
    </w:p>
    <w:p>
      <w:pPr>
        <w:spacing w:after="0" w:line="155"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invest resources in l automated assembly lines as well as in automated machinery for subassembly and self-manufacturing of certain components used in our products, and we own and are responsible for funding most of the capital expenses related thereto. The current and expected capital expenses associated with these automated assembly lines and other machinery are funded out of our cash flows.</w:t>
      </w:r>
    </w:p>
    <w:p>
      <w:pPr>
        <w:spacing w:after="0" w:line="156"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We source our raw materials through various component manufacturers and invest resources in continued cost-reduction efforts as well as verifying second and third sources so as to limit dependence on sole suppliers.</w:t>
      </w:r>
    </w:p>
    <w:p>
      <w:pPr>
        <w:spacing w:after="0" w:line="140"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Due to our global presence, we are subject to risk and exposure from the evolving macroeconomic environment. The impact of new or existing tariffs, trade restrictions, or retaliatory actions on our business, the solar industry, and our customers continue to create uncertainty and impact on our operations. We have relocated the majority of our contract manufacturing to the United States, however, certain critical components for our products are still sourced from outside the United States. An escalation in trade tensions or the implementation of broader tariffs, trade restrictions, or retaliatory measures on our products, commodities we require for manufacturing, or components originating from countries outside the United States could adversely impact our ability to source necessary components, manufacture products at competitive cost, or sell our products.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Reliability and Quality Control</w:t>
      </w:r>
    </w:p>
    <w:p>
      <w:pPr>
        <w:spacing w:after="0" w:line="218"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Our Power Optimizers are connected to each PV module (or pair of PV modules) by installers, designed to be as reliable as the PV module itself and capable of withstanding the same operating and environmental conditions.</w:t>
      </w:r>
    </w:p>
    <w:p>
      <w:pPr>
        <w:spacing w:after="0" w:line="14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Our reliability methodology includes a multi-level plan with design analysis, sub-system testing of critical components by Accelerated Life Testing, and integrative testing of design prototypes by Highly Accelerated Life Testing and large sample groups. As part of our reliability efforts, we subject components to industry standard conditions and tests including in accelerated life chambers that simulate burn-in, thermal cycling, damp-heat, and other stresses at large sample size groups. For validation purposes, finished products are tested by simulating accelerated aging through the use of Thermal Cycling, Damp Heat, High Temperature Endurance, Vibration, and HALT (Highly accelerated life test) that combines temperature changes and vibration. Specific additional tests have been developed to assess design changes' impact on reliability. We also conduct out of box audits (OBA) on our finished products. In addition, online reliability tests (ORT) are conducted on our optimizers and we test complete products in stress tests and in the field (alpha tests). Our rigorous testing processes have helped us to develop highly reliable products.</w:t>
      </w:r>
    </w:p>
    <w:p>
      <w:pPr>
        <w:spacing w:after="0" w:line="16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order to verify the quality of each of our products when it leaves the manufacturing plant, each component, sub-assembly, and final product are tested multiple times during production. These tests include Automatic Optical Inspection, In-Circuit Testing, Board -Functional Testing, Safety Testing, and Integrative Stress Testing. We employ a serial number-driven manufacturing process auditing and traceability system that allows us to control production line activities, verify correct manufacturing processes and to achieve item-specific traceability.</w:t>
      </w:r>
    </w:p>
    <w:p>
      <w:pPr>
        <w:spacing w:after="0" w:line="16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As a part of our quality and reliability approach, a portion of failed products from the field are returned and subjected to root cause analysis, the results of which are used to improve our product and manufacturing processes and design and further reduce our field failure rate.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219"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Our products and systems comply with the applicable regulatory requirements of the jurisdictions in which they are sold as well as all other major markets around the world. These include safety regulations, cybersecurity standards, electromagnetic compatibility standards and grid compliance.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devote substantial resources to research and development with the objective of developing new products and systems to our core products, adding new features and reducing unit costs of our products and systems. Our development strategy is to identify software and hardware features, products, and systems that reduce the cost and improve the effectiveness of our solutions for our customers. We measure the effectiveness of our research and development by metrics including product unit cost, efficiency, reliability, power output, and ease of use.</w:t>
      </w:r>
    </w:p>
    <w:p>
      <w:pPr>
        <w:spacing w:after="0" w:line="162"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have a strong research and development team with wide ranging experience in power electronics, semiconductors, power line communications and networking, chemical, mechanical and software engineering. In addition, many members of our research and development team have expertise in solar technologies. As of December 31, 2025 our research and development organization had a headcount of 887 employees.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1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The success of our business depends, in part, on our ability to maintain and protect our proprietary technologies, information, processes, and know-how. We rely primarily on patent, trademark, copyright and trade secrets laws in the U.S. and similar laws in other countries, confidentiality agreements and procedures and other contractual arrangements to protect our technology. As of December 31, 2025, SolarEdge has 518 issued patents worldwide and 219 patent applications pending for examination. A majority of our patents relate to DC power optimization and DC to AC conversion for alternative energy power systems, power system monitoring and control, battery technology and management systems. Our issued patents are scheduled to expire between 2026 and 2044.</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16" w:name="page17"/>
    <w:bookmarkEnd w:id="16"/>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We continually assess opportunities to seek patent protection for those aspects of our technology, designs, and methodologies and processes that we believe provide significant competitive advantages.</w:t>
      </w:r>
    </w:p>
    <w:p>
      <w:pPr>
        <w:spacing w:after="0" w:line="143"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158"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All of our research and development personnel are required to enter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156"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Our customers and business partners are required to enter into confidentiality agreements before we disclose any sensitive aspects of our technology or business plans.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8" w:lineRule="exact"/>
        <w:rPr>
          <w:sz w:val="20"/>
          <w:szCs w:val="20"/>
          <w:color w:val="auto"/>
        </w:rPr>
      </w:pPr>
    </w:p>
    <w:p>
      <w:pPr>
        <w:ind w:right="20" w:firstLine="576"/>
        <w:spacing w:after="0" w:line="300" w:lineRule="auto"/>
        <w:rPr>
          <w:sz w:val="20"/>
          <w:szCs w:val="20"/>
          <w:color w:val="auto"/>
        </w:rPr>
      </w:pPr>
      <w:r>
        <w:rPr>
          <w:rFonts w:ascii="Times New Roman" w:cs="Times New Roman" w:eastAsia="Times New Roman" w:hAnsi="Times New Roman"/>
          <w:sz w:val="16"/>
          <w:szCs w:val="16"/>
          <w:color w:val="auto"/>
        </w:rPr>
        <w:t>The markets for our smart energy and PV products are competitive, and we compete with providers of smart energy solutions, as well as manufacturers of other PV systems. The principal areas in which we compete with other companies include:</w:t>
      </w:r>
    </w:p>
    <w:p>
      <w:pPr>
        <w:spacing w:after="0" w:line="133" w:lineRule="exact"/>
        <w:rPr>
          <w:sz w:val="20"/>
          <w:szCs w:val="20"/>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and system performance and features;</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cost of ownership (TCO);</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reliability and duration of product warranty;</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service and support;</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breadth of product line;</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technological expertise;</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recognition;</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sales and distribution capabilities;</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certifications and grid codes;</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optimize for various electricity tariffs and grid service plans;</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safety features;</w:t>
      </w:r>
    </w:p>
    <w:p>
      <w:pPr>
        <w:spacing w:after="0" w:line="20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of AI features and solutions;</w:t>
      </w:r>
    </w:p>
    <w:p>
      <w:pPr>
        <w:spacing w:after="0" w:line="216"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size and financial stability of operations; and</w:t>
      </w:r>
    </w:p>
    <w:p>
      <w:pPr>
        <w:spacing w:after="0" w:line="215"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size of installed base.</w:t>
      </w:r>
    </w:p>
    <w:p>
      <w:pPr>
        <w:spacing w:after="0" w:line="21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Recent market trends show an increased focus on safety features in rooftop installations, and the emergence of standards that are evolving to address such concerns. In particular, the rapid shutdown (RSD) standards in the US market, have led to the introduction of module-level rapid -shutdown devices from our competitors. We believe the existence of rapid shutdown capabilities built into our Power Optimizers positions us well in this regard, and serves as a competitive advantage. Additionally, we have seen PV module manufacturers introduce larger PV modules with higher power and current levels. This market trend, which comes as a result of PV cell manufacturers introducing larger cell sizes, bi-facial modules, as well as different module build configurations and materials, leads to market interest in higher power rating Power Optimizers, micro inverters, and other MLPE devices. The increasing demand for storage and battery solutions, in both existing and new sites, is an additional noteworthy market trend which is expected to increase the attachment rate of storage to PV installations in the coming years.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17" w:name="page18"/>
    <w:bookmarkEnd w:id="17"/>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Our DC optimized residential system competes principally with solutions from traditional inverter and battery manufacturers, such as Sungrow Power Supply Co., Ltd., Huawei Technologies Co. Ltd., Sigenergy Technology Co., Ltd., and SMA Solar Technology AG., as well as from other, mostly Chinese inverter manufacturers. In the North American residential market, we compete with manufacturers such as Tesla Inc. with traditional string-based solutions, as well as microinverter manufacturers such as Enphase Energy, Inc. In addition, there are several new entrants to the MLPE market, including low-cost Asian manufacturers; as well as software-based energy management solution providers, mainly in the European market.</w:t>
      </w:r>
    </w:p>
    <w:p>
      <w:pPr>
        <w:spacing w:after="0" w:line="16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DC optimized C&amp;I and optimized utility systems compete with solutions from traditional providers of string inverters and batteries, such as SMA Solar Technology AG, Sungrow Power Supply Co., Ltd. Huawei Technologies Co. Ltd, Sigenergy Technology Co., Chint Power Systems America, as well as other C&amp;I battery providers. Our energy management solution also competes with software-based energy management and operations and management platforms and similar platforms by our traditional competitors.</w:t>
      </w:r>
    </w:p>
    <w:p>
      <w:pPr>
        <w:spacing w:after="0" w:line="16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believe that our DC optimized inverter and battery solutions, alongside our energy management, monitoring, design, and load control functions offer significant technology and cost advantages that reflect a competitive differentiation over traditional inverter systems and microinverter technologies, as well as over software-only solution providers.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Incentives</w:t>
      </w:r>
    </w:p>
    <w:p>
      <w:pPr>
        <w:spacing w:after="0" w:line="21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U.S. federal, state, and local government laws, regulations, and bodies as well as non-U.S. government bodies, provide incentives to owners, end users, distributors, and manufacturers of PV and BESS systems to promote solar electricity in the form of rebates, tax credits, lower VAT rate and other financial incentives such as system performance payments, payments for renewable energy credits associated with renewable energy generation, and exclusion of PV systems from property tax assessments. The market for on grid applications, where solar power is used to supplement a customer’s electricity purchased from the utility network or sold to a utility under tariff, often depends in large part on the availability and size of these government subsidies and economic incentives, which vary from time to time by geographic market.</w:t>
      </w:r>
    </w:p>
    <w:p>
      <w:pPr>
        <w:spacing w:after="0" w:line="16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August 2022, the U.S. government enacted IRA, which contains several provisions intended to accelerate U.S. manufacturing and adoption of clean energy such as solar, wind, hydrogen and electric vehicles and therefore had positive impacts on our business and operations along with the overall U.S. solar market. Some of the applicable provisions in the IRA that are positively impacting the market for renewable energy include the extension of 48E, the tech-neutral investment tax credit (“ITC”), and 45Y, the tech-neutral Production Tax Credit (“PTC"). The IRA includes incentives for residential and commercial solar customers and developers through the inclusion of ITCs for qualifying energy projects of up to 30% with a potential to gain further bonus credits such as through the utilization of Domestic Content.</w:t>
      </w:r>
    </w:p>
    <w:p>
      <w:pPr>
        <w:spacing w:after="0" w:line="166"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Section 45X of the Internal Revenue Code (the “Code”), as enacted by the IRA, offers Advanced Manufacturing Production Tax Credits (“AMPTC”s or “45X Credits”) that incentivize the manufacturing of eligible components within the U.S. In light of such incentives, in addition to the benefits to some of our U.S. customers, under the IRA, the Company established manufacturing capabilities in the U.S. in 2023, and further expanded such capabilities in 2024 and 2025. On October 24, 2024, regulations concerning the application of Section 45X were published by the U.S. Treasury Department which contain detailed rules concerning eligibility, qualifying and accounting for AMPTCs.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2025, we sold a significant part of the AMPTCs that we generated from our U.S. production of eligible components. Because these provisions both extend existing law and create new law, guidance concerning their implementation continues to be published by the U.S. Treasury Department and the Internal Revenue Service.</w:t>
      </w:r>
    </w:p>
    <w:p>
      <w:pPr>
        <w:spacing w:after="0" w:line="17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To the extent that tax benefits or credits may be impacted through new regulation, issued guidance, interpretation, or by new laws passed by Congress, our business could be disadvantaged or advantaged. We continue to monitor the benefits that may be available to us, such as the availability of tax credits for domestic manufacturers.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Impact of the H.R.1 on U.S. Tax Incentives</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On July 4, 2025, H.R.1, was enacted into law (“H.R.1.” or the “OBBBA”) introducing amendments to the clean energy tax credits contained in the IRA. The IRA provides energy tax credits that are significant to SolarEdge and its U.S. based customers, and material changes thereto could materially and adversely affect our revenue, our eligibility for certain tax credits, tax credits available to our customers, competitiveness and demand for our products and our financial condition.</w:t>
      </w:r>
    </w:p>
    <w:p>
      <w:pPr>
        <w:spacing w:after="0" w:line="162"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H.R.1 accelerates the phase-out timeline for certain credits, eliminates the 25D credit, and imposes new eligibility criteria. H.R.1 does not shorten the term of 45X Credits. Among other changes, H.R.1 shortens the term of the investment tax credit and production tax credit under Section 48E and 45Y of the Code, used by customers of SolarEdge who are engaged in third-party ownership (“TPO”) models, such as residential solar leases and power purchase agreements, and commercial solar customers and developers, shortening the end date from 2034 to 2027. However, H.R.1 also includes a 12-month period in which such customers can begin construction, giving them four years to complete their projects. Projects begun after twelve months from enactment of H.R.1 must be placed in service by December 31, 2027, to receive the credit. H.R.1 eliminates the individual residential tax credit under Section 25D of the Code at the end of 2025. These changes may negatively impact the eligibility of our customers and individuals to obtain tax credits, which may negatively affect the overall demand for our products. H.R.1 also amends the domestic content bonus credit rules for Section 48E projects. Projects commencing construction after June 16, 2025 must meet a 45% domestic content threshold, up from 40%. Since January 1, 2026, such threshold was increased to 50% and shall thereafter be further increased by 5% on an annual basis until and including 2029.</w:t>
      </w:r>
    </w:p>
    <w:p>
      <w:pPr>
        <w:spacing w:after="0" w:line="169"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addition, H.R.1 introduced new Foreign Entity of Concern (“FEOC”) requirements for Sections 45X, 45Y, and 48E of the Code. These restrictions require threshold percentages of non FEOC components that increase over time, beginning January 1, 2026. Currently, We manufacture components aimed to help our customers meet their non-FEOC percentage requirements. However, if Treasury were to release new rules or guidance that impact our ability to provide components with non-FEOC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 manufacturers must also reach a required percentage of non-FEOC content in their manufactured components.</w:t>
      </w:r>
    </w:p>
    <w:p>
      <w:pPr>
        <w:spacing w:after="0" w:line="16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On February 12, 2026, the U.S Department of Treasury and IRS released IRS Notice 2026-15 providing additional guidance on H.R. 1 related to the Prohibited Foreign Entity rules (PFE) enacted in H.R. 1..Specifically, this notice confirms the ability to rely on temporary safe harbor tables and existing safe harbor tables for the determination of material assistance from a PFE. This guidance provides answers to several compliance questions related to the Company’s 45X Credit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 Regulation and Import Tariffs</w:t>
      </w:r>
    </w:p>
    <w:p>
      <w:pPr>
        <w:spacing w:after="0" w:line="21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business activities are subject to numerous laws and regulations in the jurisdictions in which we operate. Particularly, our exports and imports are subject to complex trade and customs laws, tax requirements and tariffs set by governments through mutual agreements or unilateral actions. Countries duties, tariffs or other restrictions on our imports could adversely impact our business. Changes in tax policies or trade regulations, the disallowance of tax deductions on imported merchandise, or the imposition of new tariffs on imported products, could have an adverse effect on our business and results of operations.</w:t>
      </w:r>
    </w:p>
    <w:p>
      <w:pPr>
        <w:spacing w:after="0" w:line="162"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We have relocated our contract manufacturing to the United States, where we manufacture the vast bulk of our products. We continue to manufacture a minor portion of our products in Israel, at our Sella 1 facility. Certain critical subcomponents for our products are still sourced from outside the United States. The escalation in trade tensions or the implementation of broader tariffs, trade restrictions or other measures on our products or components or subcomponents originating from countries outside of the United States, could adversely impact our ability to source necessary components or subcomponents, manufacture products at competitive cost, or sell our products at prices customers are willing to pay. In addition, retaliatory measures from other countries on products originating from the United States for export could adversely impact our ability to sell our products at competitive prices in such countries. Certain of the subcomponents used in our products are being imported to the United States from China, which may be subject to significantly increased tariffs. In light of the aforementioned, we continue to adjust our supply chains and are exploring alternative suppliers, however, there is no assurance that we will be successful in identifying suitable alternatives, or that such alternatives, if identified, will not result in increased costs or reduced operational efficiency.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19" w:name="page20"/>
    <w:bookmarkEnd w:id="19"/>
    <w:p>
      <w:pPr>
        <w:jc w:val="both"/>
        <w:ind w:left="4" w:firstLine="576"/>
        <w:spacing w:after="0" w:line="270" w:lineRule="auto"/>
        <w:rPr>
          <w:sz w:val="20"/>
          <w:szCs w:val="20"/>
          <w:color w:val="auto"/>
        </w:rPr>
      </w:pPr>
      <w:r>
        <w:rPr>
          <w:rFonts w:ascii="Times New Roman" w:cs="Times New Roman" w:eastAsia="Times New Roman" w:hAnsi="Times New Roman"/>
          <w:sz w:val="16"/>
          <w:szCs w:val="16"/>
          <w:color w:val="auto"/>
        </w:rPr>
        <w:t>The U.S. administration has announced proposed tariffs on products manufactured abroad that are intended to be sold in the U.S. market. Certain other countries have announced reciprocal and retaliatory measures for imports from the U.S. We continue to monitor how this situation could affect our global business operations and manufacturing in various jurisdictions. To the extent that our products or imported components could be subject to U.S. tariffs, our business could be adversely disadvantaged. The U.S. administration has also proposed imposed tariffs on the import of certain goods from China and other countries, which, if implemented could disadvantage some of our competitors.</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18" w:lineRule="exact"/>
        <w:rPr>
          <w:sz w:val="20"/>
          <w:szCs w:val="20"/>
          <w:color w:val="auto"/>
        </w:rPr>
      </w:pPr>
    </w:p>
    <w:p>
      <w:pPr>
        <w:jc w:val="both"/>
        <w:ind w:left="4" w:firstLine="576"/>
        <w:spacing w:after="0" w:line="279" w:lineRule="auto"/>
        <w:rPr>
          <w:sz w:val="20"/>
          <w:szCs w:val="20"/>
          <w:color w:val="auto"/>
        </w:rPr>
      </w:pPr>
      <w:r>
        <w:rPr>
          <w:rFonts w:ascii="Times New Roman" w:cs="Times New Roman" w:eastAsia="Times New Roman" w:hAnsi="Times New Roman"/>
          <w:sz w:val="16"/>
          <w:szCs w:val="16"/>
          <w:color w:val="auto"/>
        </w:rPr>
        <w:t>The solar energy market is subject to seasonal and quarterly fluctuations affected by weather. For example, during the winter months in Europe and the northeastern U.S. where the climate is particularly cold and snowy, it is typical to see a decline in PV installations and this decline can impact the timing of orders for our products.</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Sustainable, Responsible and Transparent Business Practices</w:t>
      </w:r>
    </w:p>
    <w:p>
      <w:pPr>
        <w:spacing w:after="0" w:line="218" w:lineRule="exact"/>
        <w:rPr>
          <w:sz w:val="20"/>
          <w:szCs w:val="20"/>
          <w:color w:val="auto"/>
        </w:rPr>
      </w:pPr>
    </w:p>
    <w:p>
      <w:pPr>
        <w:jc w:val="both"/>
        <w:ind w:left="4" w:firstLine="576"/>
        <w:spacing w:after="0" w:line="268" w:lineRule="auto"/>
        <w:rPr>
          <w:sz w:val="20"/>
          <w:szCs w:val="20"/>
          <w:color w:val="auto"/>
        </w:rPr>
      </w:pPr>
      <w:r>
        <w:rPr>
          <w:rFonts w:ascii="Times New Roman" w:cs="Times New Roman" w:eastAsia="Times New Roman" w:hAnsi="Times New Roman"/>
          <w:sz w:val="16"/>
          <w:szCs w:val="16"/>
          <w:color w:val="auto"/>
        </w:rPr>
        <w:t>During 2025, we continued making progress on our commitment to corporate social responsibility (“CSR”) performance and disclosure. Our CSR practices are guided by our mission of furthering our business to accelerate the move to a low-carbon world, powered by a decentralized, distributed, interconnected energy network, where electricity is generated, stored, managed and used in the most optimal manner. We have crafted a comprehensive sustainability strategy spanning various CSR matters. Our seventh annual Sustainability Report, published in 2025, was prepared in reference to leading global sustainability disclosure standards, GRI (Global Reporting Initiative) and SASB (Sustainability Accounting Standards Board). Our sustainability strategy includes the following pillars:</w:t>
      </w:r>
    </w:p>
    <w:p>
      <w:pPr>
        <w:spacing w:after="0" w:line="157" w:lineRule="exact"/>
        <w:rPr>
          <w:sz w:val="20"/>
          <w:szCs w:val="20"/>
          <w:color w:val="auto"/>
        </w:rPr>
      </w:pPr>
    </w:p>
    <w:p>
      <w:pPr>
        <w:ind w:left="284" w:hanging="284"/>
        <w:spacing w:after="0" w:line="280" w:lineRule="auto"/>
        <w:tabs>
          <w:tab w:leader="none" w:pos="28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Powering Clean Energy</w:t>
      </w:r>
      <w:r>
        <w:rPr>
          <w:rFonts w:ascii="Times New Roman" w:cs="Times New Roman" w:eastAsia="Times New Roman" w:hAnsi="Times New Roman"/>
          <w:sz w:val="16"/>
          <w:szCs w:val="16"/>
          <w:color w:val="auto"/>
        </w:rPr>
        <w:t>: Accelerating the uptake of clean energy, delivering new smart energy, innovative solutions and improving the lifecycle impacts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our products.</w:t>
      </w:r>
    </w:p>
    <w:p>
      <w:pPr>
        <w:spacing w:after="0" w:line="138" w:lineRule="exact"/>
        <w:rPr>
          <w:rFonts w:ascii="Times New Roman" w:cs="Times New Roman" w:eastAsia="Times New Roman" w:hAnsi="Times New Roman"/>
          <w:sz w:val="16"/>
          <w:szCs w:val="16"/>
          <w:color w:val="auto"/>
        </w:rPr>
      </w:pPr>
    </w:p>
    <w:p>
      <w:pPr>
        <w:ind w:left="284" w:hanging="284"/>
        <w:spacing w:after="0" w:line="282" w:lineRule="auto"/>
        <w:tabs>
          <w:tab w:leader="none" w:pos="28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Powering People: </w:t>
      </w:r>
      <w:r>
        <w:rPr>
          <w:rFonts w:ascii="Times New Roman" w:cs="Times New Roman" w:eastAsia="Times New Roman" w:hAnsi="Times New Roman"/>
          <w:sz w:val="16"/>
          <w:szCs w:val="16"/>
          <w:color w:val="auto"/>
        </w:rPr>
        <w:t>Maintaining leading responsible employment practices, upholding human rights and investing in communities. In 2025, we continued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enhance our responsible employment practices, focusing on safety and on employee growth and development.</w:t>
      </w:r>
    </w:p>
    <w:p>
      <w:pPr>
        <w:spacing w:after="0" w:line="136"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Powering Business: </w:t>
      </w:r>
      <w:r>
        <w:rPr>
          <w:rFonts w:ascii="Times New Roman" w:cs="Times New Roman" w:eastAsia="Times New Roman" w:hAnsi="Times New Roman"/>
          <w:sz w:val="16"/>
          <w:szCs w:val="16"/>
          <w:color w:val="auto"/>
        </w:rPr>
        <w:t>Maintaining and reinforcing ethical conduct throughout our value chain, improving the efficiency of our resource consumption,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ethical sourcing of raw materials and components.</w:t>
      </w:r>
    </w:p>
    <w:p>
      <w:pPr>
        <w:spacing w:after="0" w:line="149" w:lineRule="exact"/>
        <w:rPr>
          <w:sz w:val="20"/>
          <w:szCs w:val="20"/>
          <w:color w:val="auto"/>
        </w:rPr>
      </w:pPr>
    </w:p>
    <w:p>
      <w:pPr>
        <w:jc w:val="both"/>
        <w:ind w:left="4" w:firstLine="576"/>
        <w:spacing w:after="0" w:line="298" w:lineRule="auto"/>
        <w:rPr>
          <w:sz w:val="20"/>
          <w:szCs w:val="20"/>
          <w:color w:val="auto"/>
        </w:rPr>
      </w:pPr>
      <w:r>
        <w:rPr>
          <w:rFonts w:ascii="Times New Roman" w:cs="Times New Roman" w:eastAsia="Times New Roman" w:hAnsi="Times New Roman"/>
          <w:sz w:val="16"/>
          <w:szCs w:val="16"/>
          <w:color w:val="auto"/>
        </w:rPr>
        <w:t>We believe that our sustainability strategy aligns directly with 10 United Nations Sustainable Development Goals (SDGs), and our products and activities are most critical to achievement of SDG #7, Affordable Clean Energy.</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218" w:lineRule="exact"/>
        <w:rPr>
          <w:sz w:val="20"/>
          <w:szCs w:val="20"/>
          <w:color w:val="auto"/>
        </w:rPr>
      </w:pPr>
    </w:p>
    <w:p>
      <w:pPr>
        <w:jc w:val="both"/>
        <w:ind w:left="4" w:firstLine="576"/>
        <w:spacing w:after="0" w:line="270" w:lineRule="auto"/>
        <w:rPr>
          <w:sz w:val="20"/>
          <w:szCs w:val="20"/>
          <w:color w:val="auto"/>
        </w:rPr>
      </w:pPr>
      <w:r>
        <w:rPr>
          <w:rFonts w:ascii="Times New Roman" w:cs="Times New Roman" w:eastAsia="Times New Roman" w:hAnsi="Times New Roman"/>
          <w:sz w:val="16"/>
          <w:szCs w:val="16"/>
          <w:color w:val="auto"/>
        </w:rPr>
        <w:t>We believe our success depends on our ability to attract and retain outstanding employees at all levels of our business. As of December 31, 2025, we had 3,576 employees (full time and part time). Of these employees, 887 were engaged in research and development, 399 in sales and marketing, 1,935 in operations, production, quality and reliability, and support, and 355 in general and administrative capacities. Of our employees, 2,134 were based in Israel, 424 were based in India, 355 were based in the U.S., 432 were based in Europe, and 231 were based in the remaining countries in which we operate, including Thailand, Vietnam, Australia, and others.</w:t>
      </w:r>
    </w:p>
    <w:p>
      <w:pPr>
        <w:spacing w:after="0" w:line="165" w:lineRule="exact"/>
        <w:rPr>
          <w:sz w:val="20"/>
          <w:szCs w:val="20"/>
          <w:color w:val="auto"/>
        </w:rPr>
      </w:pPr>
    </w:p>
    <w:p>
      <w:pPr>
        <w:jc w:val="both"/>
        <w:ind w:left="4" w:firstLine="576"/>
        <w:spacing w:after="0" w:line="300" w:lineRule="auto"/>
        <w:rPr>
          <w:sz w:val="20"/>
          <w:szCs w:val="20"/>
          <w:color w:val="auto"/>
        </w:rPr>
      </w:pPr>
      <w:r>
        <w:rPr>
          <w:rFonts w:ascii="Times New Roman" w:cs="Times New Roman" w:eastAsia="Times New Roman" w:hAnsi="Times New Roman"/>
          <w:sz w:val="16"/>
          <w:szCs w:val="16"/>
          <w:color w:val="auto"/>
        </w:rPr>
        <w:t>None of our employees are represented by a labor union. We have not experienced any employment-related work stoppages, and we consider relations with our employees to be good.</w:t>
      </w:r>
    </w:p>
    <w:p>
      <w:pPr>
        <w:spacing w:after="0" w:line="138" w:lineRule="exact"/>
        <w:rPr>
          <w:sz w:val="20"/>
          <w:szCs w:val="20"/>
          <w:color w:val="auto"/>
        </w:rPr>
      </w:pPr>
    </w:p>
    <w:p>
      <w:pPr>
        <w:jc w:val="both"/>
        <w:ind w:left="4" w:firstLine="576"/>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Recruitment: </w:t>
      </w:r>
      <w:r>
        <w:rPr>
          <w:rFonts w:ascii="Times New Roman" w:cs="Times New Roman" w:eastAsia="Times New Roman" w:hAnsi="Times New Roman"/>
          <w:sz w:val="16"/>
          <w:szCs w:val="16"/>
          <w:color w:val="auto"/>
        </w:rPr>
        <w:t>We rely on the success of our recruitment efforts to attract and retain technically skilled people who can support our ongoing innovation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global operations. We aim to be inclusive in our hiring practices, focusing on the best talent for the role, welcoming all genders, nationalities, ethnicities, abilities and other dimensions of diversity.</w:t>
      </w:r>
    </w:p>
    <w:p>
      <w:pPr>
        <w:spacing w:after="0" w:line="154" w:lineRule="exact"/>
        <w:rPr>
          <w:sz w:val="20"/>
          <w:szCs w:val="20"/>
          <w:color w:val="auto"/>
        </w:rPr>
      </w:pPr>
    </w:p>
    <w:p>
      <w:pPr>
        <w:jc w:val="both"/>
        <w:ind w:left="4" w:firstLine="576"/>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Employee benefits: </w:t>
      </w:r>
      <w:r>
        <w:rPr>
          <w:rFonts w:ascii="Times New Roman" w:cs="Times New Roman" w:eastAsia="Times New Roman" w:hAnsi="Times New Roman"/>
          <w:sz w:val="16"/>
          <w:szCs w:val="16"/>
          <w:color w:val="auto"/>
        </w:rPr>
        <w:t>We aim to provide our employees with competitive salary and benefits that enable them to achieve a good quality of life and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53340</wp:posOffset>
                </wp:positionV>
                <wp:extent cx="653224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pt" to="514.35pt,4.2pt" o:allowincell="f" strokecolor="#000000" strokeweight="1.2pt"/>
            </w:pict>
          </mc:Fallback>
        </mc:AlternateContent>
      </w:r>
    </w:p>
    <w:p>
      <w:pPr>
        <w:sectPr>
          <w:pgSz w:w="11900" w:h="16840" w:orient="portrait"/>
          <w:cols w:equalWidth="0" w:num="1">
            <w:col w:w="10284"/>
          </w:cols>
          <w:pgMar w:left="816" w:top="910" w:right="804" w:bottom="1440" w:gutter="0" w:footer="0" w:header="0"/>
        </w:sectPr>
      </w:pPr>
    </w:p>
    <w:bookmarkStart w:id="20" w:name="page21"/>
    <w:bookmarkEnd w:id="20"/>
    <w:p>
      <w:pPr>
        <w:jc w:val="both"/>
        <w:ind w:firstLine="576"/>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Leadership, Training and Development: </w:t>
      </w:r>
      <w:r>
        <w:rPr>
          <w:rFonts w:ascii="Times New Roman" w:cs="Times New Roman" w:eastAsia="Times New Roman" w:hAnsi="Times New Roman"/>
          <w:sz w:val="16"/>
          <w:szCs w:val="16"/>
          <w:color w:val="auto"/>
        </w:rPr>
        <w:t>We aim to provide our employees with advanced professional and development skills, so that they can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 effectively in their roles and build their capabilities and career prospects for the future. Our primary focus is on creating collaborative, internal learning experiences that support employee development and organizational objectives. We provide advanced professional training for sales, research, and development, and other functional teams through an annual training program. On an individual basis, we may offer formal learning opportunities through external educational resources when aligned with our business priorities.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Corporate Social Responsibility: </w:t>
      </w:r>
      <w:r>
        <w:rPr>
          <w:rFonts w:ascii="Times New Roman" w:cs="Times New Roman" w:eastAsia="Times New Roman" w:hAnsi="Times New Roman"/>
          <w:sz w:val="16"/>
          <w:szCs w:val="16"/>
          <w:color w:val="auto"/>
        </w:rPr>
        <w:t>We strive to offer equal opportunities in all roles, supporting and equal pay in accordance with equal opportunity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laws.</w:t>
      </w:r>
    </w:p>
    <w:p>
      <w:pPr>
        <w:spacing w:after="0" w:line="209" w:lineRule="exact"/>
        <w:rPr>
          <w:sz w:val="20"/>
          <w:szCs w:val="20"/>
          <w:color w:val="auto"/>
        </w:rPr>
      </w:pPr>
    </w:p>
    <w:p>
      <w:pPr>
        <w:jc w:val="both"/>
        <w:ind w:firstLine="576"/>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Workplace safety and health: </w:t>
      </w:r>
      <w:r>
        <w:rPr>
          <w:rFonts w:ascii="Times New Roman" w:cs="Times New Roman" w:eastAsia="Times New Roman" w:hAnsi="Times New Roman"/>
          <w:sz w:val="16"/>
          <w:szCs w:val="16"/>
          <w:color w:val="auto"/>
        </w:rPr>
        <w:t>We believe that all accidents and injuries at work are preventable and we strive to achieve a zero-injury culture across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offices and operations. Our safety practices are designed to comply with applicable occupational health and safety regulations and are certified to Occupational Health and Safety Quality Management Standard ISO 45001:2018. Our safety practices include: nominated safety officers at each of our manufacturing or R&amp;D sites, mandatory annual safety training for all employees, mandatory job-specific training for all employees in relevant roles (e.g., for those working in high-voltage labs), comprehensive safety, fire, and emergency drill programs so that our employees are well-versed with emergency procedures and root-cause assessments of incidents and corrective 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19"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 xml:space="preserve">We were incorporated in Delaware in 2006. Our principal executive offices are located at 1 HaMada Street, Herziliya Pituach, 4673335, Israel and our telephone number at this address is 972 (9) 957-6620. Our website is </w:t>
      </w:r>
      <w:r>
        <w:rPr>
          <w:rFonts w:ascii="Times New Roman" w:cs="Times New Roman" w:eastAsia="Times New Roman" w:hAnsi="Times New Roman"/>
          <w:sz w:val="16"/>
          <w:szCs w:val="16"/>
          <w:u w:val="single" w:color="auto"/>
          <w:color w:val="auto"/>
        </w:rPr>
        <w:t>www.solared</w:t>
      </w:r>
      <w:r>
        <w:rPr>
          <w:rFonts w:ascii="Times New Roman" w:cs="Times New Roman" w:eastAsia="Times New Roman" w:hAnsi="Times New Roman"/>
          <w:sz w:val="16"/>
          <w:szCs w:val="16"/>
          <w:color w:val="auto"/>
        </w:rPr>
        <w:t>g</w:t>
      </w:r>
      <w:r>
        <w:rPr>
          <w:rFonts w:ascii="Times New Roman" w:cs="Times New Roman" w:eastAsia="Times New Roman" w:hAnsi="Times New Roman"/>
          <w:sz w:val="16"/>
          <w:szCs w:val="16"/>
          <w:u w:val="single" w:color="auto"/>
          <w:color w:val="auto"/>
        </w:rPr>
        <w:t>e.com</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documents with the Securities and Exchange Commission (the “SEC”), pursuant to the Securities Exchange Act of 1934 (the “Exchange Act”). Our reports, proxy statements and other documents filed electronically with the SEC are available at the website maintained by the SEC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 xml:space="preserve">We use the Investor Relations portion of our website at </w:t>
      </w:r>
      <w:r>
        <w:rPr>
          <w:rFonts w:ascii="Times New Roman" w:cs="Times New Roman" w:eastAsia="Times New Roman" w:hAnsi="Times New Roman"/>
          <w:sz w:val="16"/>
          <w:szCs w:val="16"/>
          <w:i w:val="1"/>
          <w:iCs w:val="1"/>
          <w:color w:val="auto"/>
        </w:rPr>
        <w:t>www.solaredge.com</w:t>
      </w:r>
      <w:r>
        <w:rPr>
          <w:rFonts w:ascii="Times New Roman" w:cs="Times New Roman" w:eastAsia="Times New Roman" w:hAnsi="Times New Roman"/>
          <w:sz w:val="16"/>
          <w:szCs w:val="16"/>
          <w:color w:val="auto"/>
        </w:rPr>
        <w:t>, as a routine channel of distribution of important information such as press releases, analyst presentations, corporate governance practices and corporate responsibility information, financial information including our annual, quarterly, and current reports, our proxy statements, and, if applicable, amendments to those reports filed or furnished pursuant to Section 13(a) or 15(d) of the Exchange Act as soon as reasonably practicable after we electronically file such reports with, or furnish them to, the SEC. All such postings and filings are available on our Investor Relations website free of charge.</w:t>
      </w:r>
    </w:p>
    <w:p>
      <w:pPr>
        <w:spacing w:after="0" w:line="165" w:lineRule="exact"/>
        <w:rPr>
          <w:sz w:val="20"/>
          <w:szCs w:val="20"/>
          <w:color w:val="auto"/>
        </w:rPr>
      </w:pPr>
    </w:p>
    <w:p>
      <w:pPr>
        <w:ind w:right="140" w:firstLine="576"/>
        <w:spacing w:after="0" w:line="300" w:lineRule="auto"/>
        <w:rPr>
          <w:sz w:val="20"/>
          <w:szCs w:val="20"/>
          <w:color w:val="auto"/>
        </w:rPr>
      </w:pPr>
      <w:r>
        <w:rPr>
          <w:rFonts w:ascii="Times New Roman" w:cs="Times New Roman" w:eastAsia="Times New Roman" w:hAnsi="Times New Roman"/>
          <w:sz w:val="16"/>
          <w:szCs w:val="16"/>
          <w:color w:val="auto"/>
        </w:rPr>
        <w:t>Information contained on our website is not incorporated by reference into this Annual Report, and you should not consider information contained on our website as part of this Annual Report.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19"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When evaluating our business, you should carefully consider the risks, events and uncertainties described below together with the other information set forth in this Annual Report on Form 10-K. The events and consequences discussed in these risk factors could materially affect our business, financial condition, results of operations and future growth prospects. The risks described below are not the only risks facing our company. Risks and uncertainties not currently known to us or that we currently deem to be immaterial also may materially adversely affect our business, financial condition and operating results in the future. Additionally, while some of the factors, events and contingencies described herein may have occurred in the past, the disclosures herein are not representations as to whether or not they have occurred, and are instead provided because future occurrences of such factors, events, or contingencies could have a material adverse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218"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The following summarizes the principal factors that make an investment in our Company speculative or risky. This summary should be read in conjunction with the full risk factors discussed below and should not be relied upon as an exhaustive summary of the material risks facing our business. The order of presentation is not necessarily indicative of the level of risk that each factor poses to 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face risks related to our business and our industry, including those related to:</w:t>
      </w:r>
    </w:p>
    <w:p>
      <w:pPr>
        <w:spacing w:after="0" w:line="209" w:lineRule="exact"/>
        <w:rPr>
          <w:sz w:val="20"/>
          <w:szCs w:val="20"/>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be profitable in the future.</w:t>
      </w:r>
    </w:p>
    <w:p>
      <w:pPr>
        <w:spacing w:after="0" w:line="6"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rapidly evolving and competitive nature of the solar industry makes it difficult to evaluate our future prospects.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tax treaties, and regulations or the interpretation of them, including the IRA and the H.R.1;</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global trade environment, including the United States trade environment, such as the increase or imposition of import tariffs;</w:t>
      </w:r>
    </w:p>
    <w:p>
      <w:pPr>
        <w:ind w:left="580" w:hanging="296"/>
        <w:spacing w:after="0" w:line="239"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demand for solar energy solutions, including if demand for solar energy solutions does not resume growth or grows at a slower rate than anticipated, and our ability to accurately forecast customer demand.</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in our domestic and international markets, as well as inflation concerns, instability of financial institutions, rising interest rates, and recessionary concerns.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U.S. and global trade environments, including the imposition and/or increase of import tariffs or other restrictive trade measures.</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declines in the retail price of electricity derived from the utility grid or from alternative energy sources.</w:t>
      </w:r>
    </w:p>
    <w:p>
      <w:pPr>
        <w:spacing w:after="0" w:line="16"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increases in interest rates or tightening of the supply of capital on the ability of end-users to finance the cost of a PV system.</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and supply of capital in the global financial markets in general and in the PV market specifically;</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increased competition, including introductions of power optimizer, inverter, EV chargers, batteries and PV system monitoring products by our competitors.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distributors and large installers to assist in selling our products, and the failure of these customers to perform as expected.</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alternative technologies or improvements in distributed solar energy generation.</w:t>
      </w:r>
    </w:p>
    <w:p>
      <w:pPr>
        <w:spacing w:after="0" w:line="1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cyclicality of the solar industry.</w:t>
      </w:r>
    </w:p>
    <w:p>
      <w:pPr>
        <w:spacing w:after="0" w:line="16"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Defects or performance problems in our products.</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small number of outside contract manufacturers, including difficulties increasing production with new contract manufacturers.</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disruptions, or quality control problems in our manufacturing operations.</w:t>
      </w:r>
    </w:p>
    <w:p>
      <w:pPr>
        <w:spacing w:after="0" w:line="16"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limited number of suppliers for key components and raw materials in our products to adequately meet anticipated demand.</w:t>
      </w:r>
    </w:p>
    <w:p>
      <w:pPr>
        <w:spacing w:after="0" w:line="1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political and geopolitical conditions could adversely impact our business and financial results.</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geographic footprint or product and service offerings may subject us to additional business, operational, financial, competitive and compliance risks;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a small number of outside contract manufacturers and limited or single source suppliers.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in the solar industry among our current or potential customers.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implement our new ERP system;</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discontinued our e-Mobility business, energy storage business, and PV Tracker business, resulting in the write-off of tangible and intangible assets.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operate our global operations with a reduced work force.</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recognize expected benefits from cost reduction and restructuring.</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unauthorized access to, disclosure, or theft of confidential or personal information we gather, store, or use.</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Attempts by third parties, our employees, or our vendors to gain unauthorized access to our network or seek to compromise our products and services.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issues related to the development and use of artificial intelligence could give rise to legal or regulatory action, damage our reputation, or otherwise materially harm of our business.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currency exchange rates.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political and geopolitical conditions could adversely impact our business and financial results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geographic footprint or product and service offerings may subject us to additional business, operational, financial, competitive and compliance risks.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key executives, and our ability to retain key personnel and attract additional qualified personnel.</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our business operations due to the evolving conflict in Israel and other conditions in Israel that affect our operations and may limit our ability to develop, produce and sell our products.</w:t>
      </w:r>
    </w:p>
    <w:p>
      <w:pPr>
        <w:ind w:left="580" w:hanging="296"/>
        <w:spacing w:after="0" w:line="244"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benefits that are available to us under Israeli law that require us to meet various conditions and may be terminated or reduced in the future, which could increase our costs and taxes.</w:t>
      </w:r>
    </w:p>
    <w:p>
      <w:pPr>
        <w:spacing w:after="0" w:line="1" w:lineRule="exact"/>
        <w:rPr>
          <w:rFonts w:ascii="Times New Roman" w:cs="Times New Roman" w:eastAsia="Times New Roman" w:hAnsi="Times New Roman"/>
          <w:sz w:val="16"/>
          <w:szCs w:val="16"/>
          <w:color w:val="auto"/>
        </w:rPr>
      </w:pPr>
    </w:p>
    <w:p>
      <w:pPr>
        <w:ind w:left="580" w:hanging="296"/>
        <w:spacing w:after="0" w:line="261"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enforcing a judgment of a U.S. court against our officers and directors, to assert U.S. securities laws claims in Israel, or to serve process on our officers and directors.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ocean transportation to deliver our products in a timely and cost-efficient manner.</w:t>
      </w:r>
    </w:p>
    <w:p>
      <w:pPr>
        <w:spacing w:after="0" w:line="1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global currency exchange rates.</w:t>
      </w:r>
    </w:p>
    <w:p>
      <w:pPr>
        <w:spacing w:after="0" w:line="8"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entry into business engagements with South Korean military bodies as our customers in the lithium-ion battery and energy storage business embodies a risk for potentially large-scale and uncapped liability.</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social responsibility and sustainability, including the impact of evolving legal and regulatory requirements.</w:t>
      </w:r>
    </w:p>
    <w:p>
      <w:pPr>
        <w:ind w:left="580" w:hanging="29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public health events, significant disruptions of information technology systems, data security breaches, or other catastrophic events.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We face risks related to legal, compliance and regulatory matters, including those related to:</w:t>
      </w:r>
    </w:p>
    <w:p>
      <w:pPr>
        <w:spacing w:after="0" w:line="218" w:lineRule="exact"/>
        <w:rPr>
          <w:sz w:val="20"/>
          <w:szCs w:val="20"/>
          <w:color w:val="auto"/>
        </w:rPr>
      </w:pPr>
    </w:p>
    <w:p>
      <w:pPr>
        <w:ind w:left="580" w:hanging="29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reduction, elimination or expiration of government subsidies and economic incentives for on-grid solar electricity applications.</w:t>
      </w:r>
    </w:p>
    <w:p>
      <w:pPr>
        <w:spacing w:after="0" w:line="22"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net metering policies.</w:t>
      </w:r>
    </w:p>
    <w:p>
      <w:pPr>
        <w:spacing w:after="0" w:line="8" w:lineRule="exact"/>
        <w:rPr>
          <w:rFonts w:ascii="Times New Roman" w:cs="Times New Roman" w:eastAsia="Times New Roman" w:hAnsi="Times New Roman"/>
          <w:sz w:val="16"/>
          <w:szCs w:val="16"/>
          <w:color w:val="auto"/>
        </w:rPr>
      </w:pPr>
    </w:p>
    <w:p>
      <w:pPr>
        <w:ind w:left="580" w:hanging="296"/>
        <w:spacing w:after="0" w:line="239"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stringent and changing data privacy and security laws, rules, regulations and other obligations. These areas could damage our reputation, deter current and potential customers, affect our product design, or result in legal or regulatory proceedings and liability.</w:t>
      </w:r>
    </w:p>
    <w:p>
      <w:pPr>
        <w:ind w:left="580" w:hanging="296"/>
        <w:spacing w:after="0" w:line="271"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electric utility industry regulations and changes to regulations, which may present technical regulatory, and economic barriers to the purchase and use of PV systems.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face risks related to intellectual property, including those related to:</w:t>
      </w:r>
    </w:p>
    <w:p>
      <w:pPr>
        <w:spacing w:after="0" w:line="210" w:lineRule="exact"/>
        <w:rPr>
          <w:sz w:val="20"/>
          <w:szCs w:val="20"/>
          <w:color w:val="auto"/>
        </w:rPr>
      </w:pPr>
    </w:p>
    <w:p>
      <w:pPr>
        <w:ind w:left="580" w:hanging="29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intellectual property and other proprietary rights.</w:t>
      </w:r>
    </w:p>
    <w:p>
      <w:pPr>
        <w:spacing w:after="0" w:line="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claims by third parties that we are infringing upon their intellectual property rights.</w:t>
      </w:r>
    </w:p>
    <w:p>
      <w:pPr>
        <w:ind w:left="580" w:hanging="29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claims for remuneration or royalties for assigned service invention rights by our employees.</w:t>
      </w:r>
    </w:p>
    <w:p>
      <w:pPr>
        <w:ind w:left="580" w:hanging="29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impairment of our goodwill or other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face risks related to our Notes and the ownership of our common stock, including those related to:</w:t>
      </w:r>
    </w:p>
    <w:p>
      <w:pPr>
        <w:spacing w:after="0" w:line="209" w:lineRule="exact"/>
        <w:rPr>
          <w:sz w:val="20"/>
          <w:szCs w:val="20"/>
          <w:color w:val="auto"/>
        </w:rPr>
      </w:pPr>
    </w:p>
    <w:p>
      <w:pPr>
        <w:ind w:left="580" w:hanging="29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of our stock price.</w:t>
      </w:r>
    </w:p>
    <w:p>
      <w:pPr>
        <w:spacing w:after="0" w:line="6" w:lineRule="exact"/>
        <w:rPr>
          <w:rFonts w:ascii="Times New Roman" w:cs="Times New Roman" w:eastAsia="Times New Roman" w:hAnsi="Times New Roman"/>
          <w:sz w:val="16"/>
          <w:szCs w:val="16"/>
          <w:color w:val="auto"/>
        </w:rPr>
      </w:pPr>
    </w:p>
    <w:p>
      <w:pPr>
        <w:ind w:left="580" w:hanging="296"/>
        <w:spacing w:after="0" w:line="23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our certificate of incorporation and by-laws that may have the effect of delaying or preventing a change of control or changes in our management.</w:t>
      </w:r>
    </w:p>
    <w:p>
      <w:pPr>
        <w:ind w:left="580" w:hanging="29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forum selection clause contained in our certificate of incorporation.</w:t>
      </w:r>
    </w:p>
    <w:p>
      <w:pPr>
        <w:ind w:left="580" w:hanging="296"/>
        <w:spacing w:after="0" w:line="23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the funds necessary to settle conversion of our convertible senior notes or Notes in cash or to repurchase the Notes upon a fundamental change.</w:t>
      </w:r>
    </w:p>
    <w:p>
      <w:pPr>
        <w:ind w:left="580" w:hanging="29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additional capital to execute on our current or future business opportunities.</w:t>
      </w:r>
    </w:p>
    <w:p>
      <w:pPr>
        <w:ind w:left="580" w:hanging="29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lack of plans to pay any cash dividends on our common stock in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Our Industry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be profitable in the future.</w:t>
      </w:r>
    </w:p>
    <w:p>
      <w:pPr>
        <w:spacing w:after="0" w:line="21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incurred a net loss of $405.4 million for the year ended December 31, 2025 and net loss of $1,806.4 million for the year ended December 31, 2024. Beginning in the third quarter of 2023, we experienced a slowdown in the demand for our products and during the second part of the third quarter of 2023, we experienced substantial unexpected cancellations and push outs of existing backlog from our European distributors. We continued to experience a slowdown in demand for our products throughout the year ending December 31, 2024. Despite a prolonged softness in demand, in the year ending December 31, 2025, we have seen an increase in sales due to more normalized channel inventory in both the United States and in Europe.</w:t>
      </w:r>
    </w:p>
    <w:p>
      <w:pPr>
        <w:spacing w:after="0" w:line="165"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the future, our revenues may not grow at the pace we anticipate, or may decline for a number of reasons, many of which are outside our control, including a decline in demand for our products, a decrease in the growth of the solar industry, disadvantageous changes to tax law, tax treaties, regulations, and guidance and interpretations related thereto, and business and industry trends including component shortages, increased competition, and supply chain disruptions due to ocean freight capacity, shipping times and port congestions as well as other macroeconomic conditions in our domestic and international markets, inflation concerns, rising interest rates and recessionary concerns, or our failure to continue to capitalize on growth opportunities. If we fail to maintain sufficient revenue to support our operations, we may not be able to reach or sustain profitability.</w:t>
      </w:r>
    </w:p>
    <w:p>
      <w:pPr>
        <w:spacing w:after="0" w:line="16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addition, we expect to incur additional costs and expenses related to the continued development, divestiture from businesses, expansion of our business, ongoing marketing, developing our products, development of our own manufacturing facilities, expanding into new product markets, maintaining and enhancing our research and development operations and hiring additional personnel. We do not know whether our revenues will grow rapidly enough to absorb these costs, or the extent of these expenses or their impact on the results of our operations.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The rapidly evolving and competitive nature of the solar industry makes it difficult to evaluate our future prospects.</w:t>
      </w:r>
    </w:p>
    <w:p>
      <w:pPr>
        <w:spacing w:after="0" w:line="214" w:lineRule="exact"/>
        <w:rPr>
          <w:sz w:val="20"/>
          <w:szCs w:val="20"/>
          <w:color w:val="auto"/>
        </w:rPr>
      </w:pPr>
    </w:p>
    <w:p>
      <w:pPr>
        <w:ind w:firstLine="576"/>
        <w:spacing w:after="0" w:line="300" w:lineRule="auto"/>
        <w:rPr>
          <w:sz w:val="20"/>
          <w:szCs w:val="20"/>
          <w:color w:val="auto"/>
        </w:rPr>
      </w:pPr>
      <w:r>
        <w:rPr>
          <w:rFonts w:ascii="Times New Roman" w:cs="Times New Roman" w:eastAsia="Times New Roman" w:hAnsi="Times New Roman"/>
          <w:sz w:val="16"/>
          <w:szCs w:val="16"/>
          <w:color w:val="auto"/>
        </w:rPr>
        <w:t>The rapidly evolving and competitive nature of the solar industry makes it difficult to evaluate our current business and future prospects. In addition, we have limited insight into emerging trends that may adversely affect our business, financial condition, results of operations and prospects.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viability and demand for our products and services may be affected by many factors beyond our control, including:</w:t>
      </w:r>
    </w:p>
    <w:p>
      <w:pPr>
        <w:spacing w:after="0" w:line="208" w:lineRule="exact"/>
        <w:rPr>
          <w:sz w:val="20"/>
          <w:szCs w:val="20"/>
          <w:color w:val="auto"/>
        </w:rPr>
      </w:pP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competitiveness, reliability and performance of PV systems compared to conventional and non-solar renewable energy sources and products;</w:t>
      </w:r>
    </w:p>
    <w:p>
      <w:pPr>
        <w:spacing w:after="0" w:line="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competing new technologies at more competitive prices than those we offer for our products and services;</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policy change and the introduction of tariffs affecting the manufacture or sale of our products;</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and amount of government subsidies and incentives to support the development and deployment of solar energy solutions;</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deregulation in the electric power industry and broader energy industries to permit broader adoption of solar electricity generation;</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prices of traditional carbon-based energy sources;</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our solutions by installers, system owners and solar financing providers;</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prospective system owners to obtain long-term financing for PV installations based on our product platform on acceptable terms or at all;</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levels of investment by end-users of solar energy products, which tend to decrease when economic growth slows; and</w:t>
      </w:r>
    </w:p>
    <w:p>
      <w:pPr>
        <w:ind w:left="580" w:hanging="29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emergence, continuance or success of, or government support for, other alternative energy generation technologies and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tax treaties, regulations, guidance or the interpretation of them, including the Inflation Reduction Act and the OBBBA</w:t>
      </w:r>
    </w:p>
    <w:p>
      <w:pPr>
        <w:spacing w:after="0" w:line="215"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National, state and local government bodies in many countries, including the United States, have provided incentives in the form of rebates, tax credits, feed-in tariffs and others to manufacturers, system owners, distributors and installers of PV systems and battery energy storage systems.</w:t>
      </w:r>
    </w:p>
    <w:p>
      <w:pPr>
        <w:spacing w:after="0" w:line="143"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August 2022, the IRA was signed into federal law. The IRA provides for, among other things, certain incentives, including certain tax credits, for solar energy, that are significant to the Company and its U.S. based customers. On July 4, 2025, H.R.1 was enacted into law, introducing amendments to clean energy tax credits contained in the IRA. The H.R.1 accelerates the phase-out timeline for our customers' tax credits and imposes new eligibility criteria for the Company and our customers.</w:t>
      </w:r>
    </w:p>
    <w:p>
      <w:pPr>
        <w:spacing w:after="0" w:line="162"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The Company has invested significant resources in establishing our manufacturing presence in the U.S. to benefit from the incentives available under the IRA, including tax credits available to us for manufacturing in the U.S. and tax credits available to certain of our U.S. customers. The Company established manufacturing capabilities in the U.S. in 2023 and further expanded such capabilities in 2024 and 2025. Moreover, we incorporate into our financial planning and agreements with our customers and suppliers certain assumptions regarding U.S. tax incentives. Material changes thereto could adversely affect our revenue, our eligibility for certain tax credits, tax credits available to our customers, competitiveness and demand for our products and our financial condition.</w:t>
      </w:r>
    </w:p>
    <w:p>
      <w:pPr>
        <w:spacing w:after="0" w:line="16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Section 45X of the Code, as enacted by the IRA, offers AMPTCs that incentivize the manufacturing of eligible components within the U.S. Of particular relevance to the Company are the tax credits that we generate as a result of rules concerning the qualification and measurement of AMPTCs to Residential Inverters, Commercial Inverters and DC-Optimized Inverter Systems that we manufacture in the United States. H.R.1 preserved the length of the term of such AMPTCs.</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Among other changes, H.R.1 shortens the term of the investment tax credit and production tax credit under Section 48E and 45Y of the Code, available to the Company’s customers, who are engaged in TPO models, such as residential solar leases and power purchase agreements, and commercial solar customers and developers, shortening the end date from 2034 to 2027. H.R.1 also includes a 12-month window in which such customers can begin construction, giving them four years to complete their projects. Projects begun after twelve months from enactment of H.R.1 must be placed in service by December 31, 2027, to receive the credit. H.R.1 also amended the domestic content bonus credit rules for Section 48E projects: projects commencing construction after June 16, 2025 must meet a 45% domestic content threshold, up from 40%, must meet a 50% threshold from and after January 1, 2026, and the threshold thereafter increases by 5% on an annual basis until 2029. H.R.1 eliminated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24" w:name="page25"/>
    <w:bookmarkEnd w:id="24"/>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H.R.1 has also introduced new FEOC requirements including for Sections 45X, 45Y, and 48E of the Code. These restrictions will require threshold percentages of non-FEOC material assistance that increase over time, for projects that begin on or after January 1, 2026. On July 7, 2025, the President issued an Executive Order titled “Ending Market Distorting Subsidies for Unreliable, Foreign Controlled Energy Sources.” In response, on August 15, 2025, the U.S. Treasury Department released IRS Notice 2025-42, its first set of guidance for H.R. 1 related to beginning of construction requirements applicable to our customers. While it removed the ability for projects over 1.5 MW to utilize the 5% safe harbor method, it kept in place the offsite physical work test method for all size projects.</w:t>
      </w:r>
    </w:p>
    <w:p>
      <w:pPr>
        <w:spacing w:after="0" w:line="16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On February 12, 2026, the U.S Department of Treasury and IRS released IRS Notice 2026-15 providing additional guidance on H.R.1 related to the Prohibited Foreign Entity rules (PFE) enacted in H.R. 1..Specifically, this notice confirms the ability to rely on temporary safe harbor tables and existing safe harbor tables for the determination of material assistance from a PFE. This guidance provides answers to several compliance questions related to the Company’s 45X Credit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16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expect that the AMPTCs will be phased out by the end of 2031. Reductions in AMPTCs, without an offsetting reduction in our manufacturing costs, would adversely affect our results of operations and cash flows, and have an adverse impact on our gross margin, which may include transitioning into a gross loss. Such reductions may cause us to consider modifying the geographical footprint of our manufacturing to reduce our costs, which would require significant resources of the Company, and could adversely affect our competitiveness, business and financial condition.</w:t>
      </w:r>
    </w:p>
    <w:p>
      <w:pPr>
        <w:spacing w:after="0" w:line="16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Unfavorable regulatory treatment, guidance, interpretation, expiration of or changes to the benefits made available, which we relied upon in structuring certain projects and investments, or any adverse impacts on our ability to increase production in the U.S. in a timely manner to benefit from the incentives available under the IRA and H.R.1., could adversely impact our business and financial condition.</w:t>
      </w:r>
    </w:p>
    <w:p>
      <w:pPr>
        <w:spacing w:after="0" w:line="15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U.S. Administration and to a lesser extent, portions of the European Union, have expressed a prioritization of fossil fuels over renewable energy. For example, in Germany there is a discussion regarding the possibility of reducing small residential customer’s feed-in tariffs. If successful, certain of these legislative actions could further slow the solar market potentially resulting in adverse effects on overall demand for our products, impacts to our revenue, operations and cash flows.</w:t>
      </w:r>
    </w:p>
    <w:p>
      <w:pPr>
        <w:spacing w:after="0" w:line="166" w:lineRule="exact"/>
        <w:rPr>
          <w:sz w:val="20"/>
          <w:szCs w:val="20"/>
          <w:color w:val="auto"/>
        </w:rPr>
      </w:pPr>
    </w:p>
    <w:p>
      <w:pPr>
        <w:ind w:right="94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Demand for solar energy solutions fluctuates, and if demand for solar energy solutions does not resume growth or grows at a slower rate than anticipated, or if we are unable to accurately forecast customer demand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our business and results of operations will suffer.</w:t>
      </w:r>
    </w:p>
    <w:p>
      <w:pPr>
        <w:spacing w:after="0" w:line="146"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Our revenues are primarily derived from products utilized in PV installations. Thus, our future success depends on continued demand for solar energy solutions and our ability, and the the ability of vendors to meet this demand. The solar industry is an evolving industry that has experienced substantial changes in recent years, and we cannot be certain that consumers, businesses, or utilities will adopt PV systems as an alternative energy source at levels sufficient to grow our business. If demand for solar energy solutions fails to continue to develop sufficiently, demand for our products and services will decrease, resulting in an adverse impact on our ability to increase our revenue and grow our business.</w:t>
      </w:r>
    </w:p>
    <w:p>
      <w:pPr>
        <w:spacing w:after="0" w:line="16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Additionally, there is fluctuating demand for solar energy solutions and we manufacture our products according to our estimate of future customer demand. We have experienced, and may in the future continue to experience, excess or shortages of product inventory as a result. This process requires us to make multiple forecasts and assumptions relating to the demand of our distributors, their end customers and general market conditions. As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or incomplete, then our own forecasts may also be inaccurate. Furthermore, we do not have long-term purchase commitments with most of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25" w:name="page26"/>
    <w:bookmarkEnd w:id="25"/>
    <w:p>
      <w:pPr>
        <w:jc w:val="both"/>
        <w:ind w:firstLine="656"/>
        <w:spacing w:after="0" w:line="264" w:lineRule="auto"/>
        <w:rPr>
          <w:sz w:val="20"/>
          <w:szCs w:val="20"/>
          <w:color w:val="auto"/>
        </w:rPr>
      </w:pPr>
      <w:r>
        <w:rPr>
          <w:rFonts w:ascii="Times New Roman" w:cs="Times New Roman" w:eastAsia="Times New Roman" w:hAnsi="Times New Roman"/>
          <w:sz w:val="16"/>
          <w:szCs w:val="16"/>
          <w:color w:val="auto"/>
        </w:rPr>
        <w:t>The cancellation or deferral of product orders, or overproduction due to a change in anticipated order volumes could result in us holding excess or obsolete inventory, which could result in inventory write-downs and, in turn, could have a material adverse effect on our financial condition. For example, in the second part of 2023, the solar industry began to experience a downturn, particularly in Europe, and we experienced substantial unexpected cancellations and push outs of existing backlog from our European distributors. This was a result of operational challenges in the later part of 2022, followed by record level shipments in the first half of 2023, slowing market demand in the third quarter of 2023, and which continued through the year ending December 31, 2024, as distributors began to experience financial challenges. In November 2025, Posigen, Inc., a customer of ours, announced that it filed for Chapter 11 bankruptcy in the Southern District of Texas, following a major liquidity crisis, leading to cancellations of orders. Some of our customers and some installers who purchase our products from distributors have shown signs of financial distress and some have requested and received extended payment terms or loans from us. Additionally, uncertainty related to changes in tariffs, trade policies, legislation, and guidance including from H.R.1, may further contribute to market volatility and adversely impact customer demand for our products, pricing and our financial performance.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w:t>
      </w:r>
    </w:p>
    <w:p>
      <w:pPr>
        <w:spacing w:after="0" w:line="171" w:lineRule="exact"/>
        <w:rPr>
          <w:sz w:val="20"/>
          <w:szCs w:val="20"/>
          <w:color w:val="auto"/>
        </w:rPr>
      </w:pPr>
    </w:p>
    <w:p>
      <w:pPr>
        <w:jc w:val="both"/>
        <w:ind w:firstLine="656"/>
        <w:spacing w:after="0" w:line="267" w:lineRule="auto"/>
        <w:rPr>
          <w:sz w:val="20"/>
          <w:szCs w:val="20"/>
          <w:color w:val="auto"/>
        </w:rPr>
      </w:pPr>
      <w:r>
        <w:rPr>
          <w:rFonts w:ascii="Times New Roman" w:cs="Times New Roman" w:eastAsia="Times New Roman" w:hAnsi="Times New Roman"/>
          <w:sz w:val="16"/>
          <w:szCs w:val="16"/>
          <w:color w:val="auto"/>
        </w:rPr>
        <w:t>Conversely, if we underestimate demand, we may not have sufficient inventory to meet end-customer demand, and we may incur excess costs related to expedited deliveries, lose market share, damage relationships with our distributors and end customers, harm our reputation and forego potential revenue opportunities. Obtaining additional supply in the face of product shortages may be costly or impossible, particularly in light of supply chain disruptions and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68"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6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43" w:lineRule="exact"/>
        <w:rPr>
          <w:sz w:val="20"/>
          <w:szCs w:val="20"/>
          <w:color w:val="auto"/>
        </w:rPr>
      </w:pPr>
    </w:p>
    <w:p>
      <w:pPr>
        <w:jc w:val="both"/>
        <w:ind w:firstLine="656"/>
        <w:spacing w:after="0" w:line="270" w:lineRule="auto"/>
        <w:rPr>
          <w:sz w:val="20"/>
          <w:szCs w:val="20"/>
          <w:color w:val="auto"/>
        </w:rPr>
      </w:pPr>
      <w:r>
        <w:rPr>
          <w:rFonts w:ascii="Times New Roman" w:cs="Times New Roman" w:eastAsia="Times New Roman" w:hAnsi="Times New Roman"/>
          <w:sz w:val="16"/>
          <w:szCs w:val="16"/>
          <w:color w:val="auto"/>
        </w:rPr>
        <w:t>Our business depends on the overall demand for our solar energy products and on the economic health and willingness of our customers and potential customers to make capital commitments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165" w:lineRule="exact"/>
        <w:rPr>
          <w:sz w:val="20"/>
          <w:szCs w:val="20"/>
          <w:color w:val="auto"/>
        </w:rPr>
      </w:pPr>
    </w:p>
    <w:p>
      <w:pPr>
        <w:jc w:val="both"/>
        <w:ind w:firstLine="656"/>
        <w:spacing w:after="0" w:line="273" w:lineRule="auto"/>
        <w:rPr>
          <w:sz w:val="20"/>
          <w:szCs w:val="20"/>
          <w:color w:val="auto"/>
        </w:rPr>
      </w:pPr>
      <w:r>
        <w:rPr>
          <w:rFonts w:ascii="Times New Roman" w:cs="Times New Roman" w:eastAsia="Times New Roman" w:hAnsi="Times New Roman"/>
          <w:sz w:val="16"/>
          <w:szCs w:val="16"/>
          <w:color w:val="auto"/>
        </w:rPr>
        <w:t>In the past, unfavorable macroeconomic and market conditions have resulted in sustained periods of decreased demand. Macroeconomic and market conditions could be adversely affected by a variety of political, economic or other factors in the U.S., Europe,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155" w:lineRule="exact"/>
        <w:rPr>
          <w:sz w:val="20"/>
          <w:szCs w:val="20"/>
          <w:color w:val="auto"/>
        </w:rPr>
      </w:pPr>
    </w:p>
    <w:p>
      <w:pPr>
        <w:ind w:left="580" w:hanging="296"/>
        <w:spacing w:after="0" w:line="244"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demand for our products as a result of constraints on capital spending for solar energy systems by our customers and/or a reduction in government subsidies for renewable energy investments;</w:t>
      </w:r>
    </w:p>
    <w:p>
      <w:pPr>
        <w:ind w:left="580" w:hanging="296"/>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price competition for our products that may adversely affect revenue, gross margin and profitability;</w:t>
      </w:r>
    </w:p>
    <w:p>
      <w:pPr>
        <w:ind w:left="580" w:hanging="296"/>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of any disadvantageous trade regulations and import tariffs;</w:t>
      </w:r>
    </w:p>
    <w:p>
      <w:pPr>
        <w:ind w:left="580" w:hanging="296"/>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ability to forecast operating results and make decisions about budgeting, planning and future investments;</w:t>
      </w:r>
    </w:p>
    <w:p>
      <w:pPr>
        <w:ind w:left="580" w:hanging="296"/>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in the popularity of solar energy as a green energy solution;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26" w:name="page27"/>
    <w:bookmarkEnd w:id="26"/>
    <w:p>
      <w:pPr>
        <w:ind w:left="580" w:hanging="296"/>
        <w:spacing w:after="0" w:line="244"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ind w:left="580" w:hanging="296"/>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overhead and production costs as a percentage of revenue.</w:t>
      </w:r>
    </w:p>
    <w:p>
      <w:pPr>
        <w:spacing w:after="0" w:line="201" w:lineRule="exact"/>
        <w:rPr>
          <w:sz w:val="20"/>
          <w:szCs w:val="20"/>
          <w:color w:val="auto"/>
        </w:rPr>
      </w:pPr>
    </w:p>
    <w:p>
      <w:pPr>
        <w:ind w:firstLine="648"/>
        <w:spacing w:after="0" w:line="300" w:lineRule="auto"/>
        <w:rPr>
          <w:sz w:val="20"/>
          <w:szCs w:val="20"/>
          <w:color w:val="auto"/>
        </w:rPr>
      </w:pPr>
      <w:r>
        <w:rPr>
          <w:rFonts w:ascii="Times New Roman" w:cs="Times New Roman" w:eastAsia="Times New Roman" w:hAnsi="Times New Roman"/>
          <w:sz w:val="16"/>
          <w:szCs w:val="16"/>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14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A drop in the retail price of electricity derived from the utility grid or from alternative energy sources may harm our business, financial condition, results of operations, and prospects.</w:t>
      </w:r>
    </w:p>
    <w:p>
      <w:pPr>
        <w:spacing w:after="0" w:line="143" w:lineRule="exact"/>
        <w:rPr>
          <w:sz w:val="20"/>
          <w:szCs w:val="20"/>
          <w:color w:val="auto"/>
        </w:rPr>
      </w:pPr>
    </w:p>
    <w:p>
      <w:pPr>
        <w:ind w:firstLine="648"/>
        <w:spacing w:after="0" w:line="300" w:lineRule="auto"/>
        <w:rPr>
          <w:sz w:val="20"/>
          <w:szCs w:val="20"/>
          <w:color w:val="auto"/>
        </w:rPr>
      </w:pPr>
      <w:r>
        <w:rPr>
          <w:rFonts w:ascii="Times New Roman" w:cs="Times New Roman" w:eastAsia="Times New Roman" w:hAnsi="Times New Roman"/>
          <w:sz w:val="16"/>
          <w:szCs w:val="16"/>
          <w:color w:val="auto"/>
        </w:rPr>
        <w:t>Decreases in the retail prices of electricity from the utility grid, or other renewable energy resources, would make the purchase of PV systems less economically attractive and would likely lower sales of our products. The price of electricity derived from the utility grid could decrease as a result of:</w:t>
      </w:r>
    </w:p>
    <w:p>
      <w:pPr>
        <w:spacing w:after="0" w:line="133" w:lineRule="exact"/>
        <w:rPr>
          <w:sz w:val="20"/>
          <w:szCs w:val="20"/>
          <w:color w:val="auto"/>
        </w:rPr>
      </w:pPr>
    </w:p>
    <w:p>
      <w:pPr>
        <w:ind w:left="580" w:hanging="296"/>
        <w:spacing w:after="0" w:line="243"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of a significant number of new power generation plants, including plants utilizing natural gas, nuclear, coal, renewable energy, or other generation technologies;</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relief of transmission constraints that enable local centers to generate energy less expensively;</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reductions in the price of natural gas, or alternative energy resources other than solar;</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rate adjustment and customer class cost reallocation;</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energy conservation technologies and public initiatives to reduce electricity consumption;</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smart-grid technologies that lower the peak energy requirements of a utility generation facility;</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or lower-cost energy storage technologies that have the ability to reduce a customer’s average cost of electricity by shifting load to off-peak times; and</w:t>
      </w:r>
    </w:p>
    <w:p>
      <w:pPr>
        <w:ind w:left="580" w:hanging="29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energy generation technologies that provide less expensive energy.</w:t>
      </w:r>
    </w:p>
    <w:p>
      <w:pPr>
        <w:spacing w:after="0" w:line="20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6"/>
          <w:szCs w:val="16"/>
          <w:color w:val="auto"/>
        </w:rPr>
        <w:t>Moreover, technological developments in the PV and solar components industry could allow our competitors and their customers to offer electricity at lower costs than those that we can offer to our customers, which could result in reduced demand for our products. If the cost of electricity generated by PV installations incorporating our systems is high relative to the cost of electricity from other sources, our business, financial condition, and results of operations may be negatively impacted.</w:t>
      </w:r>
    </w:p>
    <w:p>
      <w:pPr>
        <w:spacing w:after="0" w:line="1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An increase in interest rates or tightening of the supply of capital in the global financial markets could make it difficult for end-users to finance the cost of a PV system and could reduce the demand for smart energy products and thus the demand for our products.</w:t>
      </w:r>
    </w:p>
    <w:p>
      <w:pPr>
        <w:spacing w:after="0" w:line="146"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Many end-users depend on financing to fund the initial capital expenditure required to develop, build, or purchase a PV system. An increase in interest rates or a reduction in the supply of project debt financing or tax equity investments, could reduce the number of solar projects that receive financing or otherwise make it difficult for our customers or the end-users to secure the financing necessary to develop, build, purchase, or install a PV system on favorable terms, or at all, and thus lower demand for our products which could limit our growth or reduce our net sales. In addition, we believe that a significant percentage of end-users install PV systems as an investment, funding the initial capital expenditure through financing. An increase in interest rates could lower such end-user’s return on investment on a PV system, increase equity return requirements or make alternative investments more attractive relative to PV systems, and, in each case, could cause such end-users to seek alternative investments. During 2022 and 2023, record levels of inflation resulted in significant volatility and disruptions in the global economy. In response to rising inflation, central banks in the markets in which we operate, including the U.S. Federal Reserve and the European Central Bank, tightened their monetary policies and raised interest rates. Such measures have adversely impacted the demand for our products and may continue if there is a period of sustained heightened inflation.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02" w:right="804" w:bottom="1440" w:gutter="0" w:footer="0" w:header="0"/>
        </w:sectPr>
      </w:pPr>
    </w:p>
    <w:bookmarkStart w:id="27" w:name="page28"/>
    <w:bookmarkEnd w:id="27"/>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The market for our products is highly competitive and we expect to face increased competition as new and existing competitors introduce power optimizers, EV chargers, inverters, PV system monitoring, batteries and other smart energy products, which could negatively affect our results of operations and market share.</w:t>
      </w:r>
    </w:p>
    <w:p>
      <w:pPr>
        <w:spacing w:after="0" w:line="15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 xml:space="preserve">The market for PV solutions is highly competitive and increasing competition may adversely affect our market share, revenues, gross margins, and profitability. We principally compete with traditional inverter manufacturers, microinverter manufacturers, and emerging MLPE technology providers. Our DC optimized inverter system competes with products from these traditional competitors as well as new entrants offering alternative MLPE technologies. Over the last years, several new entrants to the inverter and MLPE market, including low-cost Asian manufacturers, have entered, announced, or expanded into markets in which we sell our products, including, with respect to sales in the U.S., Australia, and in Europe. We expect competition to intensify as new and existing competitors enter the market. Increasing competition is being driven by evolving safety standards, the emergence of higher </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power PV modules, rising demand for storage solutions, and the entry of additional MLPE, inverter, battery, and software</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based energy</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management providers across our key markets, across both our residential and C&amp;I markets.. If these technologies are successful in offering a price competitive and technological attractive solution to the PV market, this could make it more difficult for us to maintain market share.</w:t>
      </w:r>
    </w:p>
    <w:p>
      <w:pPr>
        <w:spacing w:after="0" w:line="172"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Several of our existing and potential competitors have the financial resources or have received financial resources or benefit from government subsidies or state</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supported financing, in order to offer competitive products at aggressive or below-market pricing levels, which could cause us to lose sales or market share or require us to lower prices for our products in order to compete effectively. Specifically, competition from Chinese state owned or financed companies pose pricing pressure on us and may exacerbate regional market volatility. If we have to reduce our prices more than anticipated, or if we are unable to offset any future reductions in our average selling prices by increasing our sales volume, reducing our costs and expenses or introducing new products, our revenues and gross profit would suffer.</w:t>
      </w:r>
    </w:p>
    <w:p>
      <w:pPr>
        <w:spacing w:after="0" w:line="168"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In addition, competitors may be able to develop new technologies or products more quickly than us, may partner with other competitors to provide combined technologies and competing solutions and may be able to develop products that are more reliable or that provide more functionality than ours.</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Developments in alternative technologies or improvements in distributed solar energy generation may have a material adverse effect on demand for our offerings.</w:t>
      </w:r>
    </w:p>
    <w:p>
      <w:pPr>
        <w:spacing w:after="0" w:line="146"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Significant developments in alternative technologies, such as advances in other forms of distributed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processes, or to react to changes in existing technologies, could result in product obsolescence, the loss of competitiveness of our products, decreases in our revenue, and a loss of market share to competitors.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solar industry has historically been cyclical and experienced periodic downturns.</w:t>
      </w:r>
    </w:p>
    <w:p>
      <w:pPr>
        <w:spacing w:after="0" w:line="214"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Our future success partly depends on continued demand for PV systems in the end-markets we serve, including the residential and commercial sectors in the U.S., Europe and additional international markets. The solar industry has historically been cyclical and has experienced periodic downturns which have affected and may in the future affect demand for our products. The solar industry has undergone challenging business conditions in past years, including downward pricing pressure for PV modules, mainly as a result of overproduction, and reductions in applicable governmental subsidies, contributing to demand decreases. For example, since the second part of 2023, throughout 2024, and throughout 2025 the solar industry experienced a downturn, which persists. This downturn initially led to a large amount of requests to cancel or push out orders during 2023 and into 2024, and the buildup of a significant backlog for our products.In the second half of 2023, throughout 2024, and throughout 2025, with a downturn of the renewable energy demand, some players in the market have announced exiting the solar market and others have shown signs of financial distress. For example, in November 2025, Posigen, Inc., a customer of ours, announced that it filed for Chapter 11 bankruptcy in the Southern District of Texas, following a major liquidity crisis. Some of our customers and some installers who purchase our products from distributors have shown signs of financial distress and some have requested and received extended payment terms or loans from us. There is no assurance that the solar industry will not suffer additional significant downturns in the future, which will adversely affect demand for our solar products and our results of operations.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28" w:name="page29"/>
    <w:bookmarkEnd w:id="28"/>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46"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or components thereof, shipment delays, rejection of our products, damage to our reputation, lost revenue, diversion of our personnel from our product development efforts, and increases in customer service and support costs, all of which could have a material adverse effect on our business, financial condition, and results of operations.</w:t>
      </w:r>
    </w:p>
    <w:p>
      <w:pPr>
        <w:spacing w:after="0" w:line="166"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Furthermore, defective components may give rise to warranty, indemnity, or product liability claims against us that exceed any revenue or profit we receive from the affected products. In most cases, we offer a 12-year limited warranty for our inverters, extendable to twenty- five years for an additional cost, a 25-year limited warranty for our power optimizers and a 10-year limited warranty for our residential batteries and storage solutions. Our limited warranties cover defects in materials and workmanship of our products under normal use and service conditions; therefore,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in some cases we do not have a long history of making such assumptions. These assumptions could prove to be materially different from the actual performance of our systems, or from claims made by installers, customers or end users, causing us to incur substantial unanticipated expenses to repair or replace defective products in the future or to compensate customers for defective products. Our failure to accurately predict future claims could result in unexpected volatility in, and have a material adverse effect on, our financial condition. In particular, our commercial CSS-OD batteries are relatively new to the market, and our operational experience in servicing these products is still developing.</w:t>
      </w:r>
    </w:p>
    <w:p>
      <w:pPr>
        <w:spacing w:after="0" w:line="17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If one of our products were to cause injury to someone or cause property damage, or in the event that a claim is made alleging false or misleading advertisement, unfair competition or other consumer related claims, we could potentially be exposed to product liability claims and lawsuits which could result in significant costs and liabilities if damages are awarded against us. Further, any product liability claim we face could be expensive to defend and could divert management’s attention. Even in litigation where we believe our liability is remote, there is a risk that a negative finding or decision in a matter involving multiple plaintiffs or a purported class action could have a material adverse effect on our competitive position, results of operations or financial condition.</w:t>
      </w:r>
    </w:p>
    <w:p>
      <w:pPr>
        <w:spacing w:after="0" w:line="16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w:t>
      </w:r>
    </w:p>
    <w:p>
      <w:pPr>
        <w:spacing w:after="0" w:line="1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Changes in our geographic footprint or product and service offerings may subject us to additional business, operational, financial, competitive, and compliance risks.</w:t>
      </w:r>
    </w:p>
    <w:p>
      <w:pPr>
        <w:spacing w:after="0" w:line="146"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As such, we are focusing on markets where we believe we will recognize the most opportunity. We have in the past, and may in the future, evaluate opportunities to leave geographic markets if they are not profitable or expand into new geographic markets and introduce new product offerings and services. We may sell subsidiaries, business, or disengage with product lines in order to further our focus on our core business and as a cost-reduction effort. We may also engage in acquisitions of businesses or product lines with the potential to strengthen and expand our market position, technological capabilities, or provide synergy opportunities.</w:t>
      </w:r>
    </w:p>
    <w:p>
      <w:pPr>
        <w:spacing w:after="0" w:line="167"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Throughout the last years, we have divested from certain businesses and markets in order to focus on our core business. In October 2023, the Company decided to discontinue its LCV e-Mobility activity. In November 2024, the Company decided to discontinue its Energy Storage business related to the manufacture of batteries, mainly at our Sella2 location in South Korea in order to focus on the Company's core solar business. On September 4, 2025, as part of the decision to close our Energy Storage Division, we sold our last battery cell manufacturing facility in South Korea. In April 2025, we divested from our PV tracker business, as part of our effort to focus on our core activities. Our divestiture from any market or business has costs, could result in us holding excess or obsolete inventory, which could result in inventory write-downs and, in turn, could have a material adverse effect on our financial condition. Our divestiture from any geographic markets may involve significant operational, legal, and financial risks. Decisions to discontinue operations in a region—whether due to unfavorable regulatory changes, sustained decreases in demand, macroeconomic deterioration, or shifts in strategic priorities could result in the loss of established customer relationships, impairment of long</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lived assets, and increased costs associated with contract terminations, workforce reductions, or regulatory compliance. Additionally, withdrawal from a market may adversely affect our brand reputation, limit future growth opportunities in that region, and increase the complexity of managing our global operations, any of which could materially and adversely affect our business, financial condition, and results of operations.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29" w:name="page30"/>
    <w:bookmarkEnd w:id="29"/>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successful operation in any market, including those we exit, re-enter, or any acquired business, will depend on a number of factors, including our ability to develop solutions to address the requirements of the homeowners, regulators, large commercial and utility-scale PV markets, timely certification of new products for large commercial and utility-scale PV installations, acceptance of power optimizers in PV markets in which they have not traditionally been used, and our ability to manage increased manufacturing capacity and production and to identify and integrate any acquired businesses.</w:t>
      </w:r>
    </w:p>
    <w:p>
      <w:pPr>
        <w:spacing w:after="0" w:line="162"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Further, we expect PV markets and additional markets that we have entered, exited, or may enter into, to have different characteristics from the markets in which we currently sell our products. Our success will depend on our ability to properly adapt to these differences, which include differing regulatory requirements, such as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and performance and compatibility requirements. In addition, expanding into new geographic markets will increase our exposure to existing risks, such as fluctuations in the value of foreign currencies and increased expenses in complying with U.S. and foreign laws, regulations and trade standards, including the Foreign Corrupt Practices Act of 1977, as amended (the “FCPA”).</w:t>
      </w:r>
    </w:p>
    <w:p>
      <w:pPr>
        <w:spacing w:after="0" w:line="167" w:lineRule="exact"/>
        <w:rPr>
          <w:sz w:val="20"/>
          <w:szCs w:val="20"/>
          <w:color w:val="auto"/>
        </w:rPr>
      </w:pPr>
    </w:p>
    <w:p>
      <w:pPr>
        <w:jc w:val="both"/>
        <w:ind w:firstLine="576"/>
        <w:spacing w:after="0" w:line="336" w:lineRule="auto"/>
        <w:rPr>
          <w:sz w:val="20"/>
          <w:szCs w:val="20"/>
          <w:color w:val="auto"/>
        </w:rPr>
      </w:pPr>
      <w:r>
        <w:rPr>
          <w:rFonts w:ascii="Times New Roman" w:cs="Times New Roman" w:eastAsia="Times New Roman" w:hAnsi="Times New Roman"/>
          <w:sz w:val="15"/>
          <w:szCs w:val="15"/>
          <w:color w:val="auto"/>
        </w:rPr>
        <w:t>Failure to successfully develop and introduce new products,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11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depend upon a small number of outside contract manufacturers. Our operations could be disrupted if we encounter problems with these contract manufacturers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including difficulties ramping production with new contract manufacturers.</w:t>
      </w:r>
    </w:p>
    <w:p>
      <w:pPr>
        <w:spacing w:after="0" w:line="14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While we manufacture a small portion of our products in Israel, we heavily rely upon our contract manufacturers to manufacture most of our products. We mainly rely on two contract manufacturers. Any change in our relationship or contractual terms with our contract manufacturers, or changes in our contract manufacturers’ ability to comply with their contractual obligations could adversely affect our financial condition and results of operations. Our reliance on a small number of contract manufacturers makes us vulnerable to possible capacity constraints and reduced control over component availability, delivery schedules, manufacturing yields and costs. Even though we also manufacture in our facilities in Israel, the expected production volumes will not be sufficient to relieve our significant dependence on our contract manufacturers. In addition, we remain heavily dependent on suppliers of the subcomponents and components needed for our manufacturing.</w:t>
      </w:r>
    </w:p>
    <w:p>
      <w:pPr>
        <w:spacing w:after="0" w:line="168"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The revenues that our contract manufacturers generate from our orders represent a relatively small percentage of their overall revenues. Therefore, fulfilling our orders may not be considered a priority in the event of constrained ability to fulfill all of their customer obligations in a timely manner.</w:t>
      </w:r>
    </w:p>
    <w:p>
      <w:pPr>
        <w:spacing w:after="0" w:line="143"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If either of our contract manufacturers were unable or unwilling to manufacture our products in required volumes and at high quality levels or continue to supply under existing terms, we would have to identify, qualify, and select acceptable alternative contract manufacturers, which may not be available to us when needed or may be unable to satisfy our quality or production requirements on commercially reasonable terms. Any significant interruption in manufacturing would require us to reduce our supply of products to our customers or increase our shipping costs to make up for delays in manufacturing, which in turn could reduce our revenues, harm our relationships with our customers, subject us to liquidated damages for late deliveries, and damage our reputation with local installers and potential end-users, all of which will cause us to forego potential revenue opportunities.</w:t>
      </w:r>
    </w:p>
    <w:p>
      <w:pPr>
        <w:spacing w:after="0" w:line="167"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Further, the ramping up of a new contract manufacturer is time consuming and draining on the resources of our operations team. For example, in light of the IRA, a law in the United States that incentivizes the local manufacturing of renewable energy products by providing benefits to installers for the purchase and installation of U.S.-manufactured products as well as by incentivizing manufacturers of such products domestically, we have engaged two contract manufacturers in the U.S. Our ability to ramp up production with these contract manufacturers in a timely manner, and to realize the benefits from the IRA as planned, is dependent upon supply times of equipment deliveries and readiness of the assembly lines, recruitment and training of the necessary work force, ramp up of the assembly lines and the quality of the initial production.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delays, disruptions, or quality control problems in our manufacturing operations.</w:t>
      </w:r>
    </w:p>
    <w:p>
      <w:pPr>
        <w:spacing w:after="0" w:line="214"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Our product development, manufacturing, and testing processes are complex and require significant technological and production process expertise involving several precise steps from design to production. Any change in our processes could cause one or more production errors, requiring a temporary suspension or delay in our production line until the errors can be identified and properly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increased costs and delays, all of which could have a material adverse effect on our business, financial condition, and results of operations.</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depend on a limited number of suppliers for key components and raw materials in our products to adequately meet anticipated demand. Due to the limited number of such suppliers, any changes or shortages in raw materials or key components we use could result in sales delays, higher costs associated with air shipments, cancellations, and loss of market share.</w:t>
      </w:r>
    </w:p>
    <w:p>
      <w:pPr>
        <w:spacing w:after="0" w:line="158"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We depend on limited or single source suppliers for certain key components and raw materials used to manufacture our products, making us susceptible to quality issues, shortages and price changes. Any of these limited or single source suppliers could stop supplying, or offering at commercially reasonable prices, our components or raw materials, cease operations or be acquired by, or enter into exclusive arrangements with our competitors. Moreover, we rely on suppliers in China for certain key subcomponents or components, and rising tensions between China and other countries could damage our relationships with these suppliers. It may be difficult to timely identify and/or qualify alternate suppliers on commercially reasonable terms; therefore, our ability to satisfy customer demand may be adversely affected. Transitioning to a new supplier or redesigning a product to accommodate a new component manufacturer would result in additional costs and delays that could harm our business or financial performance.</w:t>
      </w:r>
    </w:p>
    <w:p>
      <w:pPr>
        <w:spacing w:after="0" w:line="168"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In addition, given our dependence on suppliers in China, changes in international trade policies, tariffs, or trade disputes could significantly and adversely affect our business, revenues, margins, results of operations, and cash flows.</w:t>
      </w:r>
    </w:p>
    <w:p>
      <w:pPr>
        <w:spacing w:after="0" w:line="143"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Managing our supplier and contractor relationships is particularly difficult when we are introducing new products. For example, as we began to ramp assembly and production of residential and commercial batteries we became heavily reliant on new third-party suppliers that needed to be approved through rigorous testing and validation processes for use in our supply chain. Once selected, it is time consuming and costly to replace such vendors. Any delay or shortage of supply or inability to deliver the components to our manufacturing facilities could harm our business or financial performance.</w:t>
      </w:r>
    </w:p>
    <w:p>
      <w:pPr>
        <w:spacing w:after="0" w:line="16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Any interruption in the supply of limited source components or raw materials for our products would adversely affect our ability to meet scheduled product deliveries to our customers and could result in lost revenue or higher expenses associated with increased air shipments required to meet customer demand in a timely manner and would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Changing political and geopolitical conditions could adversely impact our business, our financial results, and the global energy market.</w:t>
      </w:r>
    </w:p>
    <w:p>
      <w:pPr>
        <w:spacing w:after="0" w:line="214"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Changes in the political conditions in markets in which we manufacture, sell, or distribute our products, as well as changing geopolitical conditions, may be difficult to predict and may adversely affect our business, operations, and financial results. Results of elections, referendums, the implementation of trade restrictions, sanctions or other political processes and pressures in certain markets in which our products are manufactured, sold or distributed have created and could continue to create uncertainty regarding how existing governmental policies, laws and regulations may change, including with respect to sanctions, taxes, tariffs, import and export controls and the general movement of goods, materials, services, capital, data and people between countries. The potential implications of such uncertainty, which include, among others, exchange rate fluctuations, variability, and unpredictability in trade relations such as U.S. trade relations, new or increased tariffs, trade barriers and market contraction, could adversely affect the Company’s results of operations and cash flows.</w:t>
      </w:r>
    </w:p>
    <w:p>
      <w:pPr>
        <w:spacing w:after="0" w:line="167"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For example the conflict that began between Russia and Ukraine in late February 2022 may lead to disruptions to our supply-chain and logistics. Specifically, the conflict may disrupt the transit of goods by train from China to Europe, resulting in an increase in prices of certain raw materials that we use in the manufacture of our products. In addition, the governments of the U.S., the European Union, Japan and other jurisdictions announced sanctions on certain industry sectors and parties in Russia and the regions of Donetsk and Luhansk, as well as enhanced export controls on certain products and industries. These and any additional sanctions, as well as any counter responses by the governments of Russia or other jurisdictions, could adversely affect the global financial markets generally and levels of economic activity as well as increase financial markets volatility and any additional measures or sanctions, as well as the resulting rise in prices of oil and certain raw materials sourced in Russia may disrupt our business and results of operations and/or adversely affect the pricing of our products.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1" w:name="page32"/>
    <w:bookmarkEnd w:id="31"/>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We rely on distributors and large installers to assist in selling our products, and the failure of these customers to perform as expected could reduce our future revenues.</w:t>
      </w:r>
    </w:p>
    <w:p>
      <w:pPr>
        <w:spacing w:after="0" w:line="146"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customers’ decisions to purchase our products are influenced by several factors outside of our control. The agreements we have with some of our largest customers do not have long -term purchase commitments and are generally cancellable by either party after a relatively short notice period. The loss of, or events affecting, one or more of these customers could have a material adverse effect on our business, financial condition, and results of operations (see Note 2.aa to our consolidated financial statements).</w:t>
      </w:r>
    </w:p>
    <w:p>
      <w:pPr>
        <w:spacing w:after="0" w:line="162"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addition, we do not have exclusive arrangements with our third-party distributors and large installers, many of which also market and sell products from our competitors. These distributors and large installers may terminate their relationships with us at any time and with little or no notice. Further, these distributors and large installers may fail to devote resources necessary to sell our products at the prices, in the volumes, and within the time frames that we expect, or may focus their marketing and sales efforts on products of our competitors. Termination of agreements with current distributors or large installers, failure by these distributors or large installers to perform as expected, or failure by us to cultivate new distributor or large installer relationships, could hinder our ability to expand our operations and could negatively impact our revenue and results of operations.</w:t>
      </w:r>
    </w:p>
    <w:p>
      <w:pPr>
        <w:spacing w:after="0" w:line="16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the second half of 2023, throughout 2024, and throughout 2025, with a downturn of the renewable energy demand, some players in the market have announced exiting the solar market and others have shown signs of financial distress. For example, in November 2025, Posigen, Inc., a customer of ours, announced that it filed for Chapter 11 bankruptcy in the Southern District of Texas.. Some of our customers and some installers who purchase our products from distributors have shown signs of financial distress and some have requested and received extended payment terms or loans from us. If these installers and distributors become insolvent or if some of their customers fail to pay our distributors for products sold by such distributors, we may need to write off some of their debt to us and we may suffer harm to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Mergers in the solar industry among our current or potential customers may adversely affect our competitive position.</w:t>
      </w:r>
    </w:p>
    <w:p>
      <w:pPr>
        <w:spacing w:after="0" w:line="215"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There have been consolidation activities among distributors, large installers, and other strategic partners in the solar industry. For example in SunPower Inc. a solar technology, services and installation company acquired Sunder Energy, a leading residential solar sales company, in September 2025. In November 2025, Sun Power Inc also acquired Ambia Solar, a residential solar installation company. Additionally, in September 2025, Solaris Assets, LLC, and certain of its affiliates acquired substantially all the assets and business operations of Sunnova Energy International Inc., a residential solar and battery storage services company. If consolidations persist in the solar industry, our customers may be impacted, as we may increase our reliance on a small number of customers for a significant portion of our sales and may negatively impact our competitive position in the solar market.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implement our new ERP system could adversely impact our business and operations.</w:t>
      </w:r>
    </w:p>
    <w:p>
      <w:pPr>
        <w:spacing w:after="0" w:line="215"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We rely extensively on information systems and technology to manage our business and summarize operating results. We substantially completed the implementation of our new global ERP system during the fiscal quarter ended June 30, 2025. We are performing our post-implementation activities. The implementation of that ERP system is expected to, among other things, improve user access security and automate a number of accounting, back office and reporting processes and activities, thereby decreasing the amount of manual processes previously required. The implementation resulted in, and the post-implementation activities may result in, changes to certain of our processes and procedures. These changes have been and will continue to be subject to our evaluation of the operating effectiveness of internal controls over financial reporting.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complete the implementation of our ERP system without experiencing delays, increased costs and other difficulties. If we are unable to successfully design and utilize the new ERP system as planned, our financial positions, results of operations and cash flows could be negatively impacted. Additionally, if we do not effectively utilize the ERP system as planned or the ERP system does not operate as intended, the effectiveness of our internal control over financial reporting could be adversely affected or our ability to assess those controls adequately could be delayed.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2" w:name="page33"/>
    <w:bookmarkEnd w:id="32"/>
    <w:p>
      <w:pPr>
        <w:ind w:right="46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We have discontinued our e-Mobility business, energy storage business, and PV Tracker business, resulting in the write-off of tangible and intangible assets.</w:t>
      </w:r>
    </w:p>
    <w:p>
      <w:pPr>
        <w:spacing w:after="0" w:line="146"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In October 2023, the Company decided to discontinue its LCV e-Mobility activity related to the supply of products to its sole customer, Stellantis. Our e-Mobility business does not have projects in the pipeline, and we do not plan to engage additional customers or generate revenues from the e-Mobility business. We have therefore discontinued this business. In November 2024, the Company announced that it intends to discontinue its Energy Storage business related to the manufacture of batteries, mainly at our Sella 2 location in South Korea in order to focus on the Company's core solar business. On September 4, 2025, as part of the decision to close our Energy Storage Division, we sold our last battery cell manufacturing facility in South Korea. During December 2025, the Company decided to undertake actions necessary to substantially complete the liquidation process of SolarEdge Technologies Korea Co., Ltd. In April 2025, we divested from our PV tracker business, as part of our effort to focus on our core activities.</w:t>
      </w:r>
    </w:p>
    <w:p>
      <w:pPr>
        <w:spacing w:after="0" w:line="167"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the year ended December 31, 2023, we impaired tangible assets including machinery and inventory write-off related to our e-Mobility business. In the year ending December 31, 2024 we impaired goodwill and intangible assets and inventory write -off relating to our and Energy Storage Division. In the year ending December 31, 2025, we impaired our e-Mobility and Energy Storage held-for-sale assets to its fair value and did not impair any goodwill or intangible assets. Any future impairment charges could have a negative impact on our operating results and related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successfully operate our global operations with a reduced work force</w:t>
      </w:r>
    </w:p>
    <w:p>
      <w:pPr>
        <w:spacing w:after="0" w:line="215"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The workforce reductions we have implemented as part of our Restructuring Plans may negatively impact our ability to attract, integrate, retain and motivate highly qualified employees, may harm our reputation with current or prospective employees, may cause disruption to our business and result in the loss of institutional knowledge, and may impede the execution of our day-to-day operations and affect our ability to execute our business strategy. Under the Restructuring Plans, the Company reduced its workforce globally, throughout the last two years, through involuntary workforce reductions in order to better align the Company with current market conditions.</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We may not realize expected benefits from our cost reduction and restructuring efforts, and our profitability or our business otherwise might be adversely affected.</w:t>
      </w:r>
    </w:p>
    <w:p>
      <w:pPr>
        <w:spacing w:after="0" w:line="146"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In order to operate more efficiently and cost effectively, we have, and we may from time to time, adjust employment levels, optimize our footprint and/ or implement other restructuring activities. For example, in January, July, and November 2024, as well as January 2025, we announced adoption of a restructuring plan in response to challenging industry conditions, including a reduction in workforce. 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These activities are complex and may involve or require significant changes to our operations. If we do not successfully manage these activities, expected efficiencies and benefits might be delayed or not realized. Risks associated with these actions and other workforce management issues include: unfavorable political responses and reputational harm; unforeseen delays in the implementation of the restructuring activities; additional costs; adverse effects on employee morale; the failure to meet operational targets due to the loss of employees or work stoppages; and difficulty managing our operations during or after facility consolidations, any of which may impair our ability to achieve anticipated cost reductions, harm our business or reputation, or have a material adverse effect on our competitive position, results of operations, cash flows or financial condition.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3" w:name="page34"/>
    <w:bookmarkEnd w:id="33"/>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Any unauthorized access to, disclosure, or theft of confidential or personal information we gather, store, or use could harm our reputation and subject us to claims or litigation.</w:t>
      </w:r>
    </w:p>
    <w:p>
      <w:pPr>
        <w:spacing w:after="0" w:line="146"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Our business and operations may be impacted by cybersecurity incidents data security breaches and cybersecurity attacks, including attempts to gain unauthorized access to confidential data. We receive, store, and use certain personal information of our employees, customers, and the end-users of our customers’ PV systems. We may also share information with contractors and third-party providers to conduct our business. Although such contractors and third-party providers typically implement encryption and authentication technologies to secure the transmission and storage of data, those third-party providers may experience a significant data security breach, which may also detrimentally affect our business, results of operations, and financial condition. Our end-user product installations are monitored and supported remotely by our SAAS-based monitoring service. Our business, products, and operations may be impacted by attempts to interrupt our monitoring capabilities or attempts to interrupt the normal operation of existing installations, which could also affect electric grid operations. Our business operations, including manufacturing, shipments and sales may be materially impacted by attempts to sabotage the operations. Our ongoing business in all departments is dependent upon digital technology and use of computers for daily use and may be materially affected by attempts to disrupt our networks.</w:t>
      </w:r>
    </w:p>
    <w:p>
      <w:pPr>
        <w:spacing w:after="0" w:line="16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As detailed in Item 1C. - Cybersecurity, we take steps to protect the security, integrity, and confidentiality of our data, products, and the personal information we process; however, we have been subject to cybersecurity attacks, cyber incidents, and other information technology system disruptions in the past and there is no guarantee that inadvertent or unauthorized access, use or disclosure or cybersecurity incident, in each case, which could have material impact on us, will not occur despite our efforts. As such, while we have not experienced a material cybersecurity incident to date, a material cybersecurity incident could materially affect the integrity of our information systems, products, operations and production, including our ability to produce goods or provide services and our ability to timely and accurately produce financial reports. In addition, because techniques used to obtain unauthorized access or sabotage systems change frequently and generally are not identified until after they are launched against a target, we and our suppliers or vendors may be unable to anticipate these techniques or to implement adequate preventative or mitigatory measures.</w:t>
      </w:r>
    </w:p>
    <w:p>
      <w:pPr>
        <w:spacing w:after="0" w:line="169"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Unauthorized use or disclosure of, or access to, any personal information maintained by us or on our behalf, whether through breach of our systems, breach of the systems of our suppliers or vendors by an unauthorized third party, or through employee or contractor error, theft or misuse, or otherwise, could harm our business, particularly in light of the European General Data Protection Regulation, the California Consumer Privacy Act, and other state and federal laws in the U.S., and global laws which are already in effect or are coming into effect between 2024 and 2026. If any such unauthorized use manipulation, corruption, loss, or disclosure of, or access to, such personal information were to occur, our operations could be seriously disrupted, including the inability to render services due to system outages,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Any perceived or actual unauthorized access to, or use or disclosure of, such information could harm our reputation, substantially impair our ability to attract and retain customers, and have an adverse impact on our business, financial condition and results of operations. Any of the foregoing may be exacerbated by a delay or failure to detect a cybersecurity incident or the full extent of such incident. We may be required to incur significant costs to analyze any such event and to protect against damage caused by these disruptions or security breaches in the future. In addition, our liability insurance, which includes cyber insurance, might not be sufficient in type or amount to cover us against claims related to security incidents, cyberattacks and other related incidents.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Attempts by third parties, our employees, or our vendors might gain unauthorized access to our network or seek to compromise our products and services.</w:t>
      </w:r>
    </w:p>
    <w:p>
      <w:pPr>
        <w:spacing w:after="0" w:line="215"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Our products and services involve the storage, handling, and transmission of proprietary and other sensitive information. Malicious software such as viruses, software bugs, theft, misuse, defects, vulnerabilities in our products and services, as well as cyber attacks, phishing schemes, and other types of security breaches expose us to a risk of loss or improper use and disclosure of such information, which could result in litigation and other potential liabilities, including regulatory fines and penalties, as well as reputational harm. We have added new features involving AI to our offerings and internal systems, and features that rely on AI that may be susceptible to unanticipated security threats as our and the market’s understanding of AI-centric security risks and protection methods continue to develop.</w:t>
      </w:r>
    </w:p>
    <w:p>
      <w:pPr>
        <w:spacing w:after="0" w:line="166"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Occasionally, we face attempts by others, including our own employees or vendors, to access our networks, to gain unauthorized access through the Internet, introduce malicious software to our information technology (IT) systems, or corrupt the processes of hardware and software products that we manufacture and services we provide. We or our products may be a target of computer hackers, organizations, or malicious attackers who attempt to gain access to our network or data centers or those of our customers or end users; steal proprietary information related to our business, products, employees, and customers; or interrupt our systems or those of our customers or others. Occasionally, we encounter intrusions or attempts at gaining unauthorized access to our network. To date, none of these incidents have resulted in any material adverse impact to our business or operations, although there can be no guarantee that such impacts will not be material in the future. While we seek to detect and investigate all unauthorized attempts and attacks against our network and products, and to prevent their recurrence where practicable, we remain potentially vulnerable to additional known or unknown threats. In addition to intentional third-party cybersecurity breaches, the integrity and confidentiality of Company and customer data may be compromised as a result of human error, product defects, or technological failures. Cybersecurity breaches, whether successful or unsuccessful, and other IT system interruptions, including those resulting from human error and technological failures, could subject us to significant costs arising from, among others, rebuilding internal systems, reduced inventory value, providing modifications to our products and services, defending against litigation, responding to official inquiries or actions, paying damages, or taking other remedial steps with respect to third parties.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4" w:name="page35"/>
    <w:bookmarkEnd w:id="34"/>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Emerging issues related to the development and use of artificial intelligence could give rise to legal or regulatory action, damage our reputation, or otherwise materially harm of our business.</w:t>
      </w:r>
    </w:p>
    <w:p>
      <w:pPr>
        <w:spacing w:after="0" w:line="146"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Our development and use of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regulations, which could impose significant costs and obligations on us. This includes actual and pending orders and laws by the U.S. federal government, the European Union and other jurisdictions in which we operate. Emerging regulations may also pertain to the ethical use of AI, as well as clarifying intellectual property considerations. Our use of AI could give rise to legal or regulatory action or increased scrutiny or liability, and may damage our reputation or otherwise materially harm our business.</w:t>
      </w:r>
    </w:p>
    <w:p>
      <w:pPr>
        <w:spacing w:after="0" w:line="167"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Our evolving AI-related efforts may give rise to risks related to harmful content, inaccuracies, discrimination, intellectual property infringement or misappropriation, violation of rights of publicity, defamation, data privacy, cybersecurity, and other issues. As a result of these and other challenges associated with innovative technologies, our implementation of AI systems could subject us to competitive harm, regulatory action, legal liability (including under new and proposed legislation and regulations), new applications of existing data protection, privacy, intellectual property, and other laws, and brand or reputational harm. Some uses of AI will present ethical issues and may have broad effects on society. In order to implement AI responsibly and minimize unintended harmful effects, we have already devoted and will continue to invest significant resources to develop, test, and maintain our products and services, but we may not be able to identify or resolve all AI-related issues, deficiencies, and/or failures before they arise. Unintended consequences, uses, or customization of our AI tools and systems may negatively affect human rights, privacy, employment, or other social concerns, which may result in claims, lawsuits, brand or reputational harm, and increased regulatory scrutiny, any of which could harm our business, financial condition, and operating results.</w:t>
      </w:r>
    </w:p>
    <w:p>
      <w:pPr>
        <w:spacing w:after="0" w:line="172"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Furthermore, AI technology and services are highly competitive, rapidly evolving, and require significant investment, including technical infrastructure, development and operational costs, to meet the changing needs and expectations of our existing users and attract new users. Our ability to correctly deploy certain AI technologies is critical for our products and services and for our business strategy may depend on the availability and pricing of third-party equipment and other technical infrastructure operations costs, including network capacity, energy, and equipment costs. Additionally, other companies may develop AI products and technologies that are similar or superior to our technologies or more cost-effective to develop and/or deploy. Other companies may also have (or in the future may obtain) patents or other proprietary rights that would prevent, limit, or interfere with our ability to make, use, or sell our own AI products and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loss of key executives, and our ability to retain key personnel and attract additional qualified personnel</w:t>
      </w:r>
    </w:p>
    <w:p>
      <w:pPr>
        <w:spacing w:after="0" w:line="214"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On August 26, 2024, the Company's former Chief Executive Officer, Zvi Lando resigned, and the Board of Directors appointed its former Chief Financial Officer, Ronen Faier to the position of interim Chief Executive Officer. In conjunction with this transition, the Board of Directors also appointed Ariel Porat, formerly the Company’s Senior Vice President of Finance, to serve as Chief Financial Officer. On December 4, 2024, Shuki Nir was appointed as the Company's CEO. On December 31, 2024, Rachel Prishkolnik, the Company's VP General Counsel and Corporate Secretary retired from her position and was replaced by Dalia Litay, the Company's new Chief Legal Officer. On March 3, 2025, Asaf Alperovitz replaced Ariel Porat as the Company's Chief Financial Officer. Executive leadership and senior management transitions, reductions in workforce and employee turnover can be time consuming, difficult to manage, create instability, cause disruption to our business and result in the loss of institutional knowledge, and any of these outcomes could impede the execution of our day-to-day operations and our ability to fully implement our business strategy. These impacts could also make it more difficult to attract and retain talent. The failure to successfully hire and retain key executives and employees or the further loss of any key executives, senior management and employees could have a significant impact on our operations, including declining product identity and competitive differentiation, eroding employee morale and productivity or an inability to maintain internal controls, regulatory or other compliance related requirements, any and all of which could in turn adversely impact our business, financial condition, and results of operations.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124460</wp:posOffset>
                </wp:positionV>
                <wp:extent cx="653224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8pt" to="514.15pt,9.8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5" w:name="page36"/>
    <w:bookmarkEnd w:id="35"/>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Disruption to our business operations as a result of the evolving conflict in Israel and other conditions in Israel that affect our operations may limit our ability to develop, produce and sell our products.</w:t>
      </w:r>
    </w:p>
    <w:p>
      <w:pPr>
        <w:spacing w:after="0" w:line="146"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Our headquarters and research and development center are located in Israel. Accordingly, political, economic, and military conditions in Israel directly affect us. Israel has been involved in a number of armed conflicts and the target of terrorist activity, including threats from Gaza, Iran, the Houthi militants in Yemen, Hezbollah militants in Lebanon, Iranian militias in Syria, and others.Additionally, in the second quarter of 2025, Israel and the Islamic Republic of Iran engaged in a 12-day war, which has since stabilized due to a brokered ceasefire.Violence between Hamas and Israel intensified on October 7th, 2023 when the terrorist group launched an unprecedented attack on Israel. On October 8, 2023 the Israeli Government declared that the Security Cabinet of the State of Israel approved a war situation in Israel. Since our headquarters and most of our employees operate from Israel, the state of war has disrupted and is continuing to disrupt our business operations. This situation has impacted the availability of our workforce, as part of our workforce in Israel, where we are headquartered, have been called into active reserve duty. From November 2023, until October 2025, the Houthis, a rebel Shi'a group in Yemen attacked international shipping lanes in the red sea forcing commercial ships to redirect commercial freight traffic away from the Bab al Mandab Strait and the Suez Canal, and find alternative longer and safer travel routes. If this situation continues or intensifies shipment costs and energy prices may increase which in turn may have an impact on the Company as well as on the global economy.</w:t>
      </w:r>
    </w:p>
    <w:p>
      <w:pPr>
        <w:spacing w:after="0" w:line="174" w:lineRule="exact"/>
        <w:rPr>
          <w:sz w:val="20"/>
          <w:szCs w:val="20"/>
          <w:color w:val="auto"/>
        </w:rPr>
      </w:pPr>
    </w:p>
    <w:p>
      <w:pPr>
        <w:ind w:right="260" w:firstLine="576"/>
        <w:spacing w:after="0" w:line="279" w:lineRule="auto"/>
        <w:rPr>
          <w:sz w:val="20"/>
          <w:szCs w:val="20"/>
          <w:color w:val="auto"/>
        </w:rPr>
      </w:pPr>
      <w:r>
        <w:rPr>
          <w:rFonts w:ascii="Times New Roman" w:cs="Times New Roman" w:eastAsia="Times New Roman" w:hAnsi="Times New Roman"/>
          <w:sz w:val="16"/>
          <w:szCs w:val="16"/>
          <w:color w:val="auto"/>
        </w:rPr>
        <w:t>On October 9, 2025, Israel, Hamas, the United States and other countries in the region agreed to a framework for a ceasefire in Gaza between Israel and Hamas. It is unknown whether this ceasefire will endure, or if other conflicts in Gaza, Lebanon, Yemen, Iran, or in the broader region will reemerge or escalate in the future.</w:t>
      </w:r>
    </w:p>
    <w:p>
      <w:pPr>
        <w:spacing w:after="0" w:line="15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Any future armed conflict, political instability or violence in the region may impede our ability to manage our business effectively, operate our manufacturing plant in northern Israel, engage in research and development, or otherwise adversely affect our business or operations. In the event of escalation of the current war situation or others, we may be forced to cease operations, which may cause delays in the distribution and sale of our products. Some of our directors, executive officers, and employees in Israel are obligated to perform reserve duty in the Israeli military and are subject to being called for additional active duty under emergency circumstances. In the event that our principal executive office is damaged as a result of hostile action, or hostilities otherwise disrupt the ongoing operation of our offices, our ability to operate could be materially adversely affected.</w:t>
      </w:r>
    </w:p>
    <w:p>
      <w:pPr>
        <w:spacing w:after="0" w:line="16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Additionally, several countries principally in the Middle East, restrict doing business with Israeli companies, and additional countries and groups may impose similar restrictions if hostilities in Israel or political instability in the region continue or increase. If instability in neighboring states results in the establishment of fundamentalist Islamic regimes or governments more hostile to Israel, or if Egypt or Jordan abrogates its respective peace treaty with Israel, Israel could be subject to additional political, economic, and military confines, and our operations and ability to sell our products to countries in the region could be materially adversely affected.</w:t>
      </w:r>
    </w:p>
    <w:p>
      <w:pPr>
        <w:spacing w:after="0" w:line="165"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Any current or future hostilities involving Israel or the interruption or curtailment of trade between Israel and its present trading partners, or significant downturn in the economic or financial condition of Israel, could have a material adverse effect on our business, financial condition, and results of operations.</w:t>
      </w:r>
    </w:p>
    <w:p>
      <w:pPr>
        <w:spacing w:after="0" w:line="140"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that regard, since the start of the war with Hamas, we have become aware of pressure being placed on our customers not to engage in business with us due to our affiliation with Israel. In addition, foreign policy could be negatively impacted with regard to Israel. If these pressures intensify or continue to occur, they could impact our business with suppliers and customers which could in turn adversely impact our reputation, results of operations or financial condition.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6" w:name="page37"/>
    <w:bookmarkEnd w:id="36"/>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w:t>
      </w:r>
    </w:p>
    <w:p>
      <w:pPr>
        <w:spacing w:after="0" w:line="158"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Due to the war that began on October 7, 2023, some of our employees in Israel were called to active reserve duty and additional employees may be called in the future, if needed. In the year ended December 31, 2025 approximately 279 or 13% of our employees in Israel have been called to active reserve duty for varying periods, impacting the availability of our workforce.</w:t>
      </w:r>
    </w:p>
    <w:p>
      <w:pPr>
        <w:spacing w:after="0" w:line="156"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spacing w:after="0" w:line="16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Additionally, in 2023, the Israeli government announced plans to significantly reduce the Israeli Supreme Court's judicial oversight, including reducing its ability to strike down legislation that it deems unreasonable, and plans to increase political influence over the selection of judges. Although the Israeli Supreme Court partially struck down these plans, the current government has vowed to make other changes to law that limit the powers of the Supreme Court. If such government plans are eventually enacted, they may cause operational challenges for us since we are headquartered in Israel and many of our employees are located in Israel.</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46"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SolarEdge Technologies Ltd., our Israeli subsidiary ("Israeli Subsidiary") was eligible for certain tax benefits provided to “Benefited Enterprises” under the Israeli Law for the Encouragement of Capital Investments, 1959 (the “Investments Law”). Beginning in January 2019, and with respect to its taxable results from 2019 onwards, our Israeli Subsidiary further elected to apply the terms of the Investments Law as per “Preferred Enterprise” (“PE”) or “Preferred Technological Enterprise” (“PTE”). In order to remain eligible for the tax benefits for “Benefited Enterprises” with respect to our Israeli Subsidiary’s taxable results until 2018 and with respect to its taxable results from 2019 for PE or PTE, we must continue to meet certain conditions stipulated in the Investments Law and its regulations, as amended. If these tax benefits are reduced, cancelled, or discontinued, or if we are held to have violated the conditions stipulated in the Law, our Israeli taxable income would be subject, in whole or in part, to regular Israeli corporate tax rates and we may be required to refund any tax benefits that we have already received, plus interest and penalties thereon. The statutory corporate tax rate for Israeli companies is 23% as of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It may be difficult to enforce a judgment of a U.S. court against our officers and directors, to assert U.S. securities laws claims in Israel, or to serve process on our officers and directors.</w:t>
      </w:r>
    </w:p>
    <w:p>
      <w:pPr>
        <w:spacing w:after="0" w:line="143"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 xml:space="preserve">Many of our directors and executive officers, their assets, and most of our assets are located outside of the U.S. Consequently, a judgment obtained against any of these persons, including a judgment based on the civil liability provisions of the U.S. federal securities laws, may not be collectible in the U.S. It also may be difficult to effect service of process on these persons in the U.S. or to assert U.S. securities law claims in original actions instituted in Israel. Israeli courts may refuse to hear a claim based on an alleged violation of U.S. securities laws on the grounds of </w:t>
      </w:r>
      <w:r>
        <w:rPr>
          <w:rFonts w:ascii="Times New Roman" w:cs="Times New Roman" w:eastAsia="Times New Roman" w:hAnsi="Times New Roman"/>
          <w:sz w:val="16"/>
          <w:szCs w:val="16"/>
          <w:i w:val="1"/>
          <w:iCs w:val="1"/>
          <w:color w:val="auto"/>
        </w:rPr>
        <w:t>forum non conveniens</w:t>
      </w:r>
      <w:r>
        <w:rPr>
          <w:rFonts w:ascii="Times New Roman" w:cs="Times New Roman" w:eastAsia="Times New Roman" w:hAnsi="Times New Roman"/>
          <w:sz w:val="16"/>
          <w:szCs w:val="16"/>
          <w:color w:val="auto"/>
        </w:rPr>
        <w:t>. In addition, even if an Israeli court hears a claim, it may determine that Israeli law and not U.S. law is applicable to the claim. If U.S. law is found to be applicable, the content of applicable U.S. law must be proven as a fact by expert witnesses, which can be a lengthy and costly process. Further, an Israeli court may not enforce a judgment awarded by a U.S. or other non-Israeli court. Certain matters of procedure will also be governed by Israeli law. There is little binding case law in Israel that addresses these matters. As a result of the difficulty associated with enforcing a judgment against any of these persons in Israel, judgment against many of our directors and executive officers may be unachievable or unenforceable.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37" w:name="page38"/>
    <w:bookmarkEnd w:id="37"/>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ocean transportation to deliver our products in a timely and cost efficient manner. If we are unable to use ocean transportation to deliver our products, our business and financial condition could be materially and adversely impacted. Additionally, we are impacted by storage prices that have increased in the past year.</w:t>
      </w:r>
    </w:p>
    <w:p>
      <w:pPr>
        <w:spacing w:after="0" w:line="158"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We rely on ocean transportation for the delivery of most of our products to our customers, and when unavailable, incompatible with customer delivery time requirements, or when we are unable to accommodate accelerated delivery times due to growing customer volume demands or shipment constraints, we rely on alternative, more expensive air transportation.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disruptions to ports and other shipping facilities as a result of epidemics and other factors not within our control. If we are unable to use ocean transportation and are required to substitute more expensive air transportation, our financial condition and results of operations could be materially and adversely impacted.</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entry into business engagements with South Korean military bodies as our customers in the lithium-ion battery and energy storage business embodies a risk for potentially large-scale and uncapped liability.</w:t>
      </w:r>
    </w:p>
    <w:p>
      <w:pPr>
        <w:spacing w:after="0" w:line="146"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As a result of the acquisition of our Korean subsidiary (formerly Kokam), we sell a small portion of our products to customers who integrate our storage systems or cells and then sell these products to military customers. Our sales to military customers often involve standard form contracts, which may not be subject to negotiation. In particular, certain of these contracts involve unlimited damages provisions that could result in large-scale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currency exchange rates may negatively impact our financial condition and results of operations.</w:t>
      </w:r>
    </w:p>
    <w:p>
      <w:pPr>
        <w:spacing w:after="0" w:line="215"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Although our financial results are reported in U.S. dollars, 35.5% of our revenues in the year ended December 31, 2025 were generated in currencies other than the U.S. Dollar. In addition, a significant portion of our operating expenses are accrued in New Israeli Shekels (primarily related to payroll), the Euro, and other currencies. As detailed in the Foreign Currency Exchange Risk under Item 7A - Quantitative and Qualitative Disclosures About Market Risk, our profitability is affected by movements of the U.S. dollar against the Euro, the New Israeli Shekel, and, to a lesser extent, other currencies in which we generate revenues, incur expenses and maintain cash balances. Foreign currency fluctuations may also affect the prices of our products which are denominated primarily in U.S. dollars. If there is a devaluation of a particular currency, the prices of our products will increase relative to the local currency and may be less competitive. Despite our efforts to minimize foreign currency risks, primarily by maintaining cash balances in New Israeli Shekels, significant long-term fluctuations in relative currency values, in particular a significant change in the relative values of the Euro and, New Israeli Shekel, and other currencies, against the U.S. dollar could have an adverse effect on our profitability and financial condition.</w:t>
      </w:r>
    </w:p>
    <w:p>
      <w:pPr>
        <w:spacing w:after="0" w:line="171"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Occasionally, we enter into derivative financial instruments to hedge the exchange rates impacts on our assets, liabilities and certain transactions denominated in Israeli Shekels, Euro, and other currencies.</w:t>
      </w:r>
    </w:p>
    <w:p>
      <w:pPr>
        <w:spacing w:after="0" w:line="140"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Our hedging activities may also contribute to increased losses as a result of volatility in foreign currency markets. If foreign exchange currency markets continue to be volatile, such fluctuations in foreign currency exchange rates could materially and adversely affect our profit margins and results of operations in future periods, and may make it difficult to hedge our foreign currency exposures effectively.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 and sustainability, including the impact of evolving legal and regulatory requirements.</w:t>
      </w:r>
    </w:p>
    <w:p>
      <w:pPr>
        <w:spacing w:after="0" w:line="21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We may face scrutiny related to our corporate social responsibility practices and requested disclosures by institutional and individual investors who may be using corporate social responsibility screening criteria in making investment decisions. Our disclosures on these matters or a failure to satisfy evolving stakeholder expectations for corporate social responsibility practices and reporting may potentially harm our reputation and impact relationships with investors, customers, and /or regulators. Certain market participants including major institutional investors use third-party benchmarks or scores to measure our corporate social responsibility practices in making investment decisions. Similarly, some of our customers and suppliers may evaluate our corporate social responsibility practices. At the same time, stakeholders and regulators have increasingly expressed or pursued opposing views, legislation, and investment expectations with respect to sustainability initiatives. In addition, our failure or perceived failure to pursue or fulfill our goals, targets and objectives or to satisfy various reporting standards within the timelines we announce, or at all, could expose us to government enforced actions and/or private litigation.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38" w:name="page39"/>
    <w:bookmarkEnd w:id="38"/>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As sustainability-related, reporting standards and disclosure requirements continue to develop, we may incur increasing costs related to sustainability monitoring and reporting. For example, in January 2023, the EU enacted the Corporate Sustainability Reporting Directive, which will require sustainability reporting across a broad range of environmental, social and governance topics for both EU and non-EU companies, and in October 2023, California enacted legislation addressing the disclosure of greenhouse gas emissions, climate-related risks, environmental claims and the use or sale of voluntary carbon offsets. Regulatory changes related to climate change and reporting could increase the complexity of and costs associated with compliance with such regulations that could have a material adverse effect on our business, results of operations and financial condition.</w:t>
      </w:r>
    </w:p>
    <w:p>
      <w:pPr>
        <w:spacing w:after="0" w:line="168"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143"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We own a manufacturing facility in Israel and rely on third-party manufacturing facilities, including for all product assembly and final testing of our products, which are performed at third-party manufacturing facilities, in the United States, and to a lesser extent, Vietnam. There may be conflict or uncertainty in the countries in which we operate, including public health issues (for example, a pandemic or an outbreak of contagious diseases or health epidemics),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169"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In the event that natural disasters (including as a result of climate change), public health epidemics or technical catastrophes were to damage or destroy any part of our facilities or those of our contract manufacturers, destroy or disrupt vital infrastructure systems or interrupt our operations or services for any extended period of time, our business, financial condition and results of operations would be materially and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Compliance and Regulations</w:t>
      </w:r>
    </w:p>
    <w:p>
      <w:pPr>
        <w:spacing w:after="0" w:line="22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The reduction, elimination or expiration of government subsidies and economic incentives for on-grid solar electricity applications could reduce demand for PV systems and harm our business.</w:t>
      </w:r>
    </w:p>
    <w:p>
      <w:pPr>
        <w:spacing w:after="0" w:line="146"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 xml:space="preserve">Federal, state, local government laws, regulations, and bodies as well as non-U.S government bodies provide incentives to owners, end users, distributers, and manufacturers of Solar PV and BESS systems to promote solar electricity in the form of rebates, tax credits, lower VAT rates, and other financial incentives. The market for on-grid applications, where solar power is used to supplement a customer’s electricity purchased from the utility network or sold to a utility under tariff, often depends in large part on the availability and size of government and economic subsidies and economic incentives, which vary from time to time by geographic market.In general, subsidies and incentives may expire on a particular date, end when the allocated funding is reduced or terminated due to, </w:t>
      </w:r>
      <w:r>
        <w:rPr>
          <w:rFonts w:ascii="Times New Roman" w:cs="Times New Roman" w:eastAsia="Times New Roman" w:hAnsi="Times New Roman"/>
          <w:sz w:val="16"/>
          <w:szCs w:val="16"/>
          <w:i w:val="1"/>
          <w:iCs w:val="1"/>
          <w:color w:val="auto"/>
        </w:rPr>
        <w:t>inter alia</w:t>
      </w:r>
      <w:r>
        <w:rPr>
          <w:rFonts w:ascii="Times New Roman" w:cs="Times New Roman" w:eastAsia="Times New Roman" w:hAnsi="Times New Roman"/>
          <w:sz w:val="16"/>
          <w:szCs w:val="16"/>
          <w:color w:val="auto"/>
        </w:rPr>
        <w:t>, legal challenges, adoption of new statutes or regulations or the passage of time, they often occur without warning.</w:t>
      </w:r>
    </w:p>
    <w:p>
      <w:pPr>
        <w:spacing w:after="0" w:line="167"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August 2022, the IRA was signed into federal law. The IRA provides for, among other things, certain incentives, including certain tax credits, for solar energy, that are significant to the Company and its U.S. based customers. On July 4, 2025, H.R.1 was enacted into law, introducing amendments to clean energy tax credits contained in the IRA. The H.R.1 accelerates the phase-out timeline for our customers' tax credits and imposes new eligibility criteria for the Company and our customers</w:t>
      </w:r>
    </w:p>
    <w:p>
      <w:pPr>
        <w:spacing w:after="0" w:line="16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The Company has invested significant resources in establishing our manufacturing presence in the U.S. to benefit from the incentives available under the IRA, including tax credits available to us for manufacturing in the U.S. and tax credits available to certain of our U.S. customers. The Company established manufacturing capabilities in the U.S. in 2023 and further expanded such capabilities in 2024 and 2025. Moreover, we incorporate into our financial planning and agreements with our customers and suppliers certain assumptions regarding U.S. tax incentives. Material changes thereto could adversely affect our revenue, our eligibility for certain tax credits, tax credits available to our customers, competitiveness and demand for our products and our financial condition.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39" w:name="page40"/>
    <w:bookmarkEnd w:id="39"/>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Section 45X of the Code, as enacted by the IRA, offers AMPTCs that incentivize the manufacturing of eligible components within the U.S. Of particular relevance to the Company are the tax credits that we generate as a result of rules concerning the qualification and measurement of AMPTCs to Residential Inverters, Commercial Inverters and DC-Optimized Inverter Systems that we manufacture in the United States. H.R.1 preserved the term of such AMPTCs.</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Among other changes, H.R.1 shortens the term of the investment tax credit and production tax credit under Section 48E and 45Y of the Code, available to the Company’s customers, who are engaged in TPO models, such as residential solar leases and power purchase agreements, and commercial solar customers and developers, shortening the end date from 2034 to 2027. H.R.1 also includes a 12-month window in which such customers can begin construction, giving them four years to complete their projects. Projects begun after twelve months from enactment of H.R.1 must be placed in service by December 31, 2027, to receive the credit. H.R.1 also amended the domestic content bonus credit rules for Section 48E projects: projects commencing construction after June 16, 2025, must meet a 45% domestic content threshold, up from 40%, must meet a 50% threshold from and after January 1, 2026, and the threshold thereafter increases by 5% on an annual basis until 2029. H.R.1 eliminated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169"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H.R.1 has also introduced new FEOC requirements including for Sections 45X, 45Y, and 48E of the Code. These restrictions will require threshold percentages of non-FEOC material assistance that increase over time, for projects that begin on or after January 1, 2026. On July 7, 2025, the President issued an Executive Order titled “Ending Market Distorting Subsidies for Unreliable, Foreign Controlled Energy Sources.” In response, on August 15, 2025, the U.S. Treasury Department released IRS Notice 2025-42, its first set of guidance for H.R.1 related to beginning of construction requirements applicable to our customers. While it removed the ability for projects over 1.5 MW to utilize the 5% safe harbor method, it kept in place the offsite physical work test method for all size projects.</w:t>
      </w:r>
    </w:p>
    <w:p>
      <w:pPr>
        <w:spacing w:after="0" w:line="16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On February 12, 2026, the U.S Department of Treasury and IRS released IRS Notice 2026-15 providing additional guidance on H.R.1 related to the Prohibited Foreign Entity rules (PFE) enacted in H.R.1. Specifically, this notice confirms the ability to rely on temporary safe harbor tables and existing safe harbor tables for the determination of material assistance from a PFE. This guidance provides answers to several compliance questions related to the Company’s 45X Credit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169"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expect that the AMPTCs will be phased out by the end of 2031. Reductions in AMPTCs, without an offsetting reduction in our manufacturing costs, would adversely affect our results of operations and cash flows, and have an adverse impact on our gross margin, which may include transitioning into a gross loss. Such reductions may cause us to consider modifying the geographical footprint of our manufacturing to reduce our costs, which would require significant resources of the Company, and could adversely affect our competitiveness, business and financial condition. We are actively monitoring the situation and evaluating potential impacts on our financial condition and operational strategy.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to net metering policies may reduce demand for electricity from PV systems and harm our business.</w:t>
      </w:r>
    </w:p>
    <w:p>
      <w:pPr>
        <w:spacing w:after="0" w:line="214"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business benefits from favorable net metering policies across the U.S. and some European countries, that allow a PV system owner to pay his or her electric utility only for power usage net of production from the PV system. System owners receive credit for the energy that the solar installation generates to offset energy usage at times when the solar installation is not generating energy. Under a net metering program, the customer typically pays for the net energy used or receives a credit against future bills if more energy is produced than consumed.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40" w:name="page41"/>
    <w:bookmarkEnd w:id="40"/>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Most U.S. states had adopted some form of net metering. Yet, net metering programs have recently come under regulatory scrutiny in some U.S. states due to allegations that net metering policies inequitably shift costs onto non-solar ratepayers, by allowing solar ratepayers to sell electricity at rates that are too high for utilities to recoup their fixed costs. California’s NEM 3.0, effective April 2023, has significantly reduced export rates and introduced grid fees, resulting in homeowners receiving lower compensation. This is now occurring in additional states such as Arizona, Hawaii, and North Carolina, etc. We cannot be certain that similar programs will not be adopted in other states or that existing programs will not be further modified going forward.</w:t>
      </w:r>
    </w:p>
    <w:p>
      <w:pPr>
        <w:spacing w:after="0" w:line="16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If the value of the credit that customers receive for net metering is reduced, it could impact the current level of cost savings associated with net metering. The absence of favorable net metering policies or of net metering entirely, or the imposition of new charges that only or disproportionately affect end-users that use net metering would significantly limit demand for our products and could have a material adverse effect on our business, financial condition, results of operations and future growth.</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are subject to stringent and changing data privacy and security laws, rules, regulations and other obligations. These areas could damage our reputation, deter current and potential customers, affect our product design, or result in legal or regulatory proceedings and liability.</w:t>
      </w:r>
    </w:p>
    <w:p>
      <w:pPr>
        <w:spacing w:after="0" w:line="14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We process sensitive, confidential or personal data or information in the ordinary course of our business that is subject to privacy and security laws, regulations, industry standards, external and internal policies, contracts and other obligations that govern the collection, processing, storing, transfer, and sharing of such data by us and on our behalf. Concerns about our practices or the ultimate use of our products and services with regard to the collection, use, retention, security or disclosure of personal information or other privacy-related matters, including for use in AI technologies, even if unfounded, could damage our reputation and adversely affect our operating results. The theft, loss or misuse of personal data in our possession or by one of our partners could result in damage to our reputation, regulatory proceedings, disruption of our business activities or increased security or remediation costs and costs related to defending legal claims.</w:t>
      </w:r>
    </w:p>
    <w:p>
      <w:pPr>
        <w:spacing w:after="0" w:line="167"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In the United States, federal, state, and local authorities have enacted numerous data privacy and security laws, including for data breach notification, personal data privacy and consumer protection. As applicable, such rights may include the right to access, correct, or delete certain personal data, and to opt -out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or collectively the CCPA, gives California residents the right to access, delete and opt-out of certain sharing of their personal information, and to receive detailed information about how it is used and shared. The CCPA provides for substantial fines for intentional violation and the law created a private right of action for certain data breaches. Similar laws are being considered in several other states, as well as at the federal and local levels. Additionally, several states and localities have enacted measures related to the use of AI in products and services. If we become subject to additional data privacy laws, the risk of enforcement action against us could increase.</w:t>
      </w:r>
    </w:p>
    <w:p>
      <w:pPr>
        <w:spacing w:after="0" w:line="169"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Worldwide regulatory authorities are also considering and have enacted various laws concerning data protection. The European Union adopted the General Data Protection Regulation, or GDPR, and the United Kingdom similarly adopted the U.K. GDPR, governing the strict handling of personal data of persons within the European Economic Area, or EEA, and the United Kingdom, respectively, including its use and protection and the ability of persons whose data is stored to access, correct, and delete such data about themselves. Additionally, Europe’s Network and Information Security Directive, or NIS2, regulates resilience and incident response capabilities of entities operating in a number of sectors, including the digital infrastructure sector. Non-compliance with NIS2 may lead to administrative fines. If we are found not to comply, we could be subject to monetary fines, penalties, reputational damage, damage to our financial condition, and operating results.</w:t>
      </w:r>
    </w:p>
    <w:p>
      <w:pPr>
        <w:spacing w:after="0" w:line="167"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Statutory fines under U.S. or worldwide regulations may be imposed on a per violation basis, and, if viable, carry the potential for monumental statutory damages, depending on the volume of data and the number of violations. Statutory fines under U.S. or worldwide regulations may be imposed on a per violation basis, and, if viable, carry the potential for monumental statutory damages, depending on the volume of data and the number of violations.Obligations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41" w:name="page42"/>
    <w:bookmarkEnd w:id="41"/>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Existing electric utility industry regulations and changes to regulations, may present technical, regulatory, and economic barriers to the purchase and use of PV systems, that may significantly reduce demand for our products or harm our ability to compete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In addition, determinations of various regulatory bodies regarding lack of compliance with certifications or other regulatory requirements, could harm our ability to sell our products in certain countries.</w:t>
      </w:r>
    </w:p>
    <w:p>
      <w:pPr>
        <w:spacing w:after="0" w:line="15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Federal, state, local, and foreign government regulations and policies concerning the electric utility industry, and internal policies and regulations promulgated by electric utilities, heavily influence the market for electricity generation products and services, and could deter purchases of PV systems sold by our customers, significantly reducing the potential demand for our products. For example, utilities commonly charge fees to larger, industrial customers for disconnecting from the electric grid or for having the capacity to use power from the electric grid for back-up purposes. These fees could increase the cost to use PV systems sold by our customers and make them less desirable, thereby harming our business, prospects, financial condition and results of operations. In addition, depending on the region, electricity generated by PV systems competes most effectively with expensive peak-hour electricity from the electric grid, rather than the less expensive average price of electricity. Modifications to the utilities’ peak hour pricing policies or rate design, such as to a flat rate, could require the price of PV systems and their component parts to be lower in order to compete with the price of electricity from the electric grid.</w:t>
      </w:r>
    </w:p>
    <w:p>
      <w:pPr>
        <w:spacing w:after="0" w:line="169"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Changes in current laws or regulations applicable to us or the imposition of new laws and regulations in the U.S., Europe, or other jurisdictions in which we do business could have a material adverse effect on our business, financial condition and results of operations. Any changes to government or internal utility regulations and policies that favor electric utilities could reduce the competitiveness of PV systems sold by our customers, causing a significant reduction in demand for our products and services. In addition, changes in our products or changes in export and import laws and implementing regulations may delay the introduction of new products in international markets, prevent our customers from deploying our products internationally or, in some cases, prevent the export or import of our products to certain countries altogether, resulting in a material adverse effect on our business, financial condition, and results of operations.</w:t>
      </w:r>
    </w:p>
    <w:p>
      <w:pPr>
        <w:spacing w:after="0" w:line="168"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Compliance with various regulatory requirements and standards is a prerequisite for placing our products on the market in most countries in which we do business. We have all such certifications but there are at times, challenges by local administrative telecommunications, consumer board or other authorities that can place sales bans on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22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43"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Our success depends to a significant degree on our ability to protect our intellectual property and other proprietary rights. We rely on a combination of patents, trademarks, copyrights, trade secrets, and unfair competition laws, as well as confidentiality and license agreements and other contractual provisions with our customers, suppliers, employees, and others, to establish and protect our intellectual property (IP) and other proprietary rights. Our ability to enforce these rights is subject to litigation risks, as well as uncertainty as to the enforceability of our IP rights in various countries, specifically claims that our IP rights are invalid or unenforceable. Our assertion of IP rights may result in another party seeking to assert claims against us, which could harm our business. Our inability to enforce our IP rights under any of these circumstances can harm our competitive position and business.</w:t>
      </w:r>
    </w:p>
    <w:p>
      <w:pPr>
        <w:spacing w:after="0" w:line="16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have applied for patents in the U.S., Europe, and other jurisdictions, some of which have been issued. We cannot guarantee that any of our pending applications will be approved or that our existing and future intellectual property rights will be sufficiently broad to protect our proprietary technology.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165"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Our intellectual property may be stolen or infringed upon. We were in the past and may in the future engage in legal proceedings related to intellectual property. Litigation proceedings are inherently uncertain, and adverse rulings may occur, including monetary damages, injunction stopping us from manufacturing or selling certain products, or requiring other remedies. Lawsuits are intended to protect our significant investment in our intellectual property, but they also may consume management and financial resources for long periods of time and may not result in favorable outcome for us, which may adversely affect our business, results of operations or financial condition.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42" w:name="page43"/>
    <w:bookmarkEnd w:id="42"/>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46"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Our competitors and other third parties hold numerous patents related to technology used in our industry. Occasionally, we may also be subject to claims of intellectual property right infringement and related litigation, and, as we gain greater recognition in the market, we face a higher risk of being the subject to claims of violation of others’ intellectual property rights. For example, in July 2022, we were served with a complaint by Ampt, LLC filed with the International Trade Commission pursuant to Section 337 of the Tariff Act of 1930, as amended and the District Court for the District of Delaware alleging patent infringement against the Company and its subsidiary SolarEdge Technologies Ltd. In May 2023, we entered into a settlement agreement under which the parties agreed to dismiss all proceedings related to the complaints and the parties have granted each other 10-year cross-licenses for certain intellectual property.</w:t>
      </w:r>
    </w:p>
    <w:p>
      <w:pPr>
        <w:spacing w:after="0" w:line="166"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Responding to such claims can be time consuming, divert management’s attention and resources and may cause us to incur significant expenses in litigation or settlement. While we believe that our products and technology do not infringe in any material respect upon any valid third-party IP rights, we cannot be certain of successfully defending against any such claims. If we do not successfully defend or settle an IP claim,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unavailable at all or unavailable on reasonable terms, we may be required to develop or license a non-violating alternative, either of which could require significant effort and expense. If we cannot license or develop a non-violating alternative, we could be forced to modify, limit or, in extreme cases, stop manufacturing and sales of our affected products in the relevant country and may be unable to effectively compete. Any of these results could adversely affect our business, financial condition, and results of operations.</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43"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We enter into agreements with our employees pursuant to which they agree that any inventions created in the scope of their employment or engagement are assigned to us or owned exclusively by us, depending on the jurisdiction, without the employee retaining any rights. A significant portion of our intellectual property has been developed by our employees in the course of their employment for us. Under the Israeli Patent Law, 5727-1967 (the “Patent Law”), inventions conceived by an employee during the scope of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in certain circumstances, such waiver does not necessarily have to be explicit. The Committee will examine, on a case-by-case basis, the general contractual framework between the parties, using interpretation rules of the general Israeli contract laws. Further, the Committee has not yet determined the method for calculating this Committee-enforced remuneration, but rather uses the criteria specified in the Patent Law. Although our employees have agreed that any rights related to their inventions are owned exclusively by us, we may face claims demanding remuneration in consideration for such acknowledgement. As a consequence of such claims, we could be required to pay additional remuneration or royalties to our current and/or former employees, or be forced to litigate such claims, which could negatively affect our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If our goodwill or other intangible assets become impaired, our financial condition and results of operations could be negatively affected.</w:t>
      </w:r>
    </w:p>
    <w:p>
      <w:pPr>
        <w:spacing w:after="0" w:line="214" w:lineRule="exact"/>
        <w:rPr>
          <w:sz w:val="20"/>
          <w:szCs w:val="20"/>
          <w:color w:val="auto"/>
        </w:rPr>
      </w:pPr>
    </w:p>
    <w:p>
      <w:pPr>
        <w:jc w:val="both"/>
        <w:ind w:left="4" w:firstLine="576"/>
        <w:spacing w:after="0" w:line="267" w:lineRule="auto"/>
        <w:rPr>
          <w:sz w:val="20"/>
          <w:szCs w:val="20"/>
          <w:color w:val="auto"/>
        </w:rPr>
      </w:pPr>
      <w:r>
        <w:rPr>
          <w:rFonts w:ascii="Times New Roman" w:cs="Times New Roman" w:eastAsia="Times New Roman" w:hAnsi="Times New Roman"/>
          <w:sz w:val="16"/>
          <w:szCs w:val="16"/>
          <w:color w:val="auto"/>
        </w:rPr>
        <w:t>Following the latest impairment recorded during 2024, goodwill and other intangible assets totaled approximately $57.3 million, or approximately 2.6% of our total assets, as of December 31, 2025. We test our goodwill for impairment at least annually, or more frequently if an event occurs indicating the potential for impairment, and we assess on an as-needed basis whether there have been impairments in our other intangible assets, which include complex, and often subjective, assumptions and estimates. These assumptions and estimates can be affected by a variety of external factors such as industry and economic trends, and internal factors such as changes in our business strategy or our internal forecasts. To the extent that the factors described above change, we could be required to record additional non-cash impairment charges in the future, which could negatively affect our financial condition and results of operations (see Notes 9 and 10 of the financial statements for additional information).</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Risks Related to our Notes and the Ownership of Our Common Stock</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Our stock price has been, and may continue to be, subject to significant volatility.</w:t>
      </w:r>
    </w:p>
    <w:p>
      <w:pPr>
        <w:spacing w:after="0" w:line="214" w:lineRule="exact"/>
        <w:rPr>
          <w:sz w:val="20"/>
          <w:szCs w:val="20"/>
          <w:color w:val="auto"/>
        </w:rPr>
      </w:pPr>
    </w:p>
    <w:p>
      <w:pPr>
        <w:jc w:val="both"/>
        <w:ind w:left="4" w:firstLine="576"/>
        <w:spacing w:after="0" w:line="268" w:lineRule="auto"/>
        <w:rPr>
          <w:sz w:val="20"/>
          <w:szCs w:val="20"/>
          <w:color w:val="auto"/>
        </w:rPr>
      </w:pPr>
      <w:r>
        <w:rPr>
          <w:rFonts w:ascii="Times New Roman" w:cs="Times New Roman" w:eastAsia="Times New Roman" w:hAnsi="Times New Roman"/>
          <w:sz w:val="16"/>
          <w:szCs w:val="16"/>
          <w:color w:val="auto"/>
        </w:rPr>
        <w:t>Our common stock price during the year ended December 31, 2025, ranged from $ 11.00 to $48.60 per share. As further detailed in the Performance Graph in Item 5 below, the price of our Common Stock in 2025 was highly volatile and may fluctuate in response to our results of operations in future periods or due to other factors, including factors specific to companies in our industry, many of which are beyond our control. As a result, our share price may experience significant volatility and may not necessarily reflect the value of our expected performance. We have been subject to securities class action litigation as a result of our stock price volatility, which could result in substantial cost and diversion of our management’s attention from other business concerns, which could seriously harm our business.</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Among other factors that could affect our stock price are:</w:t>
      </w:r>
    </w:p>
    <w:p>
      <w:pPr>
        <w:spacing w:after="0" w:line="207" w:lineRule="exact"/>
        <w:rPr>
          <w:sz w:val="20"/>
          <w:szCs w:val="20"/>
          <w:color w:val="auto"/>
        </w:rPr>
      </w:pP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 or loss of significant customers or suppliers;</w:t>
      </w:r>
    </w:p>
    <w:p>
      <w:pPr>
        <w:spacing w:after="0" w:line="6"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applicable to our industry, products or services;</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tax treaties, and regulations or the interpretation of them, including the Inflation Reduction Act and the OBBBA;</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U.S. and global trade environments, including the imposition and/or increase of import tariffs or other restrictive trade measures;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elimination or expiration of government subsidies and economic incentives for on-grid solar energy applications;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popularity of solar energy or renewable energy in general;</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speculation about our business in the press or the investment community;</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including due to general macro-economic and geopolitical changes and developments in the overall stock market;</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the market price and trading volume of companies in our industry or companies that investors consider comparable;</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price and volume fluctuations attributable to inconsistent trading levels of our shares;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intellectual property and other proprietary rights;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or our significant stockholders, officers and directors;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contractual lock-up agreements;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of competitive products or services;</w:t>
      </w:r>
    </w:p>
    <w:p>
      <w:pPr>
        <w:ind w:left="284" w:right="160"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response to press releases or other public announcements by us or others, including our filings with the Securities and Exchange Commission (the “SEC”), announcements relating to litigation or significant changes to our key personnel;</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internal controls over financial reporting;</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structure, such as future issuances of debt or equity securities;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entry into new markets;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developments in the U.S., Europe, or other markets;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inclusion, exclusion, or deletion of our stock from any trading indices;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 of all or portion of the Convertible Senior Notes;</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actions by us or our competitors, such as acquisitions or restructurings; and</w:t>
      </w:r>
    </w:p>
    <w:p>
      <w:pPr>
        <w:ind w:left="284" w:hanging="284"/>
        <w:spacing w:after="0"/>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53224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14.35pt,3.85pt" o:allowincell="f" strokecolor="#000000" strokeweight="1.1999pt"/>
            </w:pict>
          </mc:Fallback>
        </mc:AlternateContent>
      </w:r>
    </w:p>
    <w:p>
      <w:pPr>
        <w:sectPr>
          <w:pgSz w:w="11900" w:h="16840" w:orient="portrait"/>
          <w:cols w:equalWidth="0" w:num="1">
            <w:col w:w="10284"/>
          </w:cols>
          <w:pgMar w:left="816" w:top="912" w:right="804" w:bottom="1440" w:gutter="0" w:footer="0" w:header="0"/>
        </w:sectPr>
      </w:pPr>
    </w:p>
    <w:bookmarkStart w:id="44" w:name="page45"/>
    <w:bookmarkEnd w:id="44"/>
    <w:p>
      <w:pPr>
        <w:jc w:val="both"/>
        <w:ind w:firstLine="444"/>
        <w:spacing w:after="0" w:line="270" w:lineRule="auto"/>
        <w:rPr>
          <w:sz w:val="20"/>
          <w:szCs w:val="20"/>
          <w:color w:val="auto"/>
        </w:rPr>
      </w:pPr>
      <w:r>
        <w:rPr>
          <w:rFonts w:ascii="Times New Roman" w:cs="Times New Roman" w:eastAsia="Times New Roman" w:hAnsi="Times New Roman"/>
          <w:sz w:val="16"/>
          <w:szCs w:val="16"/>
          <w:color w:val="auto"/>
        </w:rPr>
        <w:t>Further, the stock markets have experienced extreme price and volume fluctuations unrelated or disproportionate to the operating performance of affected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changes in U.S. regulations and policies with respect to renewable energy, interest rate changes, or international currency fluctuations, may cause the market price of our common stock to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in our certificate of incorporation and by-laws may have the effect of delaying or preventing a change of control or changes in our management.</w:t>
      </w:r>
    </w:p>
    <w:p>
      <w:pPr>
        <w:spacing w:after="0" w:line="21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150" w:lineRule="exact"/>
        <w:rPr>
          <w:sz w:val="20"/>
          <w:szCs w:val="20"/>
          <w:color w:val="auto"/>
        </w:rPr>
      </w:pPr>
    </w:p>
    <w:p>
      <w:pPr>
        <w:ind w:left="580" w:hanging="296"/>
        <w:spacing w:after="0" w:line="244"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“blank check” preferred stock that our board of directors could issue, to increase the number of outstanding shares, to discourage a takeover attempt;</w:t>
      </w:r>
    </w:p>
    <w:p>
      <w:pPr>
        <w:jc w:val="both"/>
        <w:ind w:left="580" w:hanging="29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for a classified board of directors with staggered, three-year terms until the 2026 annual meeting of stockholders at which time all of the board members will be subject to annual elections, which, until then, could delay the ability of stockholders to change the membership of a majority of our board of directors;</w:t>
      </w:r>
    </w:p>
    <w:p>
      <w:pPr>
        <w:ind w:left="580" w:hanging="29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providing for cumulative voting in the election of directors, which limits the ability of minority stockholders to elect director candidates;</w:t>
      </w:r>
    </w:p>
    <w:p>
      <w:pPr>
        <w:ind w:left="580" w:hanging="29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the ability of stockholders to call a special stockholder meeting;</w:t>
      </w:r>
    </w:p>
    <w:p>
      <w:pPr>
        <w:ind w:left="580" w:hanging="29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prohibiting stockholders from acting by written consent;</w:t>
      </w:r>
    </w:p>
    <w:p>
      <w:pPr>
        <w:ind w:left="580" w:hanging="296"/>
        <w:spacing w:after="0" w:line="239"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advance notice requirements for nominations for election to our board of directors or for proposing matters that can be acted upon by stockholders at stockholder meetings; and</w:t>
      </w:r>
    </w:p>
    <w:p>
      <w:pPr>
        <w:jc w:val="both"/>
        <w:ind w:left="580" w:hanging="29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removal of directors only for cause and only upon the affirmative vote of the holders of at least a majority in voting power of all the then-outstanding shares of common stock of the Company entitled to vote thereon, voting together as a single class until the 2026 annual meeting of stockholders;</w:t>
      </w:r>
    </w:p>
    <w:p>
      <w:pPr>
        <w:ind w:left="580" w:hanging="29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that our board of directors is expressly authorized to amend, alter, rescind or repeal our by-laws.</w:t>
      </w:r>
    </w:p>
    <w:p>
      <w:pPr>
        <w:spacing w:after="0" w:line="20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In addition, we are governed by the provisions of Section 203 of the Delaware General Corporation Law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includes a forum selection clause, which could limit our stockholders’ ability to obtain a favorable judicial forum for disputes with us.</w:t>
      </w:r>
    </w:p>
    <w:p>
      <w:pPr>
        <w:spacing w:after="0" w:line="146"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Our certificate of incorporation provides that, unless we consent in writing to the selection of an alternative forum, the sole and exclusive forum for any stockholder (including any beneficial owner) to bring (i) any derivative action or proceeding brought on our behalf, (ii) any action asserting a claim of breach of a fiduciary duty owed by any of our directors, officers, or employees to us or to our stockholders, (iii) any action asserting a claim arising pursuant to any provision of the DGCL or our certificate of incorporation or by-laws, or (iv) any action asserting a claim governed by the internal affairs doctrine, will be a state court located within the State of Delaware (or, if no state court located within the State of Delaware has jurisdiction, the federal district court for the District of Delaware). In addition, unless the Corporation, in writing, selects or consents to the selection of an alternative forum, to the fullest extent permitted by law, the sole and exclusive forum for any complainant asserting a cause of action arising under the Securities Act of 1933, to the fullest extent permitted by law, shall be the federal district courts of the United States of America. Any person or entity purchasing or otherwise acquiring any interest in shares of our capital stock is deemed to have notice of and consented to the foregoing provisions. This forum selection provision may limit our stockholders’ ability to obtain a favorable judicial forum for disputes with us. It is also possible that, notwithstanding the forum selection clause that is included in our certificate of incorporation, a court outside of Delaware could rule that such a provision is inapplicable or unenforceable.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45" w:name="page46"/>
    <w:bookmarkEnd w:id="45"/>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may not have the ability to raise the funds necessary to settle conversion of our Convertible Senior Notes or Notes 2029 in cash or to repurchase the Notes 2029 upon a fundamental change, and our future debt may contain limitations on our ability to pay cash upon conversion or to repurchase the Notes 2029.</w:t>
      </w:r>
    </w:p>
    <w:p>
      <w:pPr>
        <w:spacing w:after="0" w:line="158" w:lineRule="exact"/>
        <w:rPr>
          <w:sz w:val="20"/>
          <w:szCs w:val="20"/>
          <w:color w:val="auto"/>
        </w:rPr>
      </w:pPr>
    </w:p>
    <w:p>
      <w:pPr>
        <w:jc w:val="both"/>
        <w:ind w:firstLine="656"/>
        <w:spacing w:after="0" w:line="264" w:lineRule="auto"/>
        <w:rPr>
          <w:sz w:val="20"/>
          <w:szCs w:val="20"/>
          <w:color w:val="auto"/>
        </w:rPr>
      </w:pPr>
      <w:r>
        <w:rPr>
          <w:rFonts w:ascii="Times New Roman" w:cs="Times New Roman" w:eastAsia="Times New Roman" w:hAnsi="Times New Roman"/>
          <w:sz w:val="16"/>
          <w:szCs w:val="16"/>
          <w:color w:val="auto"/>
        </w:rPr>
        <w:t>Holders of our Notes 2029 have the right to require us to repurchase all or a portion of their notes upon the occurrence of a fundamental change (as defined in the Indenture governing our Notes 2029) at a repurchase price equal to 100% of the principal amount of the Notes 2029 to be repurchased, plus accrued and unpaid special interest, if any. In addition, upon conversion of the Notes 2029, unless we elect to deliver solely shares of our common stock to settle such conversion (other than paying cash in lieu of delivering any fractional share), we will be required to make cash payments in respect of the Notes 2029 being converted. We may not have enough available cash or be able to obtain financing at the time we are required to make repurchases of Notes 2029 surrendered or Notes 2029 being converted. In addition, our ability to repurchase the Notes 2029 or to pay cash upon conversions of the Notes 2029 may be limited by law, regulatory authority or agreements governing our future indebtedness. Our failure to repurchase Notes at a time when the repurchase is required by the indenture governing such Notes 2029 or to pay cash upon conversion of the Notes as required by such indenture would constitute a default under such indenture. A default under the indenture governing the Notes 2029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the Notes 2029 or make cash payments upon conversion of the Notes 2029.</w:t>
      </w:r>
    </w:p>
    <w:p>
      <w:pPr>
        <w:spacing w:after="0" w:line="1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raise additional capital to execute on our current or future business opportunities on favorable terms, if at all, or without dilution to our stockholders.</w:t>
      </w:r>
    </w:p>
    <w:p>
      <w:pPr>
        <w:spacing w:after="0" w:line="143"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believe that cash provided by operation activities, as well as our cash and cash equivalents, restricted cash and available for sale marketable securities, will be sufficient to meet our anticipated cash needs for at least the next 12 months as well as in the longer term, including the self-funding of our capital expenditure, operational commitments and the redemption of our debt. However, we may need to raise additional capital or debt financing to execute on our current or future business strategies, including to:</w:t>
      </w:r>
    </w:p>
    <w:p>
      <w:pPr>
        <w:spacing w:after="0" w:line="155" w:lineRule="exact"/>
        <w:rPr>
          <w:sz w:val="20"/>
          <w:szCs w:val="20"/>
          <w:color w:val="auto"/>
        </w:rPr>
      </w:pPr>
    </w:p>
    <w:p>
      <w:pPr>
        <w:ind w:left="580" w:hanging="29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additional cash reserves to support our operations;</w:t>
      </w:r>
    </w:p>
    <w:p>
      <w:pPr>
        <w:spacing w:after="0" w:line="5"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 in our research and development efforts;</w:t>
      </w:r>
    </w:p>
    <w:p>
      <w:pPr>
        <w:ind w:left="580" w:hanging="29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operations into new product markets and new geographies;</w:t>
      </w:r>
    </w:p>
    <w:p>
      <w:pPr>
        <w:ind w:left="580" w:hanging="29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complementary businesses, products, services or technologies; or</w:t>
      </w:r>
    </w:p>
    <w:p>
      <w:pPr>
        <w:ind w:left="580" w:hanging="296"/>
        <w:spacing w:after="0" w:line="271"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pursue our strategic plans and respond to competitive pressures, including adjustments to our business to mitigate the effects of any tariffs that might apply to us or our industry.</w:t>
      </w:r>
    </w:p>
    <w:p>
      <w:pPr>
        <w:spacing w:after="0" w:line="154" w:lineRule="exact"/>
        <w:rPr>
          <w:sz w:val="20"/>
          <w:szCs w:val="20"/>
          <w:color w:val="auto"/>
        </w:rPr>
      </w:pPr>
    </w:p>
    <w:p>
      <w:pPr>
        <w:jc w:val="both"/>
        <w:ind w:firstLine="656"/>
        <w:spacing w:after="0" w:line="268" w:lineRule="auto"/>
        <w:rPr>
          <w:sz w:val="20"/>
          <w:szCs w:val="20"/>
          <w:color w:val="auto"/>
        </w:rPr>
      </w:pPr>
      <w:r>
        <w:rPr>
          <w:rFonts w:ascii="Times New Roman" w:cs="Times New Roman" w:eastAsia="Times New Roman" w:hAnsi="Times New Roman"/>
          <w:sz w:val="16"/>
          <w:szCs w:val="16"/>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intend to pay any cash dividends on our common stock in the foreseeable future.</w:t>
      </w:r>
    </w:p>
    <w:p>
      <w:pPr>
        <w:spacing w:after="0" w:line="214"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have never declared or paid any dividends on our common stock and currently do not expect to pay any dividends in the foreseeable future. Any future determination to declare cash dividends will be made at the discretion of our board of directors, subject to applicable laws and organizational documents. As a result, capital appreciation in the price of our common stock, if any, may be your only source of gain on an investment in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1999pt"/>
            </w:pict>
          </mc:Fallback>
        </mc:AlternateContent>
      </w:r>
    </w:p>
    <w:p>
      <w:pPr>
        <w:sectPr>
          <w:pgSz w:w="11900" w:h="16840" w:orient="portrait"/>
          <w:cols w:equalWidth="0" w:num="1">
            <w:col w:w="10280"/>
          </w:cols>
          <w:pgMar w:left="820" w:top="912" w:right="804"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Cyber security risk is an area of increasing focus for our Board, particularly as an increasingly significant part of our operations rely on digital technologies. As a result, we have implemented a cyber security program to assess, identify, and manage risks from cyber security threats that may result in material adverse effects on the confidentiality, integrity, and availability of our information systems and products. This program has been integrated into the Company’s enterprise risk management processes.</w:t>
      </w:r>
    </w:p>
    <w:p>
      <w:pPr>
        <w:spacing w:after="0" w:line="162"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design and assess our cybersecurity program based on the NIST Cybersecurity Framework (CSF) and industry best practices. We do not claim to comply with any technical standards, specifications, or requirements by using these frameworks. They are guides that help us to deal with the cybersecurity risks that are relevant to our business.</w:t>
      </w:r>
    </w:p>
    <w:p>
      <w:pPr>
        <w:spacing w:after="0" w:line="156"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cybersecurity program is integrated into our overall enterprise risk management program, and shares common methodologies, reporting channels and governance processes that apply across legal, compliance, operational, and financial risk areas. To this end, we have implemented a cybersecurity program that includes the following elements:</w:t>
      </w:r>
    </w:p>
    <w:p>
      <w:pPr>
        <w:spacing w:after="0" w:line="150" w:lineRule="exact"/>
        <w:rPr>
          <w:sz w:val="20"/>
          <w:szCs w:val="20"/>
          <w:color w:val="auto"/>
        </w:rPr>
      </w:pPr>
    </w:p>
    <w:p>
      <w:pPr>
        <w:ind w:left="580" w:hanging="296"/>
        <w:spacing w:after="0" w:line="24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Chief Information Security Officer (CISO) responsible for developing and maintaining our administrative, technical, and physical cybersecurity controls.</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assessments designed to identify material cybersecurity risks to our critical systems and information.</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Security Operations Center (SOC) to monitor our critical infrastructure and execute immediate, human-led responses to confirmed and suspected cyber security threats.</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technology and security providers, where appropriate, to assess, test or otherwise assist with aspects of our cybersecurity program.</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technology and security tools, where appropriate, to identify and mitigate threats.</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awareness training for employees.</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third-party risk management process and questionnaire for certain service providers and vendors who access sensitive information.</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retained, trained incident response team and written procedures to navigate incident response lifecycles.</w:t>
      </w:r>
    </w:p>
    <w:p>
      <w:pPr>
        <w:ind w:left="580" w:hanging="29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cyber security drills designed to simulate potential cyber events and test our detection, response, and recovery capabilities.</w:t>
      </w:r>
    </w:p>
    <w:p>
      <w:pPr>
        <w:spacing w:after="0" w:line="20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In the normal course of business, we are and have been the target of malicious cyber-attack attempts and have experienced other cybersecurity incidents. However,based on the information that we have to date, we have not identified risks from known material cybersecurity threats, including any prior cybersecurity incidents, that have materially affected the Company, including our operations, business strategy, results of operations, or financial condition. As of the date of this Annual Report on Form 10-K, the Company is not aware of any material risks from cybersecurity threats that are reasonably likely to do so. However, we cannot eliminate all risks from cybersecurity threats or provide assurances that the Company will not be materially affected by such risks or cyber incidents in the future. There can be no guarantee that our policies, programs and controls, and those of our third-party vendors, including those described in this section, will be sufficient to protect our information, information systems, products, or other property. Additional information on cybersecurity risks we face is discussed in Item 1A of Part I, “Risk Factors,” which should be read in conjunction with the foregoing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218"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While we follow product cybersecurity best practices and comply with mandatory standards and regulations, our products and information systems are potentially subject to cyber risks of data leakage, privacy concerns, interrupted availability, and operational damages, including to customers and third parties. To protect our products and information systems from cybersecurity threats, we use various security controls and processes that help prevent, identify, escalate, investigate, resolve, and recover from identified vulnerabilities and security incidents in a timely manner. These include, but are not limited to, periodic cyber testing, code scanning and ongoing attack surface monitoring, threat intelligence monitoring, other monitoring and detection tools, and a coordinated vulnerability disclosure program to allow security researchers to assist us in identifying vulnerabilities in our products before they are exploited by malicious threat actors. Any reported vulnerability is analyzed and dealt with in accordance with its risk level and mitigation options.</w:t>
      </w:r>
    </w:p>
    <w:p>
      <w:pPr>
        <w:spacing w:after="0" w:line="168"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As part of our program to mitigate risk from cyber security threats, the Company actively evaluates and refines its cyber security tools and processes with the intention of reducing cyber security risks and aligning with the National Institute of Standards and Technology Cyber-security Framework for risk management. Features of our cybersecurity program include:</w:t>
      </w:r>
    </w:p>
    <w:p>
      <w:pPr>
        <w:spacing w:after="0" w:line="150" w:lineRule="exact"/>
        <w:rPr>
          <w:sz w:val="20"/>
          <w:szCs w:val="20"/>
          <w:color w:val="auto"/>
        </w:rPr>
      </w:pPr>
    </w:p>
    <w:p>
      <w:pPr>
        <w:ind w:left="1140" w:hanging="280"/>
        <w:spacing w:after="0" w:line="243" w:lineRule="auto"/>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Processes designed to comply with information security standards and privacy regulations, including the European Union's General Data Protection Regulation.</w:t>
      </w:r>
    </w:p>
    <w:p>
      <w:pPr>
        <w:ind w:left="1140" w:hanging="280"/>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Maintenance of an ISO 27001 Information Security Management Standard certification.</w:t>
      </w:r>
    </w:p>
    <w:p>
      <w:pPr>
        <w:ind w:left="1140" w:hanging="280"/>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of a variety of security controls, such as firewalls, endpoint detection tools and intrusion detection systems.</w:t>
      </w:r>
    </w:p>
    <w:p>
      <w:pPr>
        <w:ind w:left="1140" w:hanging="280"/>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Protection against Denial-of-Service attacks which prevent legitimate use of our services.</w:t>
      </w:r>
    </w:p>
    <w:p>
      <w:pPr>
        <w:ind w:left="1140" w:hanging="280"/>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events monitoring in a third party security operations center.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47" w:name="page48"/>
    <w:bookmarkEnd w:id="47"/>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incident response policies and procedures designed to initiate remediation and compliance activities in a timely manner.</w:t>
      </w:r>
    </w:p>
    <w:p>
      <w:pPr>
        <w:spacing w:after="0" w:line="5" w:lineRule="exact"/>
        <w:rPr>
          <w:rFonts w:ascii="Times New Roman" w:cs="Times New Roman" w:eastAsia="Times New Roman" w:hAnsi="Times New Roman"/>
          <w:sz w:val="16"/>
          <w:szCs w:val="16"/>
          <w:color w:val="auto"/>
        </w:rPr>
      </w:pP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of data loss prevention tools.</w:t>
      </w: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an ID management system to enforce granular role-based access controls.</w:t>
      </w: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of granular access controls at the network level.</w:t>
      </w: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penetration testing on products and networks.</w:t>
      </w: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Administration of a phishing awareness program and an employee security training periodically and as part of onboarding.</w:t>
      </w: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Engagement with a third-party, independent cyber security firm to conduct cyber security assessments of our systems and procedures.</w:t>
      </w:r>
    </w:p>
    <w:p>
      <w:pPr>
        <w:ind w:left="1140" w:hanging="280"/>
        <w:spacing w:after="0"/>
        <w:tabs>
          <w:tab w:leader="none" w:pos="1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Employment of a responsible disclosure policy designed to help identify and fix any potential flaws in the company’s services or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Party Cybersecurity Oversight</w:t>
      </w:r>
    </w:p>
    <w:p>
      <w:pPr>
        <w:spacing w:after="0" w:line="218" w:lineRule="exact"/>
        <w:rPr>
          <w:sz w:val="20"/>
          <w:szCs w:val="20"/>
          <w:color w:val="auto"/>
        </w:rPr>
      </w:pPr>
    </w:p>
    <w:p>
      <w:pPr>
        <w:ind w:firstLine="576"/>
        <w:spacing w:after="0" w:line="300" w:lineRule="auto"/>
        <w:rPr>
          <w:sz w:val="20"/>
          <w:szCs w:val="20"/>
          <w:color w:val="auto"/>
        </w:rPr>
      </w:pPr>
      <w:r>
        <w:rPr>
          <w:rFonts w:ascii="Times New Roman" w:cs="Times New Roman" w:eastAsia="Times New Roman" w:hAnsi="Times New Roman"/>
          <w:sz w:val="16"/>
          <w:szCs w:val="16"/>
          <w:color w:val="auto"/>
        </w:rPr>
        <w:t>We have implemented governance processes designed to monitor, evaluate, and mitigate security risks that may arise from a relationship with a third party vendor, partner, or customer. These security measures include:</w:t>
      </w:r>
    </w:p>
    <w:p>
      <w:pPr>
        <w:spacing w:after="0" w:line="132" w:lineRule="exact"/>
        <w:rPr>
          <w:sz w:val="20"/>
          <w:szCs w:val="20"/>
          <w:color w:val="auto"/>
        </w:rPr>
      </w:pPr>
    </w:p>
    <w:p>
      <w:pPr>
        <w:ind w:left="1140" w:hanging="280"/>
        <w:spacing w:after="0"/>
        <w:tabs>
          <w:tab w:leader="none" w:pos="1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Vendor security assessments - Evaluating the cybersecurity protections that key vendors employ, prior to and during engagement.</w:t>
      </w:r>
    </w:p>
    <w:p>
      <w:pPr>
        <w:spacing w:after="0" w:line="6" w:lineRule="exact"/>
        <w:rPr>
          <w:rFonts w:ascii="Times New Roman" w:cs="Times New Roman" w:eastAsia="Times New Roman" w:hAnsi="Times New Roman"/>
          <w:sz w:val="16"/>
          <w:szCs w:val="16"/>
          <w:color w:val="auto"/>
        </w:rPr>
      </w:pPr>
    </w:p>
    <w:p>
      <w:pPr>
        <w:ind w:left="1140" w:hanging="280"/>
        <w:spacing w:after="0"/>
        <w:tabs>
          <w:tab w:leader="none" w:pos="1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risk assessments - Conducted by our insurance providers in order to evaluate cybersecurity related exposure.</w:t>
      </w:r>
    </w:p>
    <w:p>
      <w:pPr>
        <w:ind w:left="1140" w:hanging="280"/>
        <w:spacing w:after="0"/>
        <w:tabs>
          <w:tab w:leader="none" w:pos="1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Technology Security - Implementing security measures within some of our manufacturing facilities to enhance our cybersecurity protection.</w:t>
      </w:r>
    </w:p>
    <w:p>
      <w:pPr>
        <w:ind w:left="1140" w:hanging="280"/>
        <w:spacing w:after="0"/>
        <w:tabs>
          <w:tab w:leader="none" w:pos="1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customer data management - Solutions designed to safeguard customer data integrity and critical systems' integrity.</w:t>
      </w:r>
    </w:p>
    <w:p>
      <w:pPr>
        <w:spacing w:after="0" w:line="201"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We engaged a well-known external firm to audit our compliance with the European Union's NIS 2.0 Directive (the Directive on Security of Network and Information Systems). This audit is being conducted to confirm that our cybersecurity practices align with the latest regulatory requirements and best practices for managing the security of critical infrastructure and services. The Technology and Cyber Committee receives periodic reports from management on our cybersecurity program and risks. In addition, management updates the Technology and Cyber Committee, as necessary, regarding any material cybersecurity incidents, as well as any incidents with lesser impact potential. The Technology and Cyber Committee reports to our Board regarding its risk management functions, including those related to cybersecurity.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 &amp; Oversight</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Board has delegated primary oversight of the our risks from cybersecurity threats to the Technology and Cyber Committee. Our management team, including our CISO, provides quarterly updates to our Technology and Cyber Committee and annually to the full Board regarding our cyber security activities and other developments impacting our digital security. We have protocols by which certain cyber security incidents are escalated within the Company and, where appropriate, reported to the Board and the Technology and Cyber Committee in a timely manner.</w:t>
      </w:r>
    </w:p>
    <w:p>
      <w:pPr>
        <w:spacing w:after="0" w:line="16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At the management level, our CISO, who reports to our Chief Information Officer, is responsible for overseeing the assessment and management of our material risks from cyber security threats. Our CISO has extensive experience and knowledge in cyber security as a result of 20 years of experience of varied cybersecurity experience across various industries and domains. The CISO is informed about and monitors the prevention, detection, mitigation, and remediation of emerging cybersecurity threats. Our cybersecurity team is also informed of any potential Cyber security incidents through reports and alerts from retained cyber threat intelligence firms.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886" w:right="804"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corporate headquarters are located in Herziliya Pituach, Israel.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Leased Offices and R&amp;D Laboratories</w:t>
      </w:r>
    </w:p>
    <w:p>
      <w:pPr>
        <w:spacing w:after="0" w:line="213"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As of December 31, 2025, we lease office, testing, and product design facilities in Israel. In May 2021, we signed a long-term lease agreement for the development of a 38,000 square meter campus, to be built on 16,500 square meters of land, in the central area of Israel. The campus, which is scheduled to be completed in by the end of 2026, will replace our current headquarters in Herziliya, Israel. In November 2025, we amended our agreement with Azrieli Group Ltd., the developer of our new campus, to reduce the leased area by approximately 40%.</w:t>
      </w:r>
    </w:p>
    <w:p>
      <w:pPr>
        <w:spacing w:after="0" w:line="16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In addition to our leased properties in Israel, we lease offices and lab facilities in California, Nevada, Germany, Netherlands, Italy, China, France, Australia, the United Kingdom, Japan, India, Bulgaria, Taiwan, Korea, Brazil, Spain, Vietnam, and Poland.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212"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We outsource most of our manufacturing to our manufacturing partners. We have our own manufacturing facility, Sella 1 (which property is leased), in the North of Israel. On September 4, 2025, as part of the decision to close our Energy Storage Division, we sold our last battery cell manufacturing facility in South Korea.</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believe that our existing properties are in good condition and are sufficient and suitable for the conduct of our business for the foreseeable future.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extent our needs change as our business grows, we expect that additional space and facilities will be available on commercially reasonable terms.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18"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CEO and the Company’s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spacing w:after="0" w:line="16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On February 7, 2024, the Court consolidated the two actions (the "Consolidated Securities Litigation"), and appointed co-lead plaintiffs (the “Plaintiffs”) and lead counsel. On April 22, 2024, Plaintiffs filed an amended complaint adding two additional officers. The amended complaint made substantially similar allegations and claims. Defendants moved to dismiss the amended complaint on July 15, 2024 (the “Motion”), and the motion was fully briefed as of September 17, 2024. On December 4, 2024, the Court issued an order granting in part the Motion, dismissing all allegations except those relating to two purported misstatements, characterizing inventory levels as low. The Court allowed Plaintiffs to again amend their complaint, and they filed a Second Amended Complaint on January 3, 2025. On February 10, 2025, Defendants moved to dismiss the Second Amended Complaint insofar as it attempts to resurrect any of the allegations dismissed in the Court’s December 4, 2024 order. On April 7, 2025, the Court issued an order granting in part the second motion to dismiss, dismissing all allegations except those characterizing inventory levels as “low” and those relating to demand in Europe. Lead Plaintiffs filed a motion for class certification on October 17, 2025, and Defendants filed their opposition on January 16, 2026. Plaintiffs’ reply is due on February 20, 2026. Fact discovery is ongoing.</w:t>
      </w:r>
    </w:p>
    <w:p>
      <w:pPr>
        <w:spacing w:after="0" w:line="16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On March 15, 2024, Abdul Hirani filed a purported derivative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The Hirani complaint brings claims for (i) breach of fiduciary duty, (ii) aiding and abetting breach of fiduciary duty, (iii) unjust enrichment, (iv) waste of corporate assets, and (v) securities fraud under Section 10(b) of the Exchange Act. The complaint seeks compensatory and punitive damages, interest, attorneys’ fees, and other relief.</w:t>
      </w:r>
    </w:p>
    <w:p>
      <w:pPr>
        <w:spacing w:after="0" w:line="16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On June 10, 2024, Jonathan Blaufarb filed a second purported derivative complaint in the U.S. District Court for the Southern District of New York against the same defendants as those named in the Hirani complaint as well as Lior Danziger and J.B. Lowe. The Blaufarb complaint makes largely the same allegations as those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Defendants accepted service of the Hirani and Blaufarb complaints via stipulation that was so-ordered on July 12, 2024, and the two cases were consolidated with the Hirani matter designated as the lead case (the “Consolidated Derivative Action”). On September 9, 2024 the parties agreed to stay the Hirani and Blaufarb actions pending a decision on the motion to dismiss in the Consolidated Securities Litigation. Following the decision granting in part and denying in part the motion to dismiss the Second Amended Complaint in the Consolidated Securities Litigation, the parties entered into a new stipulation on June 20, 2025, staying this consolidated derivative action through the close of fact discovery in the Consolidated Securities Litigation.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49" w:name="page50"/>
    <w:bookmarkEnd w:id="49"/>
    <w:p>
      <w:pPr>
        <w:jc w:val="both"/>
        <w:ind w:left="4" w:firstLine="576"/>
        <w:spacing w:after="0" w:line="268" w:lineRule="auto"/>
        <w:rPr>
          <w:sz w:val="20"/>
          <w:szCs w:val="20"/>
          <w:color w:val="auto"/>
        </w:rPr>
      </w:pPr>
      <w:r>
        <w:rPr>
          <w:rFonts w:ascii="Times New Roman" w:cs="Times New Roman" w:eastAsia="Times New Roman" w:hAnsi="Times New Roman"/>
          <w:sz w:val="16"/>
          <w:szCs w:val="16"/>
          <w:color w:val="auto"/>
        </w:rPr>
        <w:t>On August 7, 2024, Edwin Isaac filed a purported derivative complaint in the U.S. District Court for the District of Delaware against the same defendants as those named in the Consolidated Derivative Action. The Isaac complaint makes largely the same allegations as those in the Consolidated Securities Litigation. It also pleads the similar counts to the Consolidated Derivative Action, including (i) breach of fiduciary duty, (ii) contribution, (iii) 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filed a stipulation on June 30, 2025 agreeing to stay the Isaac matter through the close of fact discovery in the Consolidated Securities Litigation.</w:t>
      </w:r>
    </w:p>
    <w:p>
      <w:pPr>
        <w:spacing w:after="0" w:line="166" w:lineRule="exact"/>
        <w:rPr>
          <w:sz w:val="20"/>
          <w:szCs w:val="20"/>
          <w:color w:val="auto"/>
        </w:rPr>
      </w:pPr>
    </w:p>
    <w:p>
      <w:pPr>
        <w:jc w:val="both"/>
        <w:ind w:left="4" w:firstLine="576"/>
        <w:spacing w:after="0" w:line="270" w:lineRule="auto"/>
        <w:rPr>
          <w:sz w:val="20"/>
          <w:szCs w:val="20"/>
          <w:color w:val="auto"/>
        </w:rPr>
      </w:pPr>
      <w:r>
        <w:rPr>
          <w:rFonts w:ascii="Times New Roman" w:cs="Times New Roman" w:eastAsia="Times New Roman" w:hAnsi="Times New Roman"/>
          <w:sz w:val="16"/>
          <w:szCs w:val="16"/>
          <w:color w:val="auto"/>
        </w:rPr>
        <w:t>On May 22, 2025, Mike Maddox (“Maddox”) filed a purported derivative complaint in the U.S. District Court for the Southern District of New York against the same defendants as those named in the earlier-filed derivative actions. The Maddox complaint makes largely the same allegations as those in the Consolidated Securities Litigation and the other derivative actions. It also pleads similar counts to those in the other derivative actions, including (i) breach of fiduciary duty, (ii) gross mismanagement, (iii) waste of corporate assets, (iv) unjust enrichment, and (v) violation of Section 14(a) of the Exchange Act. The parties filed a stipulation on July 21, 2025 agreeing to stay the Maddox matter through the close of fact discovery in the Consolidated Securities Litigation.</w:t>
      </w:r>
    </w:p>
    <w:p>
      <w:pPr>
        <w:spacing w:after="0" w:line="165" w:lineRule="exact"/>
        <w:rPr>
          <w:sz w:val="20"/>
          <w:szCs w:val="20"/>
          <w:color w:val="auto"/>
        </w:rPr>
      </w:pPr>
    </w:p>
    <w:p>
      <w:pPr>
        <w:jc w:val="both"/>
        <w:ind w:left="4" w:firstLine="576"/>
        <w:spacing w:after="0" w:line="263" w:lineRule="auto"/>
        <w:rPr>
          <w:sz w:val="20"/>
          <w:szCs w:val="20"/>
          <w:color w:val="auto"/>
        </w:rPr>
      </w:pPr>
      <w:r>
        <w:rPr>
          <w:rFonts w:ascii="Times New Roman" w:cs="Times New Roman" w:eastAsia="Times New Roman" w:hAnsi="Times New Roman"/>
          <w:sz w:val="16"/>
          <w:szCs w:val="16"/>
          <w:color w:val="auto"/>
        </w:rPr>
        <w:t>On September 9, 2025, Jerald Chauncey, Jr. (“Chauncey”) filed a complaint in the Delaware Court of Chancery against the same defendants as those named in the other derivative actions. The Chauncey complaint makes largely the same allegations as those in the Consolidated Securities Litigation and the other derivative actions. It also pleads similar counts to those in the other derivative actions, including (i) breach of fiduciary duty, (ii) unjust enrichment, and</w:t>
      </w:r>
    </w:p>
    <w:p>
      <w:pPr>
        <w:spacing w:after="0" w:line="1" w:lineRule="exact"/>
        <w:rPr>
          <w:sz w:val="20"/>
          <w:szCs w:val="20"/>
          <w:color w:val="auto"/>
        </w:rPr>
      </w:pPr>
    </w:p>
    <w:p>
      <w:pPr>
        <w:ind w:left="4" w:hanging="4"/>
        <w:spacing w:after="0" w:line="292" w:lineRule="auto"/>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waste of corporate assets. The parties filed a stipulation on October 7, 2025 agreeing to stay the Chauncey matter through the close of fact discovery in the Consolidated Securities Litigation.</w:t>
      </w:r>
    </w:p>
    <w:p>
      <w:pPr>
        <w:spacing w:after="0" w:line="146" w:lineRule="exact"/>
        <w:rPr>
          <w:sz w:val="20"/>
          <w:szCs w:val="20"/>
          <w:color w:val="auto"/>
        </w:rPr>
      </w:pPr>
    </w:p>
    <w:p>
      <w:pPr>
        <w:jc w:val="both"/>
        <w:ind w:left="4" w:firstLine="576"/>
        <w:spacing w:after="0" w:line="300" w:lineRule="auto"/>
        <w:rPr>
          <w:sz w:val="20"/>
          <w:szCs w:val="20"/>
          <w:color w:val="auto"/>
        </w:rPr>
      </w:pPr>
      <w:r>
        <w:rPr>
          <w:rFonts w:ascii="Times New Roman" w:cs="Times New Roman" w:eastAsia="Times New Roman" w:hAnsi="Times New Roman"/>
          <w:sz w:val="16"/>
          <w:szCs w:val="16"/>
          <w:color w:val="auto"/>
        </w:rPr>
        <w:t>Due to the early stage of these proceedings, we cannot reasonably estimate the potential range of loss, if any, or the likelihood of a potential adverse outcome. The Company disputes the allegations of wrongdoing and intends to vigorously defend against them.</w:t>
      </w:r>
    </w:p>
    <w:p>
      <w:pPr>
        <w:spacing w:after="0" w:line="140" w:lineRule="exact"/>
        <w:rPr>
          <w:sz w:val="20"/>
          <w:szCs w:val="20"/>
          <w:color w:val="auto"/>
        </w:rPr>
      </w:pPr>
    </w:p>
    <w:p>
      <w:pPr>
        <w:jc w:val="both"/>
        <w:ind w:left="4" w:firstLine="576"/>
        <w:spacing w:after="0" w:line="268" w:lineRule="auto"/>
        <w:rPr>
          <w:sz w:val="20"/>
          <w:szCs w:val="20"/>
          <w:color w:val="auto"/>
        </w:rPr>
      </w:pPr>
      <w:r>
        <w:rPr>
          <w:rFonts w:ascii="Times New Roman" w:cs="Times New Roman" w:eastAsia="Times New Roman" w:hAnsi="Times New Roman"/>
          <w:sz w:val="16"/>
          <w:szCs w:val="16"/>
          <w:color w:val="auto"/>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order the Company to resume supply of spare parts and technical assistance activities in favor of Stellantis; and ii) to order the Company to pay a penalty of 100,000 Euro for each day of delay in fulfilling the order above. At a hearing on February 25, 2025 the parties discussed the case. On May 8, 2025, the court denied Stellantis’ request for injunction and on July 2, 2025, Stellantis appealed, and the next hearing is scheduled for March 13, 2026. The Company disputes the allegations of wrongdoing. On February 11, 2026, the Company completed the sale of SolarEdge e-Mobility.</w:t>
      </w:r>
    </w:p>
    <w:p>
      <w:pPr>
        <w:spacing w:after="0" w:line="168" w:lineRule="exact"/>
        <w:rPr>
          <w:sz w:val="20"/>
          <w:szCs w:val="20"/>
          <w:color w:val="auto"/>
        </w:rPr>
      </w:pPr>
    </w:p>
    <w:p>
      <w:pPr>
        <w:jc w:val="both"/>
        <w:ind w:left="4" w:firstLine="576"/>
        <w:spacing w:after="0" w:line="273" w:lineRule="auto"/>
        <w:rPr>
          <w:sz w:val="20"/>
          <w:szCs w:val="20"/>
          <w:color w:val="auto"/>
        </w:rPr>
      </w:pPr>
      <w:r>
        <w:rPr>
          <w:rFonts w:ascii="Times New Roman" w:cs="Times New Roman" w:eastAsia="Times New Roman" w:hAnsi="Times New Roman"/>
          <w:sz w:val="16"/>
          <w:szCs w:val="16"/>
          <w:color w:val="auto"/>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has not yet filed an answer. The Company disputes the allegations and intends to vigorously defend against them. On January 5, 2026, the parties met for mediation, which has been inconclusive.</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 applicable.</w:t>
      </w:r>
    </w:p>
    <w:p>
      <w:pPr>
        <w:spacing w:after="0" w:line="1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5322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14.35pt,3.85pt" o:allowincell="f" strokecolor="#000000" strokeweight="1.1999pt"/>
            </w:pict>
          </mc:Fallback>
        </mc:AlternateContent>
      </w:r>
    </w:p>
    <w:p>
      <w:pPr>
        <w:sectPr>
          <w:pgSz w:w="11900" w:h="16840" w:orient="portrait"/>
          <w:cols w:equalWidth="0" w:num="1">
            <w:col w:w="10284"/>
          </w:cols>
          <w:pgMar w:left="816" w:top="910" w:right="804"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common stock, par value $0.0001 per share, trades on the Nasdaq Global Select Market, where prices are quoted under the symbol “SEDG”.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218"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As of December 31, 2025, there were 11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19"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have never declared or paid any dividends on our common stock. We currently intend to retain any future earnings to finance the operation and expansion of our business, and we do not expect to pay any dividends in the foreseeable future. Any future determination to declare cash dividends will be made at the discretion of our board of directors, subject to applicable laws and organizational documents.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1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On November 1, 2023, we announced the approval by the Board of Directors of a share repurchase program which authorizes the repurchase of up to $300 million of the Company’s common stock. Under the share repurchase program, which expired on December 31, 2024, repurchases can be made using a variety of methods, which may include open market purchases, block trades, privately negotiated transactions, accelerated share repurchase programs and/or a non-discretionary trading plan or other means, including through 10b5-1 trading plans, all in compliance with the rules of the SEC and other applicable legal requirements. The timing, manner, price and amount of any common share repurchases under the share repurchase program are determined by the Company in its discretion and depend on a variety of factors, including legal requirements, price and economic and market conditions. The program does not obligate the Company to acquire any amount of common stock, it may be suspended, extended, modified, discontinued or terminated at any time at the Company’s discretion without prior notice, and expired on December 31, 2024. During the year ended December 31, 2024, the Company repurchased 753,364 shares of common stock from the open market at an average cost of $66.63 per share for a total of $50.2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following graph compares the cumulative total shareholder return on our common stock for each year from December 31, 2020 to December 31, 2025 to that of the total return of the S&amp;P 500 Index and the Invesco Solar ETF. This graph is furnished and not “filed” with the Securities and Exchange Commission or “soliciting material” under the Securities Exchange Act of 1934 and shall not be incorporated by reference into any such filings, irrespective of any general incorporation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-16510</wp:posOffset>
            </wp:positionV>
            <wp:extent cx="4662805" cy="2887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
                      <a:extLst>
                        <a:ext uri="{28A0092B-C50C-407E-A947-70E740481C1C}"/>
                      </a:extLst>
                    </a:blip>
                    <a:srcRect/>
                    <a:stretch>
                      <a:fillRect/>
                    </a:stretch>
                  </pic:blipFill>
                  <pic:spPr bwMode="auto">
                    <a:xfrm>
                      <a:off x="0" y="0"/>
                      <a:ext cx="4662805"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36"/>
        <w:spacing w:after="0" w:line="298" w:lineRule="auto"/>
        <w:tabs>
          <w:tab w:leader="none" w:pos="15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performance graph assumes for comparison that the value of the Company's common stock and of each index was $100 on December 31, 2020 and that all dividends were reinvested.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ectPr>
          <w:pgSz w:w="11900" w:h="16840" w:orient="portrait"/>
          <w:cols w:equalWidth="0" w:num="1">
            <w:col w:w="10280"/>
          </w:cols>
          <w:pgMar w:left="820" w:top="908" w:right="804" w:bottom="1081"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08" w:right="804" w:bottom="1081"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22"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the section of this Annual Report on Form 10-K captioned “Business” and our consolidated financial statements and the related notes to those statements included elsewhere in this Form 10-K. In addition to historical financial information, the following discussion and analysis contains forward looking statements that involve risks, uncertainties, and assumptions. Our actual results and timing of selected events may differ materially from those anticipated in these forward looking statements as a result of many factors, including those discussed under the sections of this Annual Report captioned “Special Note Regarding Forward Looking Statements” and “Risk Factors”. For discussion related to changes in financial condition and the results of operations for the year ended December 31, 2024, refer to Item 7 - Management's Discussion and Analysis of Financial Condition and Results of Operations in our Annual Report on Form 10-K, filed with the Securities and Exchange Commission on February 25,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are a global smart energy technology company. We develop, manufacture, and sell products that address a broad range of energy market segments through our diversified product offering, including residential, commercial and large scale photovoltaic or PV, energy storage and backup solutions, electric vehicle or EV charging capabilities, home energy management, grid services and virtual power plants. By leveraging engineering capabilities and with a focus on innovation, safety and reliability, we create smart energy solutions that power our lives and drive future progress.</w:t>
      </w:r>
    </w:p>
    <w:p>
      <w:pPr>
        <w:spacing w:after="0" w:line="16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launched or ramped up sales of several new products in 2025. Most notably, we launched our next-generation residential product portfolio, called SolarEdge Nexis, with initial units delivered toward the end of 2025. We also expanded our commercial energy storage business with CSS-OD, a 102.4 kWh rated solution scalable up to megawatt hour size sites, suitable for outdoor or indoor installations.</w:t>
      </w:r>
    </w:p>
    <w:p>
      <w:pPr>
        <w:spacing w:after="0" w:line="159"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At the end of 2025, we transitioned our inverter products to a Single SKU concept. This is a software-defined platform that significantly reduces the complexity of our business for residential and commercial applications globally. It allows us to manufacture and ship one SKU of an inverter to the market, which can then be programmed to the desired kilowatt rating in the field. This framework simplifies forecasting, manufacturing, inventory management, logistics, service and support, for both us and our customers. It also adds flexibility for home and business owners who can boost the inverter rating if a larger system is needed in the future.</w:t>
      </w:r>
    </w:p>
    <w:p>
      <w:pPr>
        <w:spacing w:after="0" w:line="165"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light of the IRA legislation in the United States, which incentivizes the local manufacturing of renewable energy products by providing benefits to installers for the purchase and installation of products with domestic content, as well as by incentivizing local manufacturing of our products, we manufacture the vast majority of our products in the United States. This includes inverters in Texas, optimizers and inverters in Florida, and manufacturing of batteries in Utah. As part of our effort to streamline and centralize, we have discontinued manufacturing in China, Mexico, and Hungary. We continue to manufacture a minor portion of our products in Israel, at our Sella 1 facility. We also continue to maintain manufacturing capabilities in Vietnam, with a third-party manufacturer.</w:t>
      </w:r>
    </w:p>
    <w:p>
      <w:pPr>
        <w:spacing w:after="0" w:line="166"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w:t>
      </w:r>
    </w:p>
    <w:p>
      <w:pPr>
        <w:spacing w:after="0" w:line="157"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Following the sale of Automation Machines and the discontinuation of the Company's Energy Storage activity in 2024, we operate as one operating segment that constitutes consolidated results.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Further information regarding our business is provided in “Part I, Item 1. Business” of this Annual Report.</w:t>
      </w:r>
    </w:p>
    <w:p>
      <w:pPr>
        <w:spacing w:after="0" w:line="216"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For the year ended December 31, 2025, one customer accounted for 18.6% of our revenues and our top three customers together represented 35.8% of our revenues.</w:t>
      </w:r>
    </w:p>
    <w:p>
      <w:pPr>
        <w:spacing w:after="0" w:line="140"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Our revenues were $1,184.4 million and $901.5 million for the year ended December 31, 2025 and 2024, respectively. For the year ended December 31, 2025 our gross profit was 16.6% as compared to gross loss of 97.3% for the year ended December 31, 2024. For the year ended December 31, 2025, our net loss was $405.4 million as compared to our net loss of $1,806.4 million for the year ended December 31, 2024.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52" w:name="page53"/>
    <w:bookmarkEnd w:id="52"/>
    <w:p>
      <w:pPr>
        <w:ind w:left="4"/>
        <w:spacing w:after="0"/>
        <w:rPr>
          <w:sz w:val="20"/>
          <w:szCs w:val="20"/>
          <w:color w:val="auto"/>
        </w:rPr>
      </w:pPr>
      <w:r>
        <w:rPr>
          <w:rFonts w:ascii="Times New Roman" w:cs="Times New Roman" w:eastAsia="Times New Roman" w:hAnsi="Times New Roman"/>
          <w:sz w:val="16"/>
          <w:szCs w:val="16"/>
          <w:b w:val="1"/>
          <w:bCs w:val="1"/>
          <w:color w:val="auto"/>
        </w:rPr>
        <w:t>Performance Measures</w:t>
      </w:r>
    </w:p>
    <w:p>
      <w:pPr>
        <w:spacing w:after="0" w:line="218" w:lineRule="exact"/>
        <w:rPr>
          <w:sz w:val="20"/>
          <w:szCs w:val="20"/>
          <w:color w:val="auto"/>
        </w:rPr>
      </w:pPr>
    </w:p>
    <w:p>
      <w:pPr>
        <w:jc w:val="both"/>
        <w:ind w:left="4" w:firstLine="576"/>
        <w:spacing w:after="0" w:line="270" w:lineRule="auto"/>
        <w:rPr>
          <w:sz w:val="20"/>
          <w:szCs w:val="20"/>
          <w:color w:val="auto"/>
        </w:rPr>
      </w:pPr>
      <w:r>
        <w:rPr>
          <w:rFonts w:ascii="Times New Roman" w:cs="Times New Roman" w:eastAsia="Times New Roman" w:hAnsi="Times New Roman"/>
          <w:sz w:val="16"/>
          <w:szCs w:val="16"/>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As discussed in our quarterly report on Form 10- Q for the third quarter of 2025, we re-evaluated the key operating metrics that we have historically used to measure our operating performance to improve their accuracy and relevance to the Company's business. This process included our application of new data, technologies, and/or product changes that may allow us to identify metrics that we view to be the most reflective of our business.</w:t>
      </w:r>
    </w:p>
    <w:p>
      <w:pPr>
        <w:spacing w:after="0" w:line="165" w:lineRule="exact"/>
        <w:rPr>
          <w:sz w:val="20"/>
          <w:szCs w:val="20"/>
          <w:color w:val="auto"/>
        </w:rPr>
      </w:pPr>
    </w:p>
    <w:p>
      <w:pPr>
        <w:jc w:val="both"/>
        <w:ind w:left="4" w:firstLine="576"/>
        <w:spacing w:after="0" w:line="261" w:lineRule="auto"/>
        <w:rPr>
          <w:sz w:val="20"/>
          <w:szCs w:val="20"/>
          <w:color w:val="auto"/>
        </w:rPr>
      </w:pPr>
      <w:r>
        <w:rPr>
          <w:rFonts w:ascii="Times New Roman" w:cs="Times New Roman" w:eastAsia="Times New Roman" w:hAnsi="Times New Roman"/>
          <w:sz w:val="16"/>
          <w:szCs w:val="16"/>
          <w:color w:val="auto"/>
        </w:rPr>
        <w:t>Specifically, the markets that we serve are increasingly transitioning away from discreet product purchases and toward more comprehensive systems and solutions. This trend is occurring across all of our regions and end markets. As a result of these market trends, we are adjusting our technology platform and go to market strategies to cater to this trend by offering more comprehensive solutions. These trends also result in the cost of our inverter, optimizer, and energy storage products becoming a widely varying fraction of the overall value of the solutions that we provide. In addition, the ASP calculation for these units also widely varies due to diverse end market exposure. As such, trends in costs and selling prices per megawatt and megawatt hour are less representative of our overall business performance. We believe that this trend will only continue to become more prevalent in the future. Additionally, the Company believes that revenue recognition is a more accurate measurement than products shipped, for the purpose of assessing the Company’s actual earnings rather than mere operational activity. In some cases, products shipped may not be recognized as revenue in a specific quarter due to timing of delivery, and results may differ as such in the metrics previously used in our financial statements. Accordingly, and further to the Company's quarterly report on Form 10-Q for the third quarter of 2025, management determined that the third quarter of 2025 would be the last report in which it would include i) inverters shipped, ii) optimizers shipped, and</w:t>
      </w:r>
    </w:p>
    <w:p>
      <w:pPr>
        <w:spacing w:after="0" w:line="6" w:lineRule="exact"/>
        <w:rPr>
          <w:sz w:val="20"/>
          <w:szCs w:val="20"/>
          <w:color w:val="auto"/>
        </w:rPr>
      </w:pPr>
    </w:p>
    <w:p>
      <w:pPr>
        <w:jc w:val="both"/>
        <w:ind w:left="4" w:hanging="4"/>
        <w:spacing w:after="0" w:line="271" w:lineRule="auto"/>
        <w:tabs>
          <w:tab w:leader="none" w:pos="23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MWh of batteries shipped, as metrics, before being discontinued in this annual report on Form 10-K. Management has replaced these key operating metrics with i) inverters recognized as revenue, ii) optimizers recognized as revenue, and iii) MWh of batteries recognized as revenue, which management believes more accurately reflect the Company’s actual operations. In addition, we have begun disclosing revenue derived from inverters, optimizers and batteries on a quarterly basis within our quarterly reports on Form 10Q and in this annual report on Form 10K.</w:t>
      </w:r>
    </w:p>
    <w:p>
      <w:pPr>
        <w:spacing w:after="0" w:line="163" w:lineRule="exact"/>
        <w:rPr>
          <w:sz w:val="20"/>
          <w:szCs w:val="20"/>
          <w:color w:val="auto"/>
        </w:rPr>
      </w:pPr>
    </w:p>
    <w:p>
      <w:pPr>
        <w:jc w:val="both"/>
        <w:ind w:left="4" w:firstLine="576"/>
        <w:spacing w:after="0" w:line="270" w:lineRule="auto"/>
        <w:rPr>
          <w:sz w:val="20"/>
          <w:szCs w:val="20"/>
          <w:color w:val="auto"/>
        </w:rPr>
      </w:pPr>
      <w:r>
        <w:rPr>
          <w:rFonts w:ascii="Times New Roman" w:cs="Times New Roman" w:eastAsia="Times New Roman" w:hAnsi="Times New Roman"/>
          <w:sz w:val="16"/>
          <w:szCs w:val="16"/>
          <w:color w:val="auto"/>
        </w:rPr>
        <w:t>In an effort to simplify the Company’s product portfolio and streamline our business, we have reduced the variety of SKUs, in a manner in which we are no longer able to track Megawatts shipped as a metric. The move to our Single SKU concept means that the Company is not able to determine the AC power rating of inverters at the time of shipment. The AC power rating can only be determined once it is installed in the field, which typically occurs at least 6 months after shipment and can be altered in accordance with an end user's needs. As a result, the Company no longer provides Megawatts shipped as key operating metrics, starting with this fourth quarter of 2025.</w:t>
      </w:r>
    </w:p>
    <w:p>
      <w:pPr>
        <w:spacing w:after="0" w:line="163"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79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Inverters recognized as revenue (in thousands)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7"/>
                <w:szCs w:val="17"/>
                <w:color w:val="auto"/>
              </w:rPr>
            </w:pPr>
          </w:p>
        </w:tc>
      </w:tr>
      <w:tr>
        <w:trPr>
          <w:trHeight w:val="19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Power optimizers recognized as revenue (in thousands)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10,571.4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6,645.8</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Megawatt hours recognized as revenue - batteries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556.2</w:t>
            </w:r>
          </w:p>
        </w:tc>
      </w:tr>
    </w:tbl>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Limited Market Portfolio Rationalization</w:t>
      </w:r>
    </w:p>
    <w:p>
      <w:pPr>
        <w:spacing w:after="0" w:line="218" w:lineRule="exact"/>
        <w:rPr>
          <w:sz w:val="20"/>
          <w:szCs w:val="20"/>
          <w:color w:val="auto"/>
        </w:rPr>
      </w:pPr>
    </w:p>
    <w:p>
      <w:pPr>
        <w:jc w:val="both"/>
        <w:ind w:left="4" w:firstLine="576"/>
        <w:spacing w:after="0" w:line="280" w:lineRule="auto"/>
        <w:rPr>
          <w:sz w:val="20"/>
          <w:szCs w:val="20"/>
          <w:color w:val="auto"/>
        </w:rPr>
      </w:pPr>
      <w:r>
        <w:rPr>
          <w:rFonts w:ascii="Times New Roman" w:cs="Times New Roman" w:eastAsia="Times New Roman" w:hAnsi="Times New Roman"/>
          <w:sz w:val="16"/>
          <w:szCs w:val="16"/>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5322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14.35pt,3.85pt" o:allowincell="f" strokecolor="#000000" strokeweight="1.2pt"/>
            </w:pict>
          </mc:Fallback>
        </mc:AlternateContent>
      </w:r>
    </w:p>
    <w:p>
      <w:pPr>
        <w:sectPr>
          <w:pgSz w:w="11900" w:h="16840" w:orient="portrait"/>
          <w:cols w:equalWidth="0" w:num="1">
            <w:col w:w="10284"/>
          </w:cols>
          <w:pgMar w:left="816" w:top="908" w:right="804"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Global Circumstances Influencing our Business and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Demand for Products</w:t>
      </w:r>
    </w:p>
    <w:p>
      <w:pPr>
        <w:spacing w:after="0" w:line="21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A prolonged slowdown in demand in the global market for PV products has continued to adversely impact the solar industry. Additionally, uncertainty related to changes in tariffs, trade policies, legislation, and guidance including from H.R.1, may further contribute to market volatility and adversely impact customer demand for our products, pricing and our financial performance. Despite a prolonged softness in demand, we have seen an increase in sales, in 2025, due to more normalized channel inventory in both the United States and in Europe. Additionally, the attachment rate of batteries within solar installations is rising globally, which we believe has led an increase in demand for our batteries.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the H.R.1 on U.S. Tax Incentives</w:t>
      </w:r>
    </w:p>
    <w:p>
      <w:pPr>
        <w:spacing w:after="0" w:line="219"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In August 2022, the U.S. government enacted the IRA, which contains several provisions intended to accelerate U.S. manufacturing and adoption of clean energy such as solar, wind, hydrogen and electric vehicles and therefore had positive impacts on our business and operations along with the overall US solar market. Some of the applicable provisions in the IRA that are positively impacting the market for renewable energy include the extension of 48E, the tech-neutral investment tax credit ITC, and 45Y, the tech-neutral PTC. The IRA includes incentives for residential and commercial solar customers and developers through the inclusion of ITCs for qualifying energy projects of up to 30% with a potential to gain further bonus credits such as through the utilization of Domestic Content. Section 45X of the IRA offers AMPTCs, that incentivize the production of eligible components within the United States. In light of such incentives, we established manufacturing capabilities in the United States starting in 2023, and further expanded such capabilities in 2024 and 2025. On October 24, 2024, regulations concerning the application of Section 45X were published by the U.S. Treasury Department which contain detailed rules concerning eligibility, qualifying and accounting for AMPTCs.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2025, we sold a significant part of the AMPTCs that we generated from our U.S. production of eligible components.</w:t>
      </w:r>
    </w:p>
    <w:p>
      <w:pPr>
        <w:spacing w:after="0" w:line="17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On July 4, 2025, H.R.1, was enacted into law introducing amendments to the clean energy tax credits contained in the IRA. The IRA provides energy tax credits that are significant to SolarEdge and its U.S. based customers, and material changes thereto could adversely affect our revenue, our eligibility for certain tax credits, tax credits available to our customers, competitiveness and demand for our products and our financial condition.</w:t>
      </w:r>
    </w:p>
    <w:p>
      <w:pPr>
        <w:spacing w:after="0" w:line="158"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H.R.1 accelerates the phase-out timeline for certain credits, eliminates the 25D credit, and imposes new eligibility criteria. H.R.1 does not shorten the term of such 45X Credits. Among other changes, H.R.1 shortens the term of the investment tax credit and production tax credit under Sections 48E and 45Y of the Code, used by customers of SolarEdge who are engaged in TPO models, such as residential solar leases and power purchase agreements, and commercial solar customers and developers, shortening the end date from 2034 to 2027. However, H.R.1 also includes a 12-month period in which such customers can begin construction giving them four years to complete their projects. Projects begun after twelve months from enactment of H.R.1 must be placed in service by December 31, 2027, to receive the credit. H.R.1 eliminates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168"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H.R.1 also amends the domestic content bonus credit rules for Section 48E projects. Projects commencing construction after June 16, 2025 must meet a 45% domestic content threshold, up from 40%. Since January 1, 2026, such threshold was increased to 50% and shall thereafter be further increased by 5% on an annual basis, until 2029. In addition, H.R.1 introduced new FEOC requirements for Sections 45X, 45Y, and 48E of the Code. These restrictions require threshold percentages of non FEOC components that increase over time, beginning January 1, 2026. Currently, SolarEdge is manufacturing components aimed help our customers meet their non-FEOC percentage requirements. However, if Treasury were to release new rules or guidance that impact our ability to provide components with non-FEOC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 manufacturers must also reach a required percentage of non-FEOC content in their manufactured components. If the Company is unable to reach that required percentage, it could have adverse impacts on our manufacturing costs, results of operations, cash flows, gross margin, and profits.</w:t>
      </w:r>
    </w:p>
    <w:p>
      <w:pPr>
        <w:spacing w:after="0" w:line="171"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On August 15, 2025, the U.S. Treasury Department and the IRS released Notice 2025-42, its first set of guidance for H.R.1 related to beginning of construction requirements applicable to our customers. While it removed the ability for projects over 1.5 MW to utilize the 5% safe harbor method (still allowing projects equal to or less than 1.5 MW to continue using it), but kept in place the physical work test method for all projects.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08" w:right="804" w:bottom="1440" w:gutter="0" w:footer="0" w:header="0"/>
        </w:sectPr>
      </w:pPr>
    </w:p>
    <w:bookmarkStart w:id="54" w:name="page55"/>
    <w:bookmarkEnd w:id="54"/>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On February 12, 2026, the U.S Department of Treasury and IRS released IRS Notice 2026-15 providing additional guidance on H.R. 1 related to the Prohibited Foreign Entity rules (PFE) enacted in H.R.1. Specifically, this notice confirms the ability to rely on temporary safe harbor tables and existing safe harbor tables for the determination of material assistance from a PFE. This guidance provides answers to several compliance questions related to the Company’s 45X Credits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16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To the extent that tax benefits or credits may be impacted through new regulation, issued guidance, interpretation, or by new laws passed by Congress, our business could be disadvantaged or advantaged. Reductions in AMPTCs, without an offsetting reduction in our manufacturing costs, would adversely affect our results of operations and cash flows, and have an adverse impact on our gross margin, which may include transitioning into a gross loss. We continue to monitor the benefits that may be available to us, such as the availability of tax credits for domestic manufacturers.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 Tariff Uncertainties</w:t>
      </w:r>
    </w:p>
    <w:p>
      <w:pPr>
        <w:spacing w:after="0" w:line="218"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The current trade situation is creating uncertainty about what impact new or existing tariffs, trade restrictions or retaliatory actions may have on us, the solar industry, our partners, and our customers. We have relocated our contract manufacturing to the United States, where we manufacture the vast bulk of our products. We continue to manufacture a minor portion of our products in Israel, at our Sella 1 facility. Certain critical subcomponents for our products are still sourced from outside the United States. If not resolved, the escalation in trade tensions or the implementation of broader tariffs, trade restrictions or other retaliatory measures on our products or components or subcomponents originating from countries outside of the United States, could adversely impact our ability to source necessary components or subcomponents, manufacture products at competitive cost, or sell our products at prices customers are willing to pay. In addition, retaliatory measures from other countries on products originating from the United States for export could adversely impact our ability to sell our products at competitive prices in such countries. Certain of the subcomponents used in our products are being imported to the United States from China, which may be subject to significantly increased tariffs. In light of the aforementioned, we continue to adjust our supply chains and are exploring alternative suppliers outside of China, however, there is no assurance that we will be successful in identifying suitable alternatives, or that such alternatives, if identified, will not result in increased costs or reduced operational efficiency.</w:t>
      </w:r>
    </w:p>
    <w:p>
      <w:pPr>
        <w:spacing w:after="0" w:line="174"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If the price of solar power systems increases, as well as the cost of manufacturing our products in the United States, the use of solar power systems could become less economically feasible and could further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Any such developments could materially and adversely affect our business operations, results of operations and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Disruptions Due to the War in Israel</w:t>
      </w:r>
    </w:p>
    <w:p>
      <w:pPr>
        <w:spacing w:after="0" w:line="218"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Due to the war that began on October 7, 2023, some of our employees in Israel were called to active reserve duty and additional employees may be called in the future, if needed. In the year ended December 31, 2025, approximately 279 or 13% of our employees in Israel were called to active reserve duty for varying periods. On October 9, 2025, Israel, Hamas, the United States and other countries in the region agreed to a framework for a ceasefire in Gaza between Israel and Hamas. It is unknown whether this ceasefire will endure, or if other conflicts in Gaza, Lebanon, Yemen, Iran, or in the broader region will reemerge or escalate in the future.</w:t>
      </w:r>
    </w:p>
    <w:p>
      <w:pPr>
        <w:spacing w:after="0" w:line="16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 Due to the ongoing and evolving nature of the conflict in Israel, and the extent of these events, the adverse effect on our business operations is still unknown.</w:t>
      </w:r>
    </w:p>
    <w:p>
      <w:pPr>
        <w:spacing w:after="0" w:line="164"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discussion describes certain line items in our Consolidated Statements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15"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generate revenues from the sale of DC optimized inverter systems for PV installations, which include power optimizers, inverters, storage and backup solutions, EV chargers, smart energy devices, our cloud-based monitoring platform, extended warranty for our products and grid services. Our customer base mainly includes distributors, large solar installers, wholesalers, and EPCs.</w:t>
      </w:r>
    </w:p>
    <w:p>
      <w:pPr>
        <w:spacing w:after="0" w:line="15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revenues from the sale of our products are affected by changes in the volume and average selling prices of our DC optimized inverter systems. The volume and average selling price of our systems is driven by the supply and demand for our products, changes in the product mix between our residential and commercial products, the customer mix between large and small customers, the geographical mix of our sales, sales incentives, end user government incentives, seasonality, and competitive product offerings.</w:t>
      </w:r>
    </w:p>
    <w:p>
      <w:pPr>
        <w:spacing w:after="0" w:line="16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revenue growth is dependent on our ability to expand our market share in each of the geographies in which we compete, retain our global footprint in evolving markets, manage our production capabilities to meet demand, continue to develop and introduce new and innovative products that address the changing technology and performance requirements of our customers.</w:t>
      </w:r>
    </w:p>
    <w:p>
      <w:pPr>
        <w:spacing w:after="0" w:line="15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the year ended December 31, 2025, 60.6% of our revenues were generated from the United States, 26.8% of our revenues were generated from Europe, and 12.5% of our revenues were generated from our other international markets ("International Markets"). In the year ended December 31, 2024, 42.1% of our revenues were generated from the United States, 35.8% of our revenues were generated from Europe, and 22.1% of our revenues were generated from International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 and Gross Profit</w:t>
      </w:r>
    </w:p>
    <w:p>
      <w:pPr>
        <w:spacing w:after="0" w:line="214" w:lineRule="exact"/>
        <w:rPr>
          <w:sz w:val="20"/>
          <w:szCs w:val="20"/>
          <w:color w:val="auto"/>
        </w:rPr>
      </w:pPr>
    </w:p>
    <w:p>
      <w:pPr>
        <w:jc w:val="both"/>
        <w:ind w:firstLine="576"/>
        <w:spacing w:after="0" w:line="264" w:lineRule="auto"/>
        <w:rPr>
          <w:sz w:val="20"/>
          <w:szCs w:val="20"/>
          <w:color w:val="auto"/>
        </w:rPr>
      </w:pPr>
      <w:r>
        <w:rPr>
          <w:rFonts w:ascii="Times New Roman" w:cs="Times New Roman" w:eastAsia="Times New Roman" w:hAnsi="Times New Roman"/>
          <w:sz w:val="16"/>
          <w:szCs w:val="16"/>
          <w:color w:val="auto"/>
        </w:rPr>
        <w:t>Cost of revenues consists primarily of product costs, including purchases from our contract manufacturers and other suppliers, as well as costs related to shipping, customer support, product warranty, personnel, depreciation of testing and manufacturing equipment, amortization of intangible assets and other fixed costs, provision for losses related to slow moving and dead inventory, hosting services for our cloud based monitoring platform, variable utility costs, operational costs related to the manufacturing factories, other logistics services, and contract termination costs, partially offset by AMPTCs we are entitled to under IRA. When evaluating potential manufacturing locations, the Company considers the full cost structure associated with the cost of revenues and the related decision</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making process reflects a holistic review of operational, logistical, financial, and strategic parameters, including market conditions, cost structures, tariffs, and the evolving policy landscape. Our product costs are affected by technological innovations, such as advances in semiconductor integration and new product introductions, economies of scale resulting in lower component costs, improvements in production processes and automation, the volume of products subject to import tariffs (for example, for imports from China to the U.S.) and the volume of products for which manufacturing credits are available (for example, for products made in the U.S.). Some of these costs, primarily personnel, amortization of intangible assets and depreciation of testing and manufacturing equipment, are not directly affected by sales volume.</w:t>
      </w:r>
    </w:p>
    <w:p>
      <w:pPr>
        <w:spacing w:after="0" w:line="174"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Cost of revenues also includes our operations, production, and support departments’ costs. Our operations and production departments are responsible for production management such as planning, procurement, supply chain, production methodologies and machinery planning, logistics management, and manufacturing support to our contract manufacturers, as well as the quality assurance of our products. Our support department provides customer and technical support at various levels through our call centers around the world as well as second and third-level support services, which are provided by support personnel located in our headquarters. Our employees headcount in our operations, production and support departments has increased to 1,935 as of December 31, 2025 from 1,804 as of December 31, 2024.</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56" w:name="page57"/>
    <w:bookmarkEnd w:id="56"/>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In October of 2023, the Company made an announcement regarding its restructuring plans to adjust its manufacturing capacity and increase operating efficiency, including the discontinuation of the Company’s LCV e-Mobility activity. On January 21, 2024, the Company announced adoption of additional measures in response to challenging industry conditions, including reducing its headcount by approximately 900 over the first half of 2024 through involuntary workforce reduction plans, followed by an additional involuntary workforce reduction in July 2024 resulting in the layoff of approximately 400 employees. On November 27, 2024, the Company announced the closure of its Energy Storage Division. Under the closure, the Company expected to reduce its headcount by approximately 500 employees, primarily employees working in manufacturing positions in South Korea. These decisions were made in order to better align the Company with current market conditions (together, the “Restructuring Plans”).</w:t>
      </w:r>
    </w:p>
    <w:p>
      <w:pPr>
        <w:spacing w:after="0" w:line="167"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In January 2025, the Company announced the adoption of a restructuring plan, in response to challenging industry conditions, which included an additional reduction in workforce. In April 2025, we divested from our PV tracker business, as part of our effort to focus on our core activities. On September 4, 2025, as part of the decision to close our Energy Storage Division, the Company sold its last battery cell manufacturing facility in South Korea. In 2025, we also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(together, the “Restructuring Plans”).</w:t>
      </w:r>
    </w:p>
    <w:p>
      <w:pPr>
        <w:spacing w:after="0" w:line="168"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Gross profit (loss) may vary from quarter to quarter and is primarily affected by our average selling prices, product costs, manufacturing ramp-up costs, restructuring costs, product mix, customer mix, geographical mix, location of manufacturing, shipping method, warranty costs, generation and recognition of AMPTCs, ability to benefit from certain tax credits, inventory write-offs, exchange rates, and seasonality.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Operating expenses consist of research and development, sales and marketing, general and administrative, goodwill impairment and other operating expenses, net. Personnel-related costs are a significant component of the operating expenses and include salaries, benefits, payroll taxes, commissions, severance and stock-based compensation. Our employees headcount in our research and development, sales and marketing and general and administrative departments, has reduced to 1,641 as of December 31, 2025 from 2,157 as of December 31, 2024 as part of our Restructuring Plans.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12"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Research and development expenses include personnel-related expenses such as salaries, severance, benefits, stock-based compensation and payroll taxes. Our research and development employees are engaged in the design and development of power electronics, semiconductors, software, power-line communications, networking and chemistry. Our research and development expenses also include third-party design and consulting costs, materials for testing and evaluation, ASIC development and licensing costs, depreciation and amortization expenses, and other indirect costs. We devote substantial resources to ongoing research and development programs that focus on enhancements to, and cost efficiencies in, our existing products and timely development of new products that utilize technological innovation, thereby maintaining our competitive position.</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Sales and marketing expenses</w:t>
      </w:r>
    </w:p>
    <w:p>
      <w:pPr>
        <w:spacing w:after="0" w:line="212"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personnel-related expenses such as salaries, severance, sales commissions, benefits, payroll taxes, and stock-based compensation. These expenses also include travel, fees of independent consultants, trade shows, marketing, costs associated with the operation of our sales offices and other indirect costs. We currently have a sales presence in many countries worldwide. 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We may either continue to reduce our presence in certain regions or expand our sales presence to additional regions or , globally, in the future.</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12"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severance, employee benefits, and stock-based compensation related to our executives, finance, human resources, information technology, and legal organizations, travel expenses, facilities costs, fees for professional services, and registration fees related to being a publicly-traded company. Professional services consist of audit and legal costs, remuneration to board members, insurance, information technology, and other costs. General and administrative expenses also include expenses related to certain legal claims and provision for expected credit losses in the event of uncollectible account receivables balances.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6"/>
          <w:szCs w:val="16"/>
          <w:i w:val="1"/>
          <w:iCs w:val="1"/>
          <w:color w:val="auto"/>
        </w:rPr>
        <w:t>Other operating expenses, net</w:t>
      </w:r>
    </w:p>
    <w:p>
      <w:pPr>
        <w:spacing w:after="0" w:line="21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Other operating expenses, net, consist primarily of impairment and abandonment of long-lived assets, impairment of assets held for sale, loss from business disposition, as well as goodwill impairment tested for impairment at least on an annual basis and certain other nonrecurring items.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 Operating Expenses</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Financial income (expense), net</w:t>
      </w:r>
    </w:p>
    <w:p>
      <w:pPr>
        <w:spacing w:after="0" w:line="213"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Financial income (expense), net, consists primarily of interest income, interest expense, gains or losses from foreign currency fluctuations, credit loss related to loans receivable and hedging transactions.</w:t>
      </w:r>
    </w:p>
    <w:p>
      <w:pPr>
        <w:spacing w:after="0" w:line="143"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Interest income consists of interest from our investment in available for sale marketable securities, deposits, loans to third parties and accretion of discounts related to our investment in available for sale marketable securities.</w:t>
      </w:r>
    </w:p>
    <w:p>
      <w:pPr>
        <w:spacing w:after="0" w:line="143"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Interest expense consists of interest related to bank loans, advance payments received for performance obligations that extend for a period greater than one year, related to Accounting Standard Codification 606, “Revenue from Contracts with Customers” (ASC 606), interest related to Accounting Standard Codification 842, “Leases” (ASC 842), amortization of premium related to our investment in available for sale marketable securities, the amortization of debt issuance cost associated with our Notes due 2029 as well as the contractual interest expenses from our Notes due 2029.</w:t>
      </w:r>
    </w:p>
    <w:p>
      <w:pPr>
        <w:spacing w:after="0" w:line="162"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Our functional currency is the U.S. dollar. With respect to certain of our subsidiaries, the functional currency is the applicable local currency. Financial income (expenses), net, also consists of gains or losses from foreign currency fluctuations, the fair value remeasurement of hedging contracts not designated as cash flow hedge and bank charges. Foreign currency fluctuations primarily consist of the effect of foreign exchange differences between the U.S. dollar and the New Israeli Shekel, the Euro, and other currencies related to our monetary assets and liabilities.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Other income (loss)</w:t>
      </w:r>
    </w:p>
    <w:p>
      <w:pPr>
        <w:spacing w:after="0" w:line="213"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Other income (loss) consists primarily of realized and unrealized gains and losses on investments in privately-held companies and realized gains and losses on investment in available for sale marketable securities.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Income taxe</w:t>
      </w:r>
      <w:r>
        <w:rPr>
          <w:rFonts w:ascii="Times New Roman" w:cs="Times New Roman" w:eastAsia="Times New Roman" w:hAnsi="Times New Roman"/>
          <w:sz w:val="16"/>
          <w:szCs w:val="16"/>
          <w:color w:val="auto"/>
        </w:rPr>
        <w:t>s</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are subject to income taxes in the countries where we operate.</w:t>
      </w:r>
    </w:p>
    <w:p>
      <w:pPr>
        <w:spacing w:after="0" w:line="216"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the year ended December 31, 2025, we recorded a net income tax expense of $13.4 million, which consists of a $14.2 million current income tax expense and $0.8 million of deferred tax income. In the year ended December 31, 2024, we recorded a net income tax expense of $96.1 million, which consists of a $16.9 million current income tax expense and a $79.2 million deferred tax income. Our effective tax rate for 2025 was negative 3.5%, compared to negative 5.63% for 2024.</w:t>
      </w:r>
    </w:p>
    <w:p>
      <w:pPr>
        <w:spacing w:after="0" w:line="164" w:lineRule="exact"/>
        <w:rPr>
          <w:sz w:val="20"/>
          <w:szCs w:val="20"/>
          <w:color w:val="auto"/>
        </w:rPr>
      </w:pPr>
    </w:p>
    <w:p>
      <w:pPr>
        <w:jc w:val="both"/>
        <w:ind w:left="40" w:firstLine="576"/>
        <w:spacing w:after="0" w:line="270" w:lineRule="auto"/>
        <w:rPr>
          <w:sz w:val="20"/>
          <w:szCs w:val="20"/>
          <w:color w:val="auto"/>
        </w:rPr>
      </w:pPr>
      <w:r>
        <w:rPr>
          <w:rFonts w:ascii="Times New Roman" w:cs="Times New Roman" w:eastAsia="Times New Roman" w:hAnsi="Times New Roman"/>
          <w:sz w:val="16"/>
          <w:szCs w:val="16"/>
          <w:color w:val="auto"/>
        </w:rPr>
        <w:t>On December 22, 2017, the Tax Cuts and Jobs Act (the "Tax Act") was signed into law, making significant changes to U.S. income tax law. These changes include, but are not limited to, a corporate tax rate decrease from 35% to 21% effective for tax years 2018 onwards and created new taxes on certain foreign-sourced earnings (including tax on Global Intangible Low Taxed Income (“GILTI”) and certain related-party payments. The Tax Act also amended Section 174 of the U.S Internal Revenue Code, effective from January 1, 2022, eliminating the option to deduct research and development expenditures currently and requiring taxpayers to amortize them over five years (if incurred in the U.S.) or fifteen years (if incurred outside the 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4" w:right="804" w:bottom="1440" w:gutter="0" w:footer="0" w:header="0"/>
        </w:sectPr>
      </w:pPr>
    </w:p>
    <w:bookmarkStart w:id="58" w:name="page59"/>
    <w:bookmarkEnd w:id="58"/>
    <w:p>
      <w:pPr>
        <w:jc w:val="both"/>
        <w:ind w:left="40" w:firstLine="576"/>
        <w:spacing w:after="0" w:line="279" w:lineRule="auto"/>
        <w:rPr>
          <w:sz w:val="20"/>
          <w:szCs w:val="20"/>
          <w:color w:val="auto"/>
        </w:rPr>
      </w:pPr>
      <w:r>
        <w:rPr>
          <w:rFonts w:ascii="Times New Roman" w:cs="Times New Roman" w:eastAsia="Times New Roman" w:hAnsi="Times New Roman"/>
          <w:sz w:val="16"/>
          <w:szCs w:val="16"/>
          <w:color w:val="auto"/>
        </w:rPr>
        <w:t>Furthermore, the Tax Act required the Company to pay U.S. income taxes on accumulated foreign subsidiaries earnings not previously subject to U.S. income tax at a rate of 15.5% to the extent of foreign cash and certain other net current assets, and 8% on the remaining earnings. The total tax liability will be paid over the eight-year period provided in the Tax Act (ending 2025).</w:t>
      </w:r>
    </w:p>
    <w:p>
      <w:pPr>
        <w:spacing w:after="0" w:line="158"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SolarEdge Technologies Ltd., our Israeli Subsidiary, is taxed under Israeli law. Income not eligible for benefits under the Investments Law is taxed at the corporate tax rate. The Israeli corporate tax rate is 23%.</w:t>
      </w:r>
    </w:p>
    <w:p>
      <w:pPr>
        <w:spacing w:after="0" w:line="140"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Our Israeli Subsidiary elected tax year 2012 as a ”Year of Election” for “Benefited Enterprise” under the Israeli Investments Law, which provides certain benefits, including tax exemptions and reduced tax rates. Upon meeting the requirements under the Israeli Investments Law, the two-year tax exemption has ended on December 31, 2018.</w:t>
      </w:r>
    </w:p>
    <w:p>
      <w:pPr>
        <w:spacing w:after="0" w:line="156"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The Investment Law was amended in 2005 and was further amended as of January 1, 2011 and in August 2013 (the “2011 Amendment”). The 2011 Amendment canceled the availability of the benefits granted in accordance with the provisions of the Investments Law prior to 2011 and, instead, introduced new benefits for income generated by a “Preferred Company” through its “Preferred Enterprise” (both as defined in the 2011 Amendment). Under the 2011 Amendment, income derived by Preferred Companies from Preferred Enterprise would be subject to a uniform rate of corporate tax. The tax rate applicable to such income, referred to as “Preferred Income”, would be 7.5% in areas in Israel that are designated as Development Zone A and 16% elsewhere in Israel starting in the year 2017 and thereafter. Our Israeli Subsidiary has established its own manufacturing facility in Israel, located in a Development Zone A, therefore income from manufacturing attributed to that facility is subject to a 7.5% tax rate.</w:t>
      </w:r>
    </w:p>
    <w:p>
      <w:pPr>
        <w:spacing w:after="0" w:line="167"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In December 2016, Amendment 73 to the Investments Law (the “2017 Amendment”) was published. According to the 2017 Amendment, special tax tracks for technological enterprises have been introduced, which are subject to rules that were issued by the Israeli Ministry of Finance. A Preferred Technological Enterprise (PTE), as defined in the 2017 Amendment, that is located in the central region of Israel, will be subject to a tax at a rate of 12% on profits deriving from intellectual property, or 6% if its annual revenues exceed New Israeli Shekel 10 billion.</w:t>
      </w:r>
    </w:p>
    <w:p>
      <w:pPr>
        <w:spacing w:after="0" w:line="164"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On June 14, 2017, the Encouragement of Capital Investments Regulations (Preferred Technological Income and Capital Gain for Technological Enterprise), 2017 (the “Regulations”) were published. The Regulations describe, inter alia, the mechanism used to determine the calculation of the benefits under the PTE regime. A company that complies with the terms under the PTE regime, may be entitled to certain tax benefits with respect to certain income generated during the company’s regular course of business and derived from the preferred intangible asset.</w:t>
      </w:r>
    </w:p>
    <w:p>
      <w:pPr>
        <w:spacing w:after="0" w:line="16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As of January 2019, our Israeli Subsidiary elected to implement the 2011 and 2017 Amendments starting as of tax year 2019 and as a result, under the PTE regime with respect to our business activities in Israel. Our PTE income was subject to a 12% tax rate in Israel in the years 2019-2021, and in 2022-2023 to a 6% tax rate as we surpassed 10 billion New Israeli Shekel revenues threshold. In 2024 and 2025 the Company incurred losses for tax purposes.</w:t>
      </w:r>
    </w:p>
    <w:p>
      <w:pPr>
        <w:spacing w:after="0" w:line="15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Law for the Encouragement of Industry (Taxes), 1969, (the “Industry Encouragement Law”), provides certain tax benefits for an ‘Industrial Company’ as such term is defined in the Industry Encouragement Law. An Industrial Company is entitled to certain tax benefits including, inter alia, amortization over an eight-year period of the cost of purchased know -how, patents and accelerated depreciation rates on equipment and buildings. We qualify as an Industrial Company under the Law and benefit from its provisions as applicable.</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Loss from equity method investments</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Loss from equity method investments consists of our proportionate share of the net loss of equity method investments.</w:t>
      </w:r>
    </w:p>
    <w:p>
      <w:pPr>
        <w:spacing w:after="0" w:line="1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following tables set forth our consolidated statements of income for the years ended December 31, 2025 and 2024. We have derived this data from our consolidated financial statements included elsewhere in this Annual Report. This information should be read in conjunction with our consolidated financial statements and related notes included elsewhere in this Annual Report. The results of historical periods are not necessarily indicative of the results of operations for any future period.</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 ended December 31, 2025 and year ended December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8"/>
                <w:szCs w:val="18"/>
                <w:color w:val="auto"/>
              </w:rPr>
            </w:pPr>
          </w:p>
        </w:tc>
        <w:tc>
          <w:tcPr>
            <w:tcW w:w="1460" w:type="dxa"/>
            <w:vAlign w:val="bottom"/>
            <w:gridSpan w:val="3"/>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19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1,184,444</w:t>
            </w:r>
          </w:p>
        </w:tc>
        <w:tc>
          <w:tcPr>
            <w:tcW w:w="200" w:type="dxa"/>
            <w:vAlign w:val="bottom"/>
            <w:tcBorders>
              <w:lef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901,456</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282,988</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988,163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1,778,660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(790,497)</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196,281</w:t>
            </w:r>
          </w:p>
        </w:tc>
        <w:tc>
          <w:tcPr>
            <w:tcW w:w="200" w:type="dxa"/>
            <w:vAlign w:val="bottom"/>
            <w:tcBorders>
              <w:lef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(877,204)</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1,073,485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221,255</w:t>
            </w:r>
          </w:p>
        </w:tc>
        <w:tc>
          <w:tcPr>
            <w:tcW w:w="200" w:type="dxa"/>
            <w:vAlign w:val="bottom"/>
            <w:tcBorders>
              <w:lef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277,237</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(55,982)</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117,332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146,865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(29,533)</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101,035</w:t>
            </w:r>
          </w:p>
        </w:tc>
        <w:tc>
          <w:tcPr>
            <w:tcW w:w="200" w:type="dxa"/>
            <w:vAlign w:val="bottom"/>
            <w:tcBorders>
              <w:lef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147,455</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(46,420)</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259,527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(201,189)</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right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497,960</w:t>
            </w:r>
          </w:p>
        </w:tc>
        <w:tc>
          <w:tcPr>
            <w:tcW w:w="200" w:type="dxa"/>
            <w:vAlign w:val="bottom"/>
            <w:tcBorders>
              <w:lef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831,084</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(333,124)</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(40.1)%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5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(301,679)</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(1,708,288)</w:t>
            </w:r>
          </w:p>
        </w:tc>
        <w:tc>
          <w:tcPr>
            <w:tcW w:w="2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1,406,609</w:t>
            </w: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expense, net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(71,999)</w:t>
            </w:r>
          </w:p>
        </w:tc>
        <w:tc>
          <w:tcPr>
            <w:tcW w:w="22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(14,570)</w:t>
            </w: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(57,429)</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(loss), net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(17,428)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(31,975)</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(391,106)</w:t>
            </w:r>
          </w:p>
        </w:tc>
        <w:tc>
          <w:tcPr>
            <w:tcW w:w="200" w:type="dxa"/>
            <w:vAlign w:val="bottom"/>
            <w:tcBorders>
              <w:lef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(1,708,311)</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1,317,205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(13,382)</w:t>
            </w:r>
          </w:p>
        </w:tc>
        <w:tc>
          <w:tcPr>
            <w:tcW w:w="2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(96,150)</w:t>
            </w:r>
          </w:p>
        </w:tc>
        <w:tc>
          <w:tcPr>
            <w:tcW w:w="2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82,768</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equity method investments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(960)</w:t>
            </w:r>
          </w:p>
        </w:tc>
        <w:tc>
          <w:tcPr>
            <w:tcW w:w="22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(1,896)</w:t>
            </w: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936</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 w:type="dxa"/>
            <w:vAlign w:val="bottom"/>
            <w:shd w:val="clear" w:color="auto" w:fill="CCEEFF"/>
          </w:tcPr>
          <w:p>
            <w:pPr>
              <w:spacing w:after="0"/>
              <w:rPr>
                <w:sz w:val="2"/>
                <w:szCs w:val="2"/>
                <w:color w:val="auto"/>
              </w:rPr>
            </w:pPr>
          </w:p>
        </w:tc>
        <w:tc>
          <w:tcPr>
            <w:tcW w:w="5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(1,806,357)</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1,400,909</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24"/>
                <w:szCs w:val="24"/>
                <w:color w:val="auto"/>
              </w:rPr>
            </w:pPr>
          </w:p>
        </w:tc>
        <w:tc>
          <w:tcPr>
            <w:tcW w:w="146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8"/>
              </w:rPr>
              <w:t>2024 to 2025</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w:t>
            </w: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1,184,444</w:t>
            </w:r>
          </w:p>
        </w:tc>
        <w:tc>
          <w:tcPr>
            <w:tcW w:w="220" w:type="dxa"/>
            <w:vAlign w:val="bottom"/>
            <w:tcBorders>
              <w:lef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901,456</w:t>
            </w:r>
          </w:p>
        </w:tc>
        <w:tc>
          <w:tcPr>
            <w:tcW w:w="260" w:type="dxa"/>
            <w:vAlign w:val="bottom"/>
            <w:tcBorders>
              <w:lef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282,988</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Revenues increased by $283.0 million, or 31.4%, in the year ended December 31, 2025, as compared to the year ended December 31, 2024, primarily due to (i) an increase of $261.1 million related to an increase in the number of inverters and power optimizers sold; (ii) an increase of $94.9 million related to the number of batteries sold, mainly in Europe and the U.S; (iii) a decrease of $33.5 million in revenues due to the discontinuation of our Energy Storage Business; and (iv) a decrease of $30.4 million in the amount of ancillary solar products sold.</w:t>
      </w:r>
    </w:p>
    <w:p>
      <w:pPr>
        <w:spacing w:after="0" w:line="16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Revenues from outside of the U.S. comprised 39.4% of our revenues in the year ended December 31, 2025 as compared to 57.9% in the year ended December 31, 2024.</w:t>
      </w:r>
    </w:p>
    <w:p>
      <w:pPr>
        <w:spacing w:after="0" w:line="140"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The number of power optimizers recognized as revenues increased by approximately 3.9 million units, or 59.1%, from approximately 6.6 million units in the year ended December 31, 2024, to approximately 10.6 million units in the year ended December 31, 2025. The number of inverters recognized as revenues, increased by approximately 103.9 thousand units, or 42.3%, from approximately 245.7 thousand units in the year ended December 31, 2024 to approximately 349.6 thousand units in the year ended December 31, 2025. The megawatt hours of batteries recognized as revenues increased by approximately 341.2 megawatts hour, or 61.3% from approximately 556.2 megawatts in the year ended December 31, 2024 to approximately 897.4 megawatts in the year ended December 31, 2025, as a result of increase in demand.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08" w:right="804"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Cost of Revenues and Gross Profit (loss)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9"/>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24"/>
                <w:szCs w:val="24"/>
                <w:color w:val="auto"/>
              </w:rPr>
            </w:pP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1900" w:type="dxa"/>
            <w:vAlign w:val="bottom"/>
            <w:gridSpan w:val="3"/>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988,163</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1,778,660</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(790,497)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196,281</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(877,204)</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1,073,485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(122.4)%</w:t>
            </w:r>
          </w:p>
        </w:tc>
      </w:tr>
    </w:tbl>
    <w:p>
      <w:pPr>
        <w:spacing w:after="0" w:line="178"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Cost of revenues decreased by $790.5 million, or 44.4%, in the year ended December 31, 2025 as compared to the year ended December 31, 2024, primarily due to:</w:t>
      </w:r>
    </w:p>
    <w:p>
      <w:pPr>
        <w:spacing w:after="0" w:line="132" w:lineRule="exact"/>
        <w:rPr>
          <w:sz w:val="20"/>
          <w:szCs w:val="20"/>
          <w:color w:val="auto"/>
        </w:rPr>
      </w:pPr>
    </w:p>
    <w:p>
      <w:pPr>
        <w:ind w:left="860" w:hanging="288"/>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$757.6 million in inventory costs, which is mainly attributed to inventory write-down;</w:t>
      </w:r>
    </w:p>
    <w:p>
      <w:pPr>
        <w:spacing w:after="0" w:line="200" w:lineRule="exact"/>
        <w:rPr>
          <w:rFonts w:ascii="Times New Roman" w:cs="Times New Roman" w:eastAsia="Times New Roman" w:hAnsi="Times New Roman"/>
          <w:sz w:val="16"/>
          <w:szCs w:val="16"/>
          <w:color w:val="auto"/>
        </w:rPr>
      </w:pPr>
    </w:p>
    <w:p>
      <w:pPr>
        <w:ind w:left="860" w:hanging="288"/>
        <w:spacing w:after="0" w:line="279" w:lineRule="auto"/>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$36.0 million in warranty expenses and warranty accruals, associated primarily with a lower cost of materials and changes in estimates;</w:t>
      </w:r>
    </w:p>
    <w:p>
      <w:pPr>
        <w:spacing w:after="0" w:line="141" w:lineRule="exact"/>
        <w:rPr>
          <w:rFonts w:ascii="Times New Roman" w:cs="Times New Roman" w:eastAsia="Times New Roman" w:hAnsi="Times New Roman"/>
          <w:sz w:val="16"/>
          <w:szCs w:val="16"/>
          <w:color w:val="auto"/>
        </w:rPr>
      </w:pPr>
    </w:p>
    <w:p>
      <w:pPr>
        <w:ind w:left="860" w:hanging="288"/>
        <w:spacing w:after="0" w:line="278" w:lineRule="auto"/>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personnel-related costs of $10.1 million, resulting from our workforce reduction plan designed to reduce operating expenses and align our cost structure to current market dynamics.</w:t>
      </w:r>
    </w:p>
    <w:p>
      <w:pPr>
        <w:spacing w:after="0" w:line="150" w:lineRule="exact"/>
        <w:rPr>
          <w:sz w:val="20"/>
          <w:szCs w:val="20"/>
          <w:color w:val="auto"/>
        </w:rPr>
      </w:pPr>
    </w:p>
    <w:p>
      <w:pPr>
        <w:ind w:firstLine="576"/>
        <w:spacing w:after="0" w:line="298" w:lineRule="auto"/>
        <w:rPr>
          <w:sz w:val="20"/>
          <w:szCs w:val="20"/>
          <w:color w:val="auto"/>
        </w:rPr>
      </w:pPr>
      <w:r>
        <w:rPr>
          <w:rFonts w:ascii="Times New Roman" w:cs="Times New Roman" w:eastAsia="Times New Roman" w:hAnsi="Times New Roman"/>
          <w:sz w:val="16"/>
          <w:szCs w:val="16"/>
          <w:color w:val="auto"/>
        </w:rPr>
        <w:t>These were partially offset by an increase of $26.3 million, in the direct cost of revenues sold associated primarily with an increase in the volume of products sold, net, of an increase in AMPTC recognized; Excluding such AMPTC incentives would have caused us to transition into a gross loss.</w:t>
      </w:r>
    </w:p>
    <w:p>
      <w:pPr>
        <w:spacing w:after="0" w:line="143" w:lineRule="exact"/>
        <w:rPr>
          <w:sz w:val="20"/>
          <w:szCs w:val="20"/>
          <w:color w:val="auto"/>
        </w:rPr>
      </w:pPr>
    </w:p>
    <w:p>
      <w:pPr>
        <w:ind w:firstLine="576"/>
        <w:spacing w:after="0" w:line="298" w:lineRule="auto"/>
        <w:rPr>
          <w:sz w:val="20"/>
          <w:szCs w:val="20"/>
          <w:color w:val="auto"/>
        </w:rPr>
      </w:pPr>
      <w:r>
        <w:rPr>
          <w:rFonts w:ascii="Times New Roman" w:cs="Times New Roman" w:eastAsia="Times New Roman" w:hAnsi="Times New Roman"/>
          <w:sz w:val="16"/>
          <w:szCs w:val="16"/>
          <w:color w:val="auto"/>
        </w:rPr>
        <w:t>Gross profit as a percentage of revenue increased from gross loss of 97.3% for the year ended December 31, 2024 to a gross profit of 16.6% in the year ended December 31, 2025 primarily due to:</w:t>
      </w:r>
    </w:p>
    <w:p>
      <w:pPr>
        <w:spacing w:after="0" w:line="135" w:lineRule="exact"/>
        <w:rPr>
          <w:sz w:val="20"/>
          <w:szCs w:val="20"/>
          <w:color w:val="auto"/>
        </w:rPr>
      </w:pPr>
    </w:p>
    <w:p>
      <w:pPr>
        <w:ind w:left="860" w:hanging="288"/>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inventory write-down accruals resulting in higher gross margin of approximately 101%; and</w:t>
      </w:r>
    </w:p>
    <w:p>
      <w:pPr>
        <w:spacing w:after="0" w:line="200" w:lineRule="exact"/>
        <w:rPr>
          <w:rFonts w:ascii="Times New Roman" w:cs="Times New Roman" w:eastAsia="Times New Roman" w:hAnsi="Times New Roman"/>
          <w:sz w:val="16"/>
          <w:szCs w:val="16"/>
          <w:color w:val="auto"/>
        </w:rPr>
      </w:pPr>
    </w:p>
    <w:p>
      <w:pPr>
        <w:ind w:left="860" w:hanging="288"/>
        <w:spacing w:after="0" w:line="278" w:lineRule="auto"/>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absolute fixed and other production related costs, which were divided this year by higher revenues, resulting in higher gross margin of approximately 12.8%.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Excluding the AMPTC incentives, would have caused our gross profit as a percentage of revenue, to transition from a gross profit to a gross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0"/>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221,255</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277,237</w:t>
            </w: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(55,982)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bl>
    <w:p>
      <w:pPr>
        <w:spacing w:after="0" w:line="191"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Research and development costs decreased by $56.0 million or 20.2%, in the year ended December 31, 2025 compared to the year ended December 31, 2024, primarily due to:</w:t>
      </w:r>
    </w:p>
    <w:p>
      <w:pPr>
        <w:spacing w:after="0" w:line="135" w:lineRule="exact"/>
        <w:rPr>
          <w:sz w:val="20"/>
          <w:szCs w:val="20"/>
          <w:color w:val="auto"/>
        </w:rPr>
      </w:pPr>
    </w:p>
    <w:p>
      <w:pPr>
        <w:ind w:left="860" w:hanging="288"/>
        <w:spacing w:after="0" w:line="278" w:lineRule="auto"/>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$40.9 million in personnel-related costs, resulting from our workforce reduction plan designed to reduce operating expenses and align our cost structure to current market dynamics;</w:t>
      </w:r>
    </w:p>
    <w:p>
      <w:pPr>
        <w:spacing w:after="0" w:line="125"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depreciation and amortization of $5.5 million;</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material consumption in an amount of $5.4 million; and</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expenses related to consultants and sub-contractors in the amount of $3.3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4" w:right="804"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Sales and Marketing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9"/>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2024 to 2025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117,332</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146,865</w:t>
            </w: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(29,533)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bl>
    <w:p>
      <w:pPr>
        <w:spacing w:after="0" w:line="191"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Sales and marketing expenses decreased by $29.5 million, or 20.1%, for the year ended December 31, 2025 compared to the year ended December 31, 2024, primarily due to:</w:t>
      </w:r>
    </w:p>
    <w:p>
      <w:pPr>
        <w:spacing w:after="0" w:line="133" w:lineRule="exact"/>
        <w:rPr>
          <w:sz w:val="20"/>
          <w:szCs w:val="20"/>
          <w:color w:val="auto"/>
        </w:rPr>
      </w:pPr>
    </w:p>
    <w:p>
      <w:pPr>
        <w:ind w:left="860" w:hanging="288"/>
        <w:spacing w:after="0" w:line="278" w:lineRule="auto"/>
        <w:tabs>
          <w:tab w:leader="none" w:pos="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$23.1 million in personnel-related costs, resulting from our workforce reduction plan designed to reduce operating expenses and align our cost structure to current market dynamics;</w:t>
      </w:r>
    </w:p>
    <w:p>
      <w:pPr>
        <w:spacing w:after="0" w:line="141"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$1.7 million in other marketing expenses; and</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depreciation and amortization of $1.6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60" w:type="dxa"/>
            <w:vAlign w:val="bottom"/>
          </w:tcPr>
          <w:p>
            <w:pPr>
              <w:spacing w:after="0"/>
              <w:rPr>
                <w:sz w:val="18"/>
                <w:szCs w:val="18"/>
                <w:color w:val="auto"/>
              </w:rPr>
            </w:pPr>
          </w:p>
        </w:tc>
        <w:tc>
          <w:tcPr>
            <w:tcW w:w="230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vMerge w:val="continue"/>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101,035</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147,455</w:t>
            </w: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(46,420)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General and administrative expenses decreased by $46.4 million, or 31.5%, in the year ended December 31, 2025 compared to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primarily due to:</w:t>
      </w:r>
    </w:p>
    <w:p>
      <w:pPr>
        <w:spacing w:after="0" w:line="202" w:lineRule="exact"/>
        <w:rPr>
          <w:sz w:val="20"/>
          <w:szCs w:val="20"/>
          <w:color w:val="auto"/>
        </w:rPr>
      </w:pPr>
    </w:p>
    <w:p>
      <w:pPr>
        <w:ind w:left="860" w:hanging="288"/>
        <w:spacing w:after="0" w:line="278" w:lineRule="auto"/>
        <w:tabs>
          <w:tab w:leader="none" w:pos="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reversal of allowance for doubtful debt related to the collection of amounts previously reserved in the amount of $20.5 million in the year ended December 31, 2025, compared to an expense of $28.2 million, in the year ended December 31, 2024; and</w:t>
      </w:r>
    </w:p>
    <w:p>
      <w:pPr>
        <w:spacing w:after="0" w:line="141" w:lineRule="exact"/>
        <w:rPr>
          <w:rFonts w:ascii="Times New Roman" w:cs="Times New Roman" w:eastAsia="Times New Roman" w:hAnsi="Times New Roman"/>
          <w:sz w:val="16"/>
          <w:szCs w:val="16"/>
          <w:color w:val="auto"/>
        </w:rPr>
      </w:pPr>
    </w:p>
    <w:p>
      <w:pPr>
        <w:ind w:left="860" w:hanging="288"/>
        <w:spacing w:after="0" w:line="279" w:lineRule="auto"/>
        <w:tabs>
          <w:tab w:leader="none" w:pos="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$17.1 million in personnel-related costs, resulting from our workforce reduction plan designed to reduce operating expenses and align our cost structure to current market dynamics.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were partially offset by:</w:t>
      </w:r>
    </w:p>
    <w:p>
      <w:pPr>
        <w:spacing w:after="0" w:line="208" w:lineRule="exact"/>
        <w:rPr>
          <w:sz w:val="20"/>
          <w:szCs w:val="20"/>
          <w:color w:val="auto"/>
        </w:rPr>
      </w:pPr>
    </w:p>
    <w:p>
      <w:pPr>
        <w:ind w:left="860" w:hanging="288"/>
        <w:spacing w:after="0"/>
        <w:tabs>
          <w:tab w:leader="none" w:pos="8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$12.8 million related to potential legal claims; and</w:t>
      </w:r>
    </w:p>
    <w:p>
      <w:pPr>
        <w:spacing w:after="0" w:line="208" w:lineRule="exact"/>
        <w:rPr>
          <w:rFonts w:ascii="Times New Roman" w:cs="Times New Roman" w:eastAsia="Times New Roman" w:hAnsi="Times New Roman"/>
          <w:sz w:val="16"/>
          <w:szCs w:val="16"/>
          <w:color w:val="auto"/>
        </w:rPr>
      </w:pPr>
    </w:p>
    <w:p>
      <w:pPr>
        <w:ind w:left="5060" w:right="1580" w:hanging="4488"/>
        <w:spacing w:after="0" w:line="497" w:lineRule="auto"/>
        <w:tabs>
          <w:tab w:leader="none" w:pos="8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$8.1 million, primarily due to a payment for postponing the commencement of our campus lease agreement. 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-93980</wp:posOffset>
                </wp:positionV>
                <wp:extent cx="653224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3999pt" to="514.15pt,-7.3999pt" o:allowincell="f" strokecolor="#000000" strokeweight="1.1999pt"/>
            </w:pict>
          </mc:Fallback>
        </mc:AlternateContent>
      </w:r>
    </w:p>
    <w:p>
      <w:pPr>
        <w:sectPr>
          <w:pgSz w:w="11900" w:h="16840" w:orient="portrait"/>
          <w:cols w:equalWidth="0" w:num="1">
            <w:col w:w="10280"/>
          </w:cols>
          <w:pgMar w:left="820" w:top="914" w:right="804"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Other operating expenses, net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9"/>
        </w:trPr>
        <w:tc>
          <w:tcPr>
            <w:tcW w:w="5400" w:type="dxa"/>
            <w:vAlign w:val="bottom"/>
          </w:tcPr>
          <w:p>
            <w:pPr>
              <w:spacing w:after="0"/>
              <w:rPr>
                <w:sz w:val="24"/>
                <w:szCs w:val="24"/>
                <w:color w:val="auto"/>
              </w:rPr>
            </w:pPr>
          </w:p>
        </w:tc>
        <w:tc>
          <w:tcPr>
            <w:tcW w:w="244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54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58,338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259,527</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8"/>
              </w:rPr>
              <w:t>(201,189)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bl>
    <w:p>
      <w:pPr>
        <w:spacing w:after="0" w:line="191"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Other operating expenses, net, decreased by $201.2 million, or 77.5% in the year ended December 31, 2025 compared to the year ended December 31, 2024, primarily due to:</w:t>
      </w:r>
    </w:p>
    <w:p>
      <w:pPr>
        <w:spacing w:after="0" w:line="133" w:lineRule="exact"/>
        <w:rPr>
          <w:sz w:val="20"/>
          <w:szCs w:val="20"/>
          <w:color w:val="auto"/>
        </w:rPr>
      </w:pPr>
    </w:p>
    <w:p>
      <w:pPr>
        <w:ind w:left="860" w:hanging="288"/>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$219.0 million in losses related to the impairment and abandonment of property, plant and equipment;</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$22.4 million in losses related to the impairment of intangible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were partially offset by an increase of $43.3 million related to impairment of held for sale assets.</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Financial income (expense), net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2024 to 2025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(71,999)</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(14,570)</w:t>
            </w: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(57,429)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r>
    </w:tbl>
    <w:p>
      <w:pPr>
        <w:spacing w:after="0" w:line="191"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Financial expenses, net, increased by $57.4 million, or 394.2% in the year ended December 31, 2025 compared to the year ended December 31, 2024, primarily due to:</w:t>
      </w:r>
    </w:p>
    <w:p>
      <w:pPr>
        <w:spacing w:after="0" w:line="132" w:lineRule="exact"/>
        <w:rPr>
          <w:sz w:val="20"/>
          <w:szCs w:val="20"/>
          <w:color w:val="auto"/>
        </w:rPr>
      </w:pPr>
    </w:p>
    <w:p>
      <w:pPr>
        <w:ind w:left="860" w:hanging="288"/>
        <w:spacing w:after="0" w:line="279" w:lineRule="auto"/>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$56.6 million in fluctuations in foreign exchange rates, which was primarily driven by a reclassification from accumulated other comprehensive loss to financial income (expense), resulting from the substantial completion of the liquidation of a certain foreign subsidiary.</w:t>
      </w:r>
    </w:p>
    <w:p>
      <w:pPr>
        <w:spacing w:after="0" w:line="141"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$17.9 million in interest income related to our marketable securities investments and loans receivable; and</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$5.3 million in interest expenses mainly related to our Notes 2029 (as defined below).</w:t>
      </w:r>
    </w:p>
    <w:p>
      <w:pPr>
        <w:spacing w:after="0" w:line="207" w:lineRule="exact"/>
        <w:rPr>
          <w:sz w:val="20"/>
          <w:szCs w:val="20"/>
          <w:color w:val="auto"/>
        </w:rPr>
      </w:pPr>
    </w:p>
    <w:p>
      <w:pPr>
        <w:ind w:firstLine="576"/>
        <w:spacing w:after="0" w:line="300" w:lineRule="auto"/>
        <w:rPr>
          <w:sz w:val="20"/>
          <w:szCs w:val="20"/>
          <w:color w:val="auto"/>
        </w:rPr>
      </w:pPr>
      <w:r>
        <w:rPr>
          <w:rFonts w:ascii="Times New Roman" w:cs="Times New Roman" w:eastAsia="Times New Roman" w:hAnsi="Times New Roman"/>
          <w:sz w:val="16"/>
          <w:szCs w:val="16"/>
          <w:color w:val="auto"/>
        </w:rPr>
        <w:t>These were partially offset by a reversal of credit loss related to loans receivable in the amount of $7.9 million in the year ended December 31, 2025 compared to a credit loss provision in the amount of $17.5 million in the year ended December 31, 2024.</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Other income (loss), net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(loss),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(17,428)</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14,547</w:t>
            </w:r>
          </w:p>
        </w:tc>
        <w:tc>
          <w:tcPr>
            <w:tcW w:w="4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(31,975)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r>
    </w:tbl>
    <w:p>
      <w:pPr>
        <w:spacing w:after="0" w:line="19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Other loss, net was $17.4 million for the year ended December 31, 2025 compared to other income, net of $14.5 million in the year ended December 31, 2024, primarily due to:</w:t>
      </w:r>
    </w:p>
    <w:p>
      <w:pPr>
        <w:spacing w:after="0" w:line="132" w:lineRule="exact"/>
        <w:rPr>
          <w:sz w:val="20"/>
          <w:szCs w:val="20"/>
          <w:color w:val="auto"/>
        </w:rPr>
      </w:pPr>
    </w:p>
    <w:p>
      <w:pPr>
        <w:ind w:left="860" w:hanging="288"/>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income of $15.5 million in gain from the repurchase of the Notes 2025 (as defined below) recognized in prior year;</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expenses of $16.6 million as a result of impairment of investment in privately held company; and</w:t>
      </w:r>
    </w:p>
    <w:p>
      <w:pPr>
        <w:spacing w:after="0" w:line="200"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income of $3.0 million in realized gain from marketable securities;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These were partially offset by $4.0 million income from sale of an investment in a privately held company.</w:t>
      </w:r>
    </w:p>
    <w:p>
      <w:pPr>
        <w:spacing w:after="0" w:line="1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14" w:right="804"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Income taxes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9"/>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2024 to 2025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(13,382)</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(96,150)</w:t>
            </w: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82,768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bl>
    <w:p>
      <w:pPr>
        <w:spacing w:after="0" w:line="191"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Income taxes decreased by $82.8 million, or 86.1%, for the year ended December 31, 2025 as compared to the year ended December 31, 2024. The significantly higher taxes in 2024 is primarily attributable to the valuation allowance we recorded in the year ended December 31, 2024 against our deferred tax assets for losses and other temporary differences of the company and its subsidiaries.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Loss from equity 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0"/>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(In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equity method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(960)</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(1,896)</w:t>
            </w:r>
          </w:p>
        </w:tc>
        <w:tc>
          <w:tcPr>
            <w:tcW w:w="54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936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bl>
    <w:p>
      <w:pPr>
        <w:spacing w:after="0" w:line="191"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Net loss from equity method investments decreased by $0.9 million, or 49.4% for the year ended December 31, 2025 as compared to the year ended 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loss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9"/>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24"/>
                <w:szCs w:val="24"/>
                <w:color w:val="auto"/>
              </w:rPr>
            </w:pPr>
          </w:p>
        </w:tc>
        <w:tc>
          <w:tcPr>
            <w:tcW w:w="1500" w:type="dxa"/>
            <w:vAlign w:val="bottom"/>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(In</w:t>
            </w:r>
          </w:p>
        </w:tc>
        <w:tc>
          <w:tcPr>
            <w:tcW w:w="1940" w:type="dxa"/>
            <w:vAlign w:val="bottom"/>
            <w:gridSpan w:val="3"/>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(1,806,357)</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1,400,909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bl>
    <w:p>
      <w:pPr>
        <w:spacing w:after="0" w:line="191"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As a result of the factors discussed above, net loss decreased by $1,400.9 million,or 77.6%, for the year ended December 31, 2025 as compared to the year ended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shows our cash flows from operating activities, investing activities, and financing activities for the stated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79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00" w:type="dxa"/>
            <w:vAlign w:val="bottom"/>
          </w:tcPr>
          <w:p>
            <w:pPr>
              <w:spacing w:after="0"/>
              <w:rPr>
                <w:sz w:val="17"/>
                <w:szCs w:val="17"/>
                <w:color w:val="auto"/>
              </w:rPr>
            </w:pPr>
          </w:p>
        </w:tc>
      </w:tr>
      <w:tr>
        <w:trPr>
          <w:trHeight w:val="19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104,261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(313,319)</w:t>
            </w:r>
          </w:p>
        </w:tc>
      </w:tr>
      <w:tr>
        <w:trPr>
          <w:trHeight w:val="200"/>
        </w:trPr>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416,286</w:t>
            </w:r>
          </w:p>
        </w:tc>
      </w:tr>
      <w:tr>
        <w:trPr>
          <w:trHeight w:val="22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(348,890)</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(20,129)</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135,253</w:t>
            </w:r>
          </w:p>
        </w:tc>
        <w:tc>
          <w:tcPr>
            <w:tcW w:w="220" w:type="dxa"/>
            <w:vAlign w:val="bottom"/>
          </w:tcPr>
          <w:p>
            <w:pPr>
              <w:spacing w:after="0"/>
              <w:rPr>
                <w:sz w:val="16"/>
                <w:szCs w:val="16"/>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82,838</w:t>
            </w:r>
          </w:p>
        </w:tc>
      </w:tr>
      <w:tr>
        <w:trPr>
          <w:trHeight w:val="20"/>
        </w:trPr>
        <w:tc>
          <w:tcPr>
            <w:tcW w:w="7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As of December 31, 2025, our cash and cash equivalents were $455.1 million. This amount does not include $84.8 million restricted cash, $ 38.1 million invested in available for sale marketable securities, $2.7 million invested in deposits, and $0.5 million invested in restricted deposits. Our principal uses of cash are for funding our operations, capital expenditures, other working capital requirements, other investments, and the repayment of our Notes 2029. As of December 31, 2025, we have open commitments for capital expenditures in the amount of approximately $23.5 million. These commitments reflect purchases of automated assembly lines and other machinery related to our manufacturing operations. We also have purchase obligations in the amount of $513.2 million related to raw materials and commitments for the future manufacturing of our products.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4" w:right="804" w:bottom="1440" w:gutter="0" w:footer="0" w:header="0"/>
        </w:sectPr>
      </w:pPr>
    </w:p>
    <w:bookmarkStart w:id="64" w:name="page65"/>
    <w:bookmarkEnd w:id="64"/>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As of December 31, 2025, we had a non- cancelable lease commitment for the initial term of a lease of approximately $274,237 for new offices in Israel, which has not yet commenced. The lease is expected to commence during the next twelve months. The initial term of the lease agreement is 15 years commencing on the transfer of possession, and with an option to extend the lease for additional periods of up to 10 years, subject to the conditions of the lease agreement. In November 2025, we amended our lease agreement with the developer for our new campus to reduce the leased area. In connection with the amendment, we agreed to make a lease modification payment of $28,828, recorded under other long-term assets, which is accounted for as prepaid lease consideration under ASC 842, of which $3,143 had been paid as of December 31, 2025.</w:t>
      </w:r>
    </w:p>
    <w:p>
      <w:pPr>
        <w:spacing w:after="0" w:line="166"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Beginning in the fourth quarter of 2024, we started to sell AMPTCs to third parties pursuant to tax credit agreements. We plan to pursue additional tax credit sales in the future. Our inability to complete sales or delays in doing so may affect the timing of our cash inflows. Failing to sell AMPTCs could result in delays between 18-24 months in the realization of the credits’ value, and would have a negative effect on our liquidity.</w:t>
      </w:r>
    </w:p>
    <w:p>
      <w:pPr>
        <w:spacing w:after="0" w:line="156"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believe that cash provided by operation activities, as well as our cash and cash equivalents, restricted cash and available for sale marketable securities, will be sufficient to meet our anticipated cash needs for at least the next 12 months as well as in the longer term, including the self-funding of our capital expenditure, operational commitments and the redemption of our debt.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14"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Operating cash flows consist primarily of net loss adjusted for certain non-cash items and changes in assets and liabilities. Cash provided by operating activities was $104.3 million in the year ended December 31, 2025 as compared to cash used in operating activities of $313.3 million in the year ended December 31, 2024. This was mainly result of a decrease in net loss adjusted for certain non-cash items as well as a decrease in operating working capital requirements.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15"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6"/>
          <w:szCs w:val="16"/>
          <w:color w:val="auto"/>
        </w:rPr>
        <w:t>Investing cash flows consist primarily of capital expenditures, investment in, sales and maturities of available for sale marketable securities, investment and withdrawal of bank deposits and restricted bank deposits, cash used for acquisitions and disbursements and receipts from collections of loans made by the Company. Cash provided by investing activities decreased by $36.4 million in the year ended December 31, 2025 as compared to the year ended December 31, 2024, primarily driven by an increase of $217.7 million in purchases of available-for-sale debt investments and a decrease of $44.3 million in proceeds provided by sales and maturities of available-for-sale debt investments. These were partially offset by a decrease of $84.7 million in purchase of property plant and equipment, a decrease of $ 37.5 million in disbursements of loans made by the Company, an increase of $ 35.8 million in sale of property plant and equipment, a decrease of $25.4 million in the purchase of privately-held companies, an increase of $21.4 million in proceeds from loans receivables, a decrease of $10.4 million in cash used for a business combination, and a decrease of $10.0 million in purchase of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14"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Financing cash flows consist primarily of repurchases of our common stock, under our share repurchase program, which expired on December 31, 2024, the issuance, partial repurchase and redemption of the convertible senior Notes, and our employee equity incentive plans. Cash used in financing activities for the year ended December 31, 2025 increased by $ 328.8 million, compared to cash used in financing activities in the year ended December 31, 2024, primarily due to an increase of $342.3 million in cash used for the repayment of our Notes 2025 and a decrease of $329.2 million in cash provided by the issuance of the Notes 2029. These were partially offset by a decrease of $262.8 million in cash used for the repurchase of our Notes 2025, a decrease of $50.2 million in cash used in share repurchases, and a decrease of $28.3 million in cash used to purchase the capped call transactions.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Senior Notes</w:t>
      </w:r>
    </w:p>
    <w:p>
      <w:pPr>
        <w:spacing w:after="0" w:line="214"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6"/>
          <w:szCs w:val="16"/>
          <w:color w:val="auto"/>
        </w:rPr>
        <w:t>On September 25, 2020, we issued $632.5 million aggregate principal amount of our convertible senior notes (“Notes 2025”) in a transaction exempt from registration pursuant to Rule 144A and Regulation S under the Securities Act. Net proceeds from the offering, after underwriters’ discount and commissions and offering expenses, was $617.9 million. In March 2025 the Company repurchased $ 5,250 principal amount of its Notes 2025. The Company recorded a net gain of $146, under other income, net, from the repurchase. The Company settled all of its remaining Notes 2025 on September 15, 2025. As part of the settlement, the Company paid $342,250 in cash towards principal amount of the Notes 2025 and no shares were issued in connection with the settlement as the conversion value was less than the principal amount of the Notes 2025. Following the settlement, there were no Notes 2025 outstanding as of September 30, 2025.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65" w:name="page66"/>
    <w:bookmarkEnd w:id="65"/>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On June 28, 2024, we sold an aggregate principal amount of $300 million of 2.25% convertible senior notes due 2029 in a transaction exempt from registration pursuant to Rule 144A and Regulation S under the Securities Act. The net proceeds from the offering of the Notes 2029 were approximately $293.2 million, after deducting fees and estimated expenses. Separately, we have entered into capped call transactions. We used approximately $ 25.2 million of the net proceeds from this offering to pay the cost of the capped call transactions and approximately $267.9 million of the net proceeds from this offering to repurchase $285.0 million principal amount of its outstanding 0.000% Notes 2025. As a result of the partial repurchase of the Notes 2025, we recognized a gain of $15.5 million which was recorded under other income. We intend to use the remainder of the net proceeds from the offering for general corporate purposes.</w:t>
      </w:r>
    </w:p>
    <w:p>
      <w:pPr>
        <w:spacing w:after="0" w:line="166"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6"/>
          <w:szCs w:val="16"/>
          <w:color w:val="auto"/>
        </w:rPr>
        <w:t>On July 8, 2024, we sold an aggregate principal amount of $37 million of our convertible senior notes (“Notes 2029”). The Notes 2029 were sold pursuant to the Initial Purchasers’ (as defined in Note 18) exercise of the option granted by the Company to the Initial Purchasers to purchase additional Notes 2029, as described in Note 18, “Convertible Senior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Repurchases</w:t>
      </w:r>
    </w:p>
    <w:p>
      <w:pPr>
        <w:spacing w:after="0" w:line="214"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On November 1, 2023, we announced the approval by the Board of Directors of a share repurchase program which authorizes the repurchase of up to $300 million of the Company’s common stock. The share repurchase program expired on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Management Estimates</w:t>
      </w:r>
    </w:p>
    <w:p>
      <w:pPr>
        <w:spacing w:after="0" w:line="219" w:lineRule="exact"/>
        <w:rPr>
          <w:sz w:val="20"/>
          <w:szCs w:val="20"/>
          <w:color w:val="auto"/>
        </w:rPr>
      </w:pPr>
    </w:p>
    <w:p>
      <w:pPr>
        <w:jc w:val="both"/>
        <w:ind w:firstLine="576"/>
        <w:spacing w:after="0" w:line="265"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generally accepted accounting principles in the U.S.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(see Note 2 to our annual financial statements for more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1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We generate revenues from the sale of DC optimized inverter systems for PV installations which include our power optimizers, inverters, batteries, cloud-based monitoring platform as well as other related ancillary products. Our worldwide customer base includes large solar installers, distributors, EPCs, utility companies and other customers. Our products are fully functional at the time of shipment to the customer and do not require production, modification, or customization. We recognize revenue under the core principle that transfer of control to the customers should be depicted in an amount reflecting the consideration we expect to receive in revenue. In order to achieve that core principle, we apply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Provisions for rebates, sales incentives and discounts to customers are accounted for as reductions in revenue in the same period that the related sales are recorded.</w:t>
      </w:r>
    </w:p>
    <w:p>
      <w:pPr>
        <w:spacing w:after="0" w:line="16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generally sell our products to our customers pursuant to a customer’s standard purchase order and our customary terms and conditions. We generally do not offer rights to return our products other than for normal warranty conditions, and as such, revenue is recognized based on the transfer of control, which includes but is not limited to, the agreed International Commercial terms. We evaluate the creditworthiness of our customers to determine that appropriate credit limits are established prior to the acceptance and shipment of an order.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66" w:name="page67"/>
    <w:bookmarkEnd w:id="66"/>
    <w:p>
      <w:pPr>
        <w:jc w:val="both"/>
        <w:ind w:firstLine="620"/>
        <w:spacing w:after="0" w:line="273" w:lineRule="auto"/>
        <w:rPr>
          <w:sz w:val="20"/>
          <w:szCs w:val="20"/>
          <w:color w:val="auto"/>
        </w:rPr>
      </w:pPr>
      <w:r>
        <w:rPr>
          <w:rFonts w:ascii="Times New Roman" w:cs="Times New Roman" w:eastAsia="Times New Roman" w:hAnsi="Times New Roman"/>
          <w:sz w:val="16"/>
          <w:szCs w:val="16"/>
          <w:color w:val="auto"/>
        </w:rPr>
        <w:t>We provide our full web-based monitoring platform for our solar products free of charge and revenues associated with the service since that date are being recognized ratably over 25 years. In the absence of third party comparable pricing for such service, management determines the revenue levels of this service based on the costs associated with providing the service plus appropriate margins that reflect management’s best estimate of the selling price. These revenues are minimal and we do not expect this to become a significant source of revenue in the near future.</w:t>
      </w:r>
    </w:p>
    <w:p>
      <w:pPr>
        <w:spacing w:after="0" w:line="162"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recognize financing component expenses in our consolidated statement of income (loss) in relation to advance payments for performance obligations that extend for a period greater than one year. These financing component expenses are reflected in our deferred revenues balance. Such performance obligations are those that include a financing component, specifically: (i) warranty extension services, (ii) cloud-based monitoring, and (iii) communication services.</w:t>
      </w:r>
    </w:p>
    <w:p>
      <w:pPr>
        <w:spacing w:after="0" w:line="16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See Notes 2v and 15 to the consolidated financial statements included in Part II, Item 8 of this Annual Report on Form 10-K for additional information related to revenue recognition.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Product Warranty</w:t>
      </w:r>
    </w:p>
    <w:p>
      <w:pPr>
        <w:spacing w:after="0" w:line="215"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provide a standard limited product warranty for our solar products against defects in materials and workmanship under normal use and service conditions. Our standard limited product warranty period is 25 years for our power optimizers, 12 year limited warranty for the majority of our inverters, and a 10 -year limited warranty for our batteries In addition, customers can purchase extended warranties for inverters that extend the warranty period to up to 25 years.</w:t>
      </w:r>
    </w:p>
    <w:p>
      <w:pPr>
        <w:spacing w:after="0" w:line="162"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Our products are designed to meet the warranty periods and our reliability procedures cover component selection, design, accelerated life cycle tests, and end-of -manufacturing line testing. However, since our history in selling power optimizers is shorter than the warranty period, the calculation of warranty provisions is inherently uncertain.</w:t>
      </w:r>
    </w:p>
    <w:p>
      <w:pPr>
        <w:spacing w:after="0" w:line="159"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We accrue for estimated warranty costs at the time of sale based on anticipated warranty claims and actual historical warranty claims experience. Warranty provisions, computed on a per-unit sold basis, are based on our best estimate of such costs and are included in our cost of revenues. The warranty obligation is determined based on actual and predicted failure rates of the products, cost of replacement and service and delivery costs incurred to correct a product failure. Our warranty obligation requires management to make assumptions regarding estimated failure rates and replacement costs.</w:t>
      </w:r>
    </w:p>
    <w:p>
      <w:pPr>
        <w:spacing w:after="0" w:line="162"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In order to predict the failure rate of each of our products, we have established a reliability model based on the estimated mean time between failures (“MTBF”). The MTBF represents the average elapsed time predicted for each product unit between failures during operation. Applying the MTBF failure rate over our install base for each product type and generation allows us to predict the number of failed units over the warranty period and estimates the costs associated with the product warranty. Predicted failure rates are updated periodically based on data returned from the field and new product versions, as are replacement costs which are updated to reflect changes in our actual production costs for our products, subcontractors’ labor costs, and actual logistics costs.</w:t>
      </w:r>
    </w:p>
    <w:p>
      <w:pPr>
        <w:spacing w:after="0" w:line="165"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Since the MTBF model does not take into account additional non-systematic failures, such as failures caused by workmanship or manufacturing or design-related issues, and since warranty claims are at times opened for cases in which the error has been triggered by an improper installation, we have developed a supplemental model to predict such cases. This model, which is based on actual root cause analysis of returned products, identification of the causes of claims and time until each identified problem is revealed, allows us to better predict actual warranty expenses and is updated periodically based on our experience, taking into account the installed base of approximately 142.5 million power optimizers and approximately 6.2 million inverters as of December 31, 2025.</w:t>
      </w:r>
    </w:p>
    <w:p>
      <w:pPr>
        <w:spacing w:after="0" w:line="16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If actual warranty costs differ significantly from these estimates, adjustments may be required in the future, which could adversely affect our gross profit and results of operations. Warranty obligations are classified as short-term and long-term warranty obligations, based on the period in which the warranty is expected to be claimed. The warranty provision (short and long-term) was $357.9 million and $432.4 million, for the years ended December 31, 2025 and December 31, 2024, respectively.</w:t>
      </w:r>
    </w:p>
    <w:p>
      <w:pPr>
        <w:spacing w:after="0" w:line="162"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See Notes 2x and 14 "Warranty obligations" to the consolidated financial statements included in Part II, Item 8 of this Annual Report on Form 10-K for additional information related to product warranty.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 Valuation</w:t>
      </w:r>
    </w:p>
    <w:p>
      <w:pPr>
        <w:spacing w:after="0" w:line="214"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Our inventories comprise sellable finished goods, raw materials bought for our own manufacturing facilities or on behalf of our contract manufacturers, and faulty units returned under our warranty policy.</w:t>
      </w:r>
    </w:p>
    <w:p>
      <w:pPr>
        <w:spacing w:after="0" w:line="140"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6"/>
          <w:szCs w:val="16"/>
          <w:color w:val="auto"/>
        </w:rPr>
        <w:t>Sellable finished goods and raw material inventories are valued at the lower of cost or net realizable value, based on the moving average cost method. Certain factors could affect the realizable value of our inventories, including market and economic conditions, technological changes, existing product changes (mainly due to cost reduction activities) and new product introductions. We consider historic usage, expected demand, anticipated sales price, the effect of new product introductions, product obsolescence, and other factors when evaluating the net realizable value of inventories. Inventory write-downs are equal to the difference between the cost of inventories and their estimated net realizable value. Inventory write- downs are recorded as cost of revenues in the accompanying statements of income and were $17.8 million and $738.8 million, for the years ended December 31, 2025 and December 31, 2024, respectively.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Faulty products returned under our warranty policy are often refurbished and used as replacement units. Such products are written off upon receipt.</w:t>
      </w:r>
    </w:p>
    <w:p>
      <w:pPr>
        <w:spacing w:after="0" w:line="216"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do not believe that there is a reasonable likelihood that there will be a material change in future estimates or assumptions that we use to record inventory at the lower of cost or net realizable value. However, if estimates regarding customer demand are inaccurate or changes in technology affect demand for certain products in an unforeseen manner, we may be exposed to losses that could be material.</w:t>
      </w:r>
    </w:p>
    <w:p>
      <w:pPr>
        <w:spacing w:after="0" w:line="159"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See Notes 2k and Note 5 to the consolidated financial statements included in Part II, Item 8 of this Annual Report on Form 10-K for additional information related to inventory valuation.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21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6"/>
          <w:szCs w:val="16"/>
          <w:color w:val="auto"/>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is recorded as goodwill. Such valuations require our management to make significant estimates and assumptions, especially with respect to intangible assets. Significant estimates in valuing certain intangible assets include, but are not limited to, future expected cash flows from acquired technology and other intangible assets, their useful lives and discount rates. Our 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69"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See Note 2o to the consolidated financial statements included in Part II, Item 8 of this Annual Report on Form 10-K for additional information related to business combination.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and other long-lived assets</w:t>
      </w:r>
    </w:p>
    <w:p>
      <w:pPr>
        <w:spacing w:after="0" w:line="214"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evaluate the recoverability of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fair value.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912" w:right="804" w:bottom="1440" w:gutter="0" w:footer="0" w:header="0"/>
        </w:sectPr>
      </w:pPr>
    </w:p>
    <w:bookmarkStart w:id="68" w:name="page69"/>
    <w:bookmarkEnd w:id="68"/>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more significant estimates and assumptions inherent in the estimate of the fair value of finite-lived intangible assets include (i) assumptions associated with forecasting product profitability, including sales and cost to sell projections, (ii) tax rates which seek to incorporate the geographic diversity of the projected cash flows, (iii) expected impact of competitive, legal and/or regulatory forces on the projections and the impact of technological risk, R&amp;D expenditure for ongoing support of product rights, and (iv) estimated useful lives.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the year ended December 31, 2025, we recorded an impairment charge of $49.1 million, related to tangible and intangible assets.</w:t>
      </w:r>
    </w:p>
    <w:p>
      <w:pPr>
        <w:spacing w:after="0" w:line="216"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Acquired identifiable finite-lived intangible assets are amortized on a straight-line basis or accelerated method over the estimated useful lives of the assets. We believe the basis of amortization approximates the pattern in which the assets are utilized, over their estimated useful lives. We routinely review the remaining estimated useful lives of finite-lived intangible assets. In case we reduce the estimated useful life assumption for any asset, the remaining unamortized balance is amortized or depreciated over the revised estimated useful life.</w:t>
      </w:r>
    </w:p>
    <w:p>
      <w:pPr>
        <w:spacing w:after="0" w:line="164"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See Notes 2.p and 9 to the consolidated financial statements included in Part II, Item 8 of this Annual Report on Form 10-K for additional information related to intangible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1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Goodwill reflects the excess of the consideration transferred, including the fair value of any contingent consideration and any non -controlling interest in the acquiree, over the assigned fair values of the identifiable net assets acquired. Goodwill is not amortized, and is assigned to reporting units and tested for impairment at least on an annual basis.</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The goodwill impairment test is performed according to the following principles:</w:t>
      </w:r>
    </w:p>
    <w:p>
      <w:pPr>
        <w:spacing w:after="0" w:line="207" w:lineRule="exact"/>
        <w:rPr>
          <w:sz w:val="20"/>
          <w:szCs w:val="20"/>
          <w:color w:val="auto"/>
        </w:rPr>
      </w:pPr>
    </w:p>
    <w:p>
      <w:pPr>
        <w:ind w:left="1720" w:hanging="363"/>
        <w:spacing w:after="0" w:line="244" w:lineRule="auto"/>
        <w:tabs>
          <w:tab w:leader="none" w:pos="1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initial qualitative assessment may be performed to determine whether it is more likely than not that the fair value of the reporting unit is less than its carrying amount.</w:t>
      </w:r>
    </w:p>
    <w:p>
      <w:pPr>
        <w:jc w:val="both"/>
        <w:ind w:left="1720" w:hanging="363"/>
        <w:spacing w:after="0" w:line="255" w:lineRule="auto"/>
        <w:tabs>
          <w:tab w:leader="none" w:pos="1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concludes it is more likely than not that the fair value of the reporting unit is less than its carrying mount, a quantitative fair value test is performed. An impairment charge for the amount by which the carrying amount exceeds the reporting unit’s fair value is recognized.</w:t>
      </w:r>
    </w:p>
    <w:p>
      <w:pPr>
        <w:spacing w:after="0" w:line="167"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estimate the fair values of all reporting units using a discounted cash flow model which utilizes Level 3 unobservable inputs. Key estimates include the revenue growth rates taking into consideration industry and market conditions, terminal growth rate and the discount rate. The discount rate used is based on the WACC, adjusted for the relevant risk associated with country-specific and business- specific characteristics. The carrying value of each reporting unit is determined by assigning the assets and liabilities, including the existing goodwill, to those reporting units. Starting January 1, 2025, we operate as one reporting unit.</w:t>
      </w:r>
    </w:p>
    <w:p>
      <w:pPr>
        <w:spacing w:after="0" w:line="165"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We complete the required annual testing of goodwill impairment for the reporting units at least on an annual basis and determine whether goodwill should be impaired. During the year ended December 31, 2025, we did not record an impairment charges.</w:t>
      </w:r>
    </w:p>
    <w:p>
      <w:pPr>
        <w:spacing w:after="0" w:line="140" w:lineRule="exact"/>
        <w:rPr>
          <w:sz w:val="20"/>
          <w:szCs w:val="20"/>
          <w:color w:val="auto"/>
        </w:rPr>
      </w:pPr>
    </w:p>
    <w:p>
      <w:pPr>
        <w:jc w:val="both"/>
        <w:ind w:firstLine="576"/>
        <w:spacing w:after="0" w:line="300" w:lineRule="auto"/>
        <w:rPr>
          <w:sz w:val="20"/>
          <w:szCs w:val="20"/>
          <w:color w:val="auto"/>
        </w:rPr>
      </w:pPr>
      <w:r>
        <w:rPr>
          <w:rFonts w:ascii="Times New Roman" w:cs="Times New Roman" w:eastAsia="Times New Roman" w:hAnsi="Times New Roman"/>
          <w:sz w:val="16"/>
          <w:szCs w:val="16"/>
          <w:color w:val="auto"/>
        </w:rPr>
        <w:t>See Notes 2.r and 10 to the consolidated financial statements included in Part II, Item 8 of this Annual Report on Form 10-K for additional information related to goodwill.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grants</w:t>
      </w:r>
    </w:p>
    <w:p>
      <w:pPr>
        <w:spacing w:after="0" w:line="215"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Government grants are recognized when there is reasonable assurance that: (1) we will comply with the relevant conditions and (2) the grant disbursement will be received.</w:t>
      </w:r>
    </w:p>
    <w:p>
      <w:pPr>
        <w:spacing w:after="0" w:line="143" w:lineRule="exact"/>
        <w:rPr>
          <w:sz w:val="20"/>
          <w:szCs w:val="20"/>
          <w:color w:val="auto"/>
        </w:rPr>
      </w:pPr>
    </w:p>
    <w:p>
      <w:pPr>
        <w:jc w:val="both"/>
        <w:ind w:firstLine="576"/>
        <w:spacing w:after="0" w:line="263" w:lineRule="auto"/>
        <w:rPr>
          <w:sz w:val="20"/>
          <w:szCs w:val="20"/>
          <w:color w:val="auto"/>
        </w:rPr>
      </w:pPr>
      <w:r>
        <w:rPr>
          <w:rFonts w:ascii="Times New Roman" w:cs="Times New Roman" w:eastAsia="Times New Roman" w:hAnsi="Times New Roman"/>
          <w:sz w:val="16"/>
          <w:szCs w:val="16"/>
          <w:color w:val="auto"/>
        </w:rPr>
        <w:t>In August 2022, the U.S. government enacted the IRA, which includes several incentives intended to promote clean energy, battery and energy storage, and other solar products, and is impacting our business and operations. As part of such incentives, the IRA, among other things, extended the investment tax credit ITC through 2034 and was therefore expected to increase the demand for solar products. The IRA further incentivizes residential and commercial solar customers and developers by providing significant tax credits for qualifying energy projects. In July 2025, the U.S. government enacted the H.R.1 that shortened the ITC credits. The IRA further provides AMPTCs for U.S. manufacturing of eligible components (under IRC §45X), including PV inverters and DC-optimized systems. The duration of this credit was not impacted by H.R.1. H.R.1 introduced new FEOC requirements for Sections 45X, 45Y, and 48E of the Code. These restrictions require threshold percentages of non FEOC components that increase over time, beginning January 1, 2026. Currently, SolarEdge manufactures components that help our customers meet their non-FEOC percentage requirements. If the U.S. Treasury were to release new rules or guidance that impact our ability to provide components with non-FEOC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Credits, manufacturers must also reach a required percentage of non-FEOC content in their manufactured components. The Company has been manufacturing eligible products in the U.S. since the fourth quarter of 2023. In addition to using the tax credits to offset tax due to the U.S. government, the IRA allows taxpayers to elect to have AMPTCs refunded in cash (“Direct Pay”) or sell these credits to a third party. The Direct Pay option is available as a one-time election, in any taxable year after December 31, 2022, for a facility in which eligible components are produced, and is applicable for five years. In 2025 the Company sold a significant part of the AMPTCs it generated from the US production of eligible components.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910" w:right="804" w:bottom="1440" w:gutter="0" w:footer="0" w:header="0"/>
        </w:sectPr>
      </w:pPr>
    </w:p>
    <w:bookmarkStart w:id="69" w:name="page70"/>
    <w:bookmarkEnd w:id="69"/>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Refundable and transferable tax credits are similar in essence to government grants. This is because the taxpayer can realize the benefit regardless of whether they owe income tax or not in the relevant years. Therefore, these amounts are not considered income taxes and fall outside the scope of Topic 740. Instead, they are treated as government grants.</w:t>
      </w:r>
    </w:p>
    <w:p>
      <w:pPr>
        <w:spacing w:after="0" w:line="15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Company recognizes AMPTCs as a reduction in the cost of revenues in the statement of income (loss). The Company does this systematically over time as it recognizes the related expenses. The AMPTCs are also reflected in the consolidated balance sheet, according to the way the Company expects to utilize them: as a reduction of income tax payable within accrued expenses and other liabilities, as a tax prepayment, or, if AMPTCs are to be sold, within prepayment and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14" w:lineRule="exact"/>
        <w:rPr>
          <w:sz w:val="20"/>
          <w:szCs w:val="20"/>
          <w:color w:val="auto"/>
        </w:rPr>
      </w:pPr>
    </w:p>
    <w:p>
      <w:pPr>
        <w:jc w:val="both"/>
        <w:ind w:firstLine="576"/>
        <w:spacing w:after="0" w:line="279" w:lineRule="auto"/>
        <w:rPr>
          <w:sz w:val="20"/>
          <w:szCs w:val="20"/>
          <w:color w:val="auto"/>
        </w:rPr>
      </w:pPr>
      <w:r>
        <w:rPr>
          <w:rFonts w:ascii="Times New Roman" w:cs="Times New Roman" w:eastAsia="Times New Roman" w:hAnsi="Times New Roman"/>
          <w:sz w:val="16"/>
          <w:szCs w:val="16"/>
          <w:color w:val="auto"/>
        </w:rPr>
        <w:t>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and are measured using the enacted tax rates that will be in effect when the differences are expected to reverse.</w:t>
      </w:r>
    </w:p>
    <w:p>
      <w:pPr>
        <w:spacing w:after="0" w:line="159"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6"/>
          <w:szCs w:val="16"/>
          <w:color w:val="auto"/>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w:t>
      </w:r>
    </w:p>
    <w:p>
      <w:pPr>
        <w:spacing w:after="0" w:line="165" w:lineRule="exact"/>
        <w:rPr>
          <w:sz w:val="20"/>
          <w:szCs w:val="20"/>
          <w:color w:val="auto"/>
        </w:rPr>
      </w:pPr>
    </w:p>
    <w:p>
      <w:pPr>
        <w:jc w:val="both"/>
        <w:ind w:firstLine="576"/>
        <w:spacing w:after="0" w:line="298" w:lineRule="auto"/>
        <w:rPr>
          <w:sz w:val="20"/>
          <w:szCs w:val="20"/>
          <w:color w:val="auto"/>
        </w:rPr>
      </w:pPr>
      <w:r>
        <w:rPr>
          <w:rFonts w:ascii="Times New Roman" w:cs="Times New Roman" w:eastAsia="Times New Roman" w:hAnsi="Times New Roman"/>
          <w:sz w:val="16"/>
          <w:szCs w:val="16"/>
          <w:color w:val="auto"/>
        </w:rPr>
        <w:t>See Note 2.af and 25 to the consolidated financial statements included in Part II, Item 8 of this Annual Report on Form 10-K for additional information related to income taxes.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910" w:right="804"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0"/>
        </w:trPr>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7700" w:type="dxa"/>
            <w:vAlign w:val="bottom"/>
            <w:gridSpan w:val="40"/>
          </w:tcPr>
          <w:p>
            <w:pPr>
              <w:ind w:left="20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1800" w:type="dxa"/>
            <w:vAlign w:val="bottom"/>
          </w:tcPr>
          <w:p>
            <w:pPr>
              <w:spacing w:after="0"/>
              <w:rPr>
                <w:sz w:val="19"/>
                <w:szCs w:val="19"/>
                <w:color w:val="auto"/>
              </w:rPr>
            </w:pPr>
          </w:p>
        </w:tc>
      </w:tr>
      <w:tr>
        <w:trPr>
          <w:trHeight w:val="400"/>
        </w:trPr>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2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800" w:type="dxa"/>
            <w:vAlign w:val="bottom"/>
          </w:tcPr>
          <w:p>
            <w:pPr>
              <w:spacing w:after="0"/>
              <w:rPr>
                <w:sz w:val="24"/>
                <w:szCs w:val="24"/>
                <w:color w:val="auto"/>
              </w:rPr>
            </w:pPr>
          </w:p>
        </w:tc>
      </w:tr>
      <w:tr>
        <w:trPr>
          <w:trHeight w:val="367"/>
        </w:trPr>
        <w:tc>
          <w:tcPr>
            <w:tcW w:w="8480" w:type="dxa"/>
            <w:vAlign w:val="bottom"/>
            <w:gridSpan w:val="43"/>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1800" w:type="dxa"/>
            <w:vAlign w:val="bottom"/>
          </w:tcPr>
          <w:p>
            <w:pPr>
              <w:spacing w:after="0"/>
              <w:rPr>
                <w:sz w:val="24"/>
                <w:szCs w:val="24"/>
                <w:color w:val="auto"/>
              </w:rPr>
            </w:pPr>
          </w:p>
        </w:tc>
      </w:tr>
      <w:tr>
        <w:trPr>
          <w:trHeight w:val="185"/>
        </w:trPr>
        <w:tc>
          <w:tcPr>
            <w:tcW w:w="8480" w:type="dxa"/>
            <w:vAlign w:val="bottom"/>
            <w:gridSpan w:val="43"/>
          </w:tcPr>
          <w:p>
            <w:pPr>
              <w:spacing w:after="0"/>
              <w:rPr>
                <w:sz w:val="20"/>
                <w:szCs w:val="20"/>
                <w:color w:val="auto"/>
              </w:rPr>
            </w:pPr>
            <w:r>
              <w:rPr>
                <w:rFonts w:ascii="Times New Roman" w:cs="Times New Roman" w:eastAsia="Times New Roman" w:hAnsi="Times New Roman"/>
                <w:sz w:val="16"/>
                <w:szCs w:val="16"/>
                <w:color w:val="0000EE"/>
              </w:rPr>
              <w:t xml:space="preserve">Reports of Independent Registered Public Accounting Firm </w:t>
            </w:r>
            <w:r>
              <w:rPr>
                <w:rFonts w:ascii="Times New Roman" w:cs="Times New Roman" w:eastAsia="Times New Roman" w:hAnsi="Times New Roman"/>
                <w:sz w:val="16"/>
                <w:szCs w:val="16"/>
                <w:color w:val="000000"/>
              </w:rPr>
              <w:t>(PCAOB ID: 1281)</w:t>
            </w:r>
          </w:p>
        </w:tc>
        <w:tc>
          <w:tcPr>
            <w:tcW w:w="1800" w:type="dxa"/>
            <w:vAlign w:val="bottom"/>
          </w:tcPr>
          <w:p>
            <w:pPr>
              <w:jc w:val="center"/>
              <w:ind w:left="900"/>
              <w:spacing w:after="0"/>
              <w:rPr>
                <w:sz w:val="20"/>
                <w:szCs w:val="20"/>
                <w:color w:val="auto"/>
              </w:rPr>
            </w:pPr>
            <w:r>
              <w:rPr>
                <w:rFonts w:ascii="Times New Roman" w:cs="Times New Roman" w:eastAsia="Times New Roman" w:hAnsi="Times New Roman"/>
                <w:sz w:val="16"/>
                <w:szCs w:val="16"/>
                <w:color w:val="auto"/>
                <w:w w:val="98"/>
              </w:rPr>
              <w:t>F-2</w:t>
            </w: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0"/>
        </w:trPr>
        <w:tc>
          <w:tcPr>
            <w:tcW w:w="848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0000EE"/>
              </w:rPr>
              <w:t>Consolidated Balance Sheets as of December 31, 2025 and December 31, 2024</w:t>
            </w:r>
          </w:p>
        </w:tc>
        <w:tc>
          <w:tcPr>
            <w:tcW w:w="1800" w:type="dxa"/>
            <w:vAlign w:val="bottom"/>
          </w:tcPr>
          <w:p>
            <w:pPr>
              <w:jc w:val="center"/>
              <w:ind w:left="900"/>
              <w:spacing w:after="0" w:line="181" w:lineRule="exact"/>
              <w:rPr>
                <w:sz w:val="20"/>
                <w:szCs w:val="20"/>
                <w:color w:val="auto"/>
              </w:rPr>
            </w:pPr>
            <w:r>
              <w:rPr>
                <w:rFonts w:ascii="Times New Roman" w:cs="Times New Roman" w:eastAsia="Times New Roman" w:hAnsi="Times New Roman"/>
                <w:sz w:val="16"/>
                <w:szCs w:val="16"/>
                <w:color w:val="auto"/>
                <w:w w:val="98"/>
              </w:rPr>
              <w:t>F-6</w:t>
            </w:r>
          </w:p>
        </w:tc>
      </w:tr>
      <w:tr>
        <w:trPr>
          <w:trHeight w:val="20"/>
        </w:trPr>
        <w:tc>
          <w:tcPr>
            <w:tcW w:w="21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0"/>
        </w:trPr>
        <w:tc>
          <w:tcPr>
            <w:tcW w:w="848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0000EE"/>
              </w:rPr>
              <w:t>Consolidated Statements of Income for the year ended December 31, 2025, 2024 and 2023</w:t>
            </w:r>
          </w:p>
        </w:tc>
        <w:tc>
          <w:tcPr>
            <w:tcW w:w="1800" w:type="dxa"/>
            <w:vAlign w:val="bottom"/>
          </w:tcPr>
          <w:p>
            <w:pPr>
              <w:jc w:val="center"/>
              <w:ind w:left="900"/>
              <w:spacing w:after="0" w:line="181" w:lineRule="exact"/>
              <w:rPr>
                <w:sz w:val="20"/>
                <w:szCs w:val="20"/>
                <w:color w:val="auto"/>
              </w:rPr>
            </w:pPr>
            <w:r>
              <w:rPr>
                <w:rFonts w:ascii="Times New Roman" w:cs="Times New Roman" w:eastAsia="Times New Roman" w:hAnsi="Times New Roman"/>
                <w:sz w:val="16"/>
                <w:szCs w:val="16"/>
                <w:color w:val="auto"/>
                <w:w w:val="98"/>
              </w:rPr>
              <w:t>F-8</w:t>
            </w:r>
          </w:p>
        </w:tc>
      </w:tr>
      <w:tr>
        <w:trPr>
          <w:trHeight w:val="20"/>
        </w:trPr>
        <w:tc>
          <w:tcPr>
            <w:tcW w:w="21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79"/>
        </w:trPr>
        <w:tc>
          <w:tcPr>
            <w:tcW w:w="8480" w:type="dxa"/>
            <w:vAlign w:val="bottom"/>
            <w:gridSpan w:val="43"/>
          </w:tcPr>
          <w:p>
            <w:pPr>
              <w:spacing w:after="0" w:line="179"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years ended December 31, 2025, 2024 and 2023</w:t>
            </w:r>
          </w:p>
        </w:tc>
        <w:tc>
          <w:tcPr>
            <w:tcW w:w="1800" w:type="dxa"/>
            <w:vAlign w:val="bottom"/>
          </w:tcPr>
          <w:p>
            <w:pPr>
              <w:jc w:val="center"/>
              <w:ind w:left="900"/>
              <w:spacing w:after="0" w:line="179" w:lineRule="exact"/>
              <w:rPr>
                <w:sz w:val="20"/>
                <w:szCs w:val="20"/>
                <w:color w:val="auto"/>
              </w:rPr>
            </w:pPr>
            <w:r>
              <w:rPr>
                <w:rFonts w:ascii="Times New Roman" w:cs="Times New Roman" w:eastAsia="Times New Roman" w:hAnsi="Times New Roman"/>
                <w:sz w:val="16"/>
                <w:szCs w:val="16"/>
                <w:color w:val="auto"/>
                <w:w w:val="98"/>
              </w:rPr>
              <w:t>F-9</w:t>
            </w:r>
          </w:p>
        </w:tc>
      </w:tr>
      <w:tr>
        <w:trPr>
          <w:trHeight w:val="20"/>
        </w:trPr>
        <w:tc>
          <w:tcPr>
            <w:tcW w:w="210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0"/>
        </w:trPr>
        <w:tc>
          <w:tcPr>
            <w:tcW w:w="848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0000EE"/>
              </w:rPr>
              <w:t>Consolidated Statements of Stockholders’ Equity for the years ended December 31, 2025, 2024 and 2023</w:t>
            </w:r>
          </w:p>
        </w:tc>
        <w:tc>
          <w:tcPr>
            <w:tcW w:w="1800" w:type="dxa"/>
            <w:vAlign w:val="bottom"/>
          </w:tcPr>
          <w:p>
            <w:pPr>
              <w:jc w:val="center"/>
              <w:ind w:left="900"/>
              <w:spacing w:after="0" w:line="181" w:lineRule="exact"/>
              <w:rPr>
                <w:sz w:val="20"/>
                <w:szCs w:val="20"/>
                <w:color w:val="auto"/>
              </w:rPr>
            </w:pPr>
            <w:r>
              <w:rPr>
                <w:rFonts w:ascii="Times New Roman" w:cs="Times New Roman" w:eastAsia="Times New Roman" w:hAnsi="Times New Roman"/>
                <w:sz w:val="16"/>
                <w:szCs w:val="16"/>
                <w:color w:val="auto"/>
                <w:w w:val="99"/>
              </w:rPr>
              <w:t>F-10</w:t>
            </w:r>
          </w:p>
        </w:tc>
      </w:tr>
      <w:tr>
        <w:trPr>
          <w:trHeight w:val="20"/>
        </w:trPr>
        <w:tc>
          <w:tcPr>
            <w:tcW w:w="2800" w:type="dxa"/>
            <w:vAlign w:val="bottom"/>
            <w:gridSpan w:val="11"/>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0"/>
        </w:trPr>
        <w:tc>
          <w:tcPr>
            <w:tcW w:w="848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2025, 2024 and 2023</w:t>
            </w:r>
          </w:p>
        </w:tc>
        <w:tc>
          <w:tcPr>
            <w:tcW w:w="1800" w:type="dxa"/>
            <w:vAlign w:val="bottom"/>
          </w:tcPr>
          <w:p>
            <w:pPr>
              <w:jc w:val="center"/>
              <w:ind w:left="900"/>
              <w:spacing w:after="0" w:line="181" w:lineRule="exact"/>
              <w:rPr>
                <w:sz w:val="20"/>
                <w:szCs w:val="20"/>
                <w:color w:val="auto"/>
              </w:rPr>
            </w:pPr>
            <w:r>
              <w:rPr>
                <w:rFonts w:ascii="Times New Roman" w:cs="Times New Roman" w:eastAsia="Times New Roman" w:hAnsi="Times New Roman"/>
                <w:sz w:val="16"/>
                <w:szCs w:val="16"/>
                <w:color w:val="auto"/>
                <w:w w:val="99"/>
              </w:rPr>
              <w:t>F-11</w:t>
            </w:r>
          </w:p>
        </w:tc>
      </w:tr>
      <w:tr>
        <w:trPr>
          <w:trHeight w:val="179"/>
        </w:trPr>
        <w:tc>
          <w:tcPr>
            <w:tcW w:w="3060" w:type="dxa"/>
            <w:vAlign w:val="bottom"/>
            <w:tcBorders>
              <w:top w:val="single" w:sz="8" w:color="0000EE"/>
            </w:tcBorders>
            <w:gridSpan w:val="14"/>
          </w:tcPr>
          <w:p>
            <w:pPr>
              <w:spacing w:after="0" w:line="179"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700" w:type="dxa"/>
            <w:vAlign w:val="bottom"/>
            <w:tcBorders>
              <w:top w:val="single" w:sz="8" w:color="0000EE"/>
            </w:tcBorders>
            <w:gridSpan w:val="13"/>
          </w:tcPr>
          <w:p>
            <w:pPr>
              <w:spacing w:after="0"/>
              <w:rPr>
                <w:sz w:val="15"/>
                <w:szCs w:val="15"/>
                <w:color w:val="auto"/>
              </w:rPr>
            </w:pPr>
          </w:p>
        </w:tc>
        <w:tc>
          <w:tcPr>
            <w:tcW w:w="34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top w:val="single" w:sz="8" w:color="0000EE"/>
            </w:tcBorders>
            <w:gridSpan w:val="9"/>
          </w:tcPr>
          <w:p>
            <w:pPr>
              <w:spacing w:after="0"/>
              <w:rPr>
                <w:sz w:val="15"/>
                <w:szCs w:val="15"/>
                <w:color w:val="auto"/>
              </w:rPr>
            </w:pPr>
          </w:p>
        </w:tc>
        <w:tc>
          <w:tcPr>
            <w:tcW w:w="2340" w:type="dxa"/>
            <w:vAlign w:val="bottom"/>
            <w:gridSpan w:val="3"/>
          </w:tcPr>
          <w:p>
            <w:pPr>
              <w:spacing w:after="0"/>
              <w:rPr>
                <w:sz w:val="15"/>
                <w:szCs w:val="15"/>
                <w:color w:val="auto"/>
              </w:rPr>
            </w:pPr>
          </w:p>
        </w:tc>
        <w:tc>
          <w:tcPr>
            <w:tcW w:w="1800" w:type="dxa"/>
            <w:vAlign w:val="bottom"/>
          </w:tcPr>
          <w:p>
            <w:pPr>
              <w:jc w:val="center"/>
              <w:ind w:left="900"/>
              <w:spacing w:after="0" w:line="179" w:lineRule="exact"/>
              <w:rPr>
                <w:sz w:val="20"/>
                <w:szCs w:val="20"/>
                <w:color w:val="auto"/>
              </w:rPr>
            </w:pPr>
            <w:r>
              <w:rPr>
                <w:rFonts w:ascii="Times New Roman" w:cs="Times New Roman" w:eastAsia="Times New Roman" w:hAnsi="Times New Roman"/>
                <w:sz w:val="16"/>
                <w:szCs w:val="16"/>
                <w:color w:val="auto"/>
                <w:w w:val="99"/>
              </w:rPr>
              <w:t>F-13</w:t>
            </w:r>
          </w:p>
        </w:tc>
      </w:tr>
      <w:tr>
        <w:trPr>
          <w:trHeight w:val="168"/>
        </w:trPr>
        <w:tc>
          <w:tcPr>
            <w:tcW w:w="18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560" w:type="dxa"/>
            <w:vAlign w:val="bottom"/>
            <w:tcBorders>
              <w:top w:val="single" w:sz="8" w:color="0000EE"/>
              <w:bottom w:val="single" w:sz="8" w:color="auto"/>
            </w:tcBorders>
          </w:tcPr>
          <w:p>
            <w:pPr>
              <w:spacing w:after="0"/>
              <w:rPr>
                <w:sz w:val="14"/>
                <w:szCs w:val="14"/>
                <w:color w:val="auto"/>
              </w:rPr>
            </w:pPr>
          </w:p>
        </w:tc>
        <w:tc>
          <w:tcPr>
            <w:tcW w:w="20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680" w:type="dxa"/>
            <w:vAlign w:val="bottom"/>
            <w:tcBorders>
              <w:top w:val="single" w:sz="8" w:color="0000EE"/>
              <w:bottom w:val="single" w:sz="8" w:color="auto"/>
            </w:tcBorders>
          </w:tcPr>
          <w:p>
            <w:pPr>
              <w:spacing w:after="0"/>
              <w:rPr>
                <w:sz w:val="14"/>
                <w:szCs w:val="14"/>
                <w:color w:val="auto"/>
              </w:rPr>
            </w:pPr>
          </w:p>
        </w:tc>
        <w:tc>
          <w:tcPr>
            <w:tcW w:w="100" w:type="dxa"/>
            <w:vAlign w:val="bottom"/>
            <w:tcBorders>
              <w:top w:val="single" w:sz="8" w:color="0000EE"/>
              <w:bottom w:val="single" w:sz="8" w:color="auto"/>
            </w:tcBorders>
          </w:tcPr>
          <w:p>
            <w:pPr>
              <w:spacing w:after="0"/>
              <w:rPr>
                <w:sz w:val="14"/>
                <w:szCs w:val="14"/>
                <w:color w:val="auto"/>
              </w:rPr>
            </w:pPr>
          </w:p>
        </w:tc>
        <w:tc>
          <w:tcPr>
            <w:tcW w:w="30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6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bl>
    <w:p>
      <w:pPr>
        <w:sectPr>
          <w:pgSz w:w="11900" w:h="16840" w:orient="portrait"/>
          <w:cols w:equalWidth="0" w:num="1">
            <w:col w:w="10280"/>
          </w:cols>
          <w:pgMar w:left="820" w:top="908" w:right="804"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518160</wp:posOffset>
            </wp:positionH>
            <wp:positionV relativeFrom="page">
              <wp:posOffset>457200</wp:posOffset>
            </wp:positionV>
            <wp:extent cx="5379720" cy="1066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79720" cy="106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the Stockholders and the Board of Directors of SolarEdge Technologies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SolarEdge Technologies Inc. (the Company) as of December 31, 2025 and 2024, the related consolidated statements of income (loss), comprehensive income (loss), stockholders' equity and cash flows for each of the three years in the period ended December 31, 2025, and the related notes (collectively referred to as the “consolidated financial statements”) .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1440" w:right="804"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i w:val="1"/>
          <w:iCs w:val="1"/>
          <w:color w:val="auto"/>
        </w:rPr>
        <w:t>Warranty obligations</w:t>
      </w:r>
    </w:p>
    <w:p>
      <w:pPr>
        <w:sectPr>
          <w:pgSz w:w="11900" w:h="16840" w:orient="portrait"/>
          <w:cols w:equalWidth="0" w:num="1">
            <w:col w:w="10280"/>
          </w:cols>
          <w:pgMar w:left="820" w:top="712" w:right="804" w:bottom="1440" w:gutter="0" w:footer="0" w:header="0"/>
        </w:sectPr>
      </w:pPr>
    </w:p>
    <w:p>
      <w:pPr>
        <w:spacing w:after="0" w:line="22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color w:val="auto"/>
        </w:rPr>
        <w:t>Description of the Matter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color w:val="auto"/>
        </w:rPr>
        <w:t>As described in Notes 2x and 14 to the consolidated financial statements, as of December 31, 2025, warranty obligations were $357,889 thousand.</w:t>
      </w:r>
    </w:p>
    <w:p>
      <w:pPr>
        <w:spacing w:after="0" w:line="140" w:lineRule="exact"/>
        <w:rPr>
          <w:sz w:val="20"/>
          <w:szCs w:val="20"/>
          <w:color w:val="auto"/>
        </w:rPr>
      </w:pPr>
    </w:p>
    <w:p>
      <w:pPr>
        <w:sectPr>
          <w:pgSz w:w="11900" w:h="16840" w:orient="portrait"/>
          <w:cols w:equalWidth="0" w:num="2">
            <w:col w:w="1160" w:space="460"/>
            <w:col w:w="8660"/>
          </w:cols>
          <w:pgMar w:left="820" w:top="712" w:right="804" w:bottom="1440" w:gutter="0" w:footer="0" w:header="0"/>
          <w:type w:val="continuous"/>
        </w:sectPr>
      </w:pPr>
    </w:p>
    <w:p>
      <w:pPr>
        <w:jc w:val="both"/>
        <w:ind w:left="1620"/>
        <w:spacing w:after="0" w:line="270" w:lineRule="auto"/>
        <w:rPr>
          <w:sz w:val="20"/>
          <w:szCs w:val="20"/>
          <w:color w:val="auto"/>
        </w:rPr>
      </w:pPr>
      <w:r>
        <w:rPr>
          <w:rFonts w:ascii="Times New Roman" w:cs="Times New Roman" w:eastAsia="Times New Roman" w:hAnsi="Times New Roman"/>
          <w:sz w:val="16"/>
          <w:szCs w:val="16"/>
          <w:color w:val="auto"/>
        </w:rPr>
        <w:t>The Company provides warranty obligations for its products as follows: a standard 10-year limited warranty for its batteries, a standard 12-year limited warranty for the majority of its inverters, and a 25-year limited warranty for power optimizers. In order to predict the failure rate of each product, the Company established a reliability model based on the estimated mean time between failures ("MTBF") and an additional model to capture non -systematic failures. Predicted failure rates are updated periodically based on new product versions and analysis of the root cause of actual failures.</w:t>
      </w:r>
    </w:p>
    <w:p>
      <w:pPr>
        <w:spacing w:after="0" w:line="165" w:lineRule="exact"/>
        <w:rPr>
          <w:sz w:val="20"/>
          <w:szCs w:val="20"/>
          <w:color w:val="auto"/>
        </w:rPr>
      </w:pPr>
    </w:p>
    <w:p>
      <w:pPr>
        <w:jc w:val="both"/>
        <w:ind w:left="1620"/>
        <w:spacing w:after="0" w:line="307" w:lineRule="auto"/>
        <w:rPr>
          <w:sz w:val="20"/>
          <w:szCs w:val="20"/>
          <w:color w:val="auto"/>
        </w:rPr>
      </w:pPr>
      <w:r>
        <w:rPr>
          <w:rFonts w:ascii="Times New Roman" w:cs="Times New Roman" w:eastAsia="Times New Roman" w:hAnsi="Times New Roman"/>
          <w:sz w:val="15"/>
          <w:szCs w:val="15"/>
          <w:color w:val="auto"/>
        </w:rPr>
        <w:t>Auditing management's estimates for the valuation of warranty obligations required significant auditor judgment due to the subjectivity involved in management’s assumptions. These assumptions included expected failure rates and the estimated average cost of product replacements, such as material costs, logistics costs and subcontractors’ services costs associated with the product replacements.</w:t>
      </w:r>
    </w:p>
    <w:p>
      <w:pPr>
        <w:sectPr>
          <w:pgSz w:w="11900" w:h="16840" w:orient="portrait"/>
          <w:cols w:equalWidth="0" w:num="1">
            <w:col w:w="10280"/>
          </w:cols>
          <w:pgMar w:left="820" w:top="712" w:right="804"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How We Addressed the  We obtained an understanding, evaluated the design and tested the operating effectiveness of internal controls over the valuation of</w:t>
      </w:r>
    </w:p>
    <w:p>
      <w:pPr>
        <w:spacing w:after="0" w:line="22" w:lineRule="exact"/>
        <w:rPr>
          <w:sz w:val="20"/>
          <w:szCs w:val="20"/>
          <w:color w:val="auto"/>
        </w:rPr>
      </w:pPr>
    </w:p>
    <w:p>
      <w:pPr>
        <w:ind w:left="1620" w:hanging="1614"/>
        <w:spacing w:after="0" w:line="290" w:lineRule="auto"/>
        <w:tabs>
          <w:tab w:leader="none" w:pos="1600" w:val="left"/>
        </w:tabs>
        <w:rPr>
          <w:sz w:val="20"/>
          <w:szCs w:val="20"/>
          <w:color w:val="auto"/>
        </w:rPr>
      </w:pPr>
      <w:r>
        <w:rPr>
          <w:rFonts w:ascii="Times New Roman" w:cs="Times New Roman" w:eastAsia="Times New Roman" w:hAnsi="Times New Roman"/>
          <w:sz w:val="16"/>
          <w:szCs w:val="16"/>
          <w:color w:val="auto"/>
        </w:rPr>
        <w:t>Matter in Our Audit</w:t>
      </w:r>
      <w:r>
        <w:rPr>
          <w:sz w:val="20"/>
          <w:szCs w:val="20"/>
          <w:color w:val="auto"/>
        </w:rPr>
        <w:tab/>
      </w:r>
      <w:r>
        <w:rPr>
          <w:rFonts w:ascii="Times New Roman" w:cs="Times New Roman" w:eastAsia="Times New Roman" w:hAnsi="Times New Roman"/>
          <w:sz w:val="16"/>
          <w:szCs w:val="16"/>
          <w:color w:val="auto"/>
        </w:rPr>
        <w:t>warranty obligations, including controls over management's review of the significant assumptions and underlying data used in the valuation of the warranty obligations.</w:t>
      </w:r>
    </w:p>
    <w:p>
      <w:pPr>
        <w:spacing w:after="0" w:line="149" w:lineRule="exact"/>
        <w:rPr>
          <w:sz w:val="20"/>
          <w:szCs w:val="20"/>
          <w:color w:val="auto"/>
        </w:rPr>
      </w:pPr>
    </w:p>
    <w:p>
      <w:pPr>
        <w:jc w:val="both"/>
        <w:ind w:left="1620"/>
        <w:spacing w:after="0" w:line="268" w:lineRule="auto"/>
        <w:rPr>
          <w:sz w:val="20"/>
          <w:szCs w:val="20"/>
          <w:color w:val="auto"/>
        </w:rPr>
      </w:pPr>
      <w:r>
        <w:rPr>
          <w:rFonts w:ascii="Times New Roman" w:cs="Times New Roman" w:eastAsia="Times New Roman" w:hAnsi="Times New Roman"/>
          <w:sz w:val="16"/>
          <w:szCs w:val="16"/>
          <w:color w:val="auto"/>
        </w:rPr>
        <w:t>To test management’s valuation of warranty obligations, including significant assumptions related to expected failure rates and the estimated average cost of product replacements, our substantive audit procedures included, testing the accuracy and completeness of the underlying data used in management's warranty obligations valuation assessment. We assessed the accuracy of historical data used in estimating expected failure rates and repair replacement ratios by comparing them to actual warranty claims. In addition, we involved a specialist to assess the assumptions and the precision of the inputs underlying the MTBF model, including, evaluating the MTBF model and its consistency with data obtained from external sources.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12" w:right="804"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Inventories - Reserves for slow moving, excess and obsolete inventory items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Description of the</w:t>
            </w: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 of December 31, 2025, the Company’s consolidated inventories balance was $552,632 thousand.</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Matter</w:t>
            </w:r>
          </w:p>
        </w:tc>
        <w:tc>
          <w:tcPr>
            <w:tcW w:w="89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As described in Notes 2k and 5 to the consolidated financial statements, the Company values its inventories at the lower of cost or net</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8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realizable value. In connection with this policy, the Company periodically evaluates quantities on hand and records reserves for slow-</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moving, excess and obsolete inventory items based on management's analysis of historical usage, expected demand, and market</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w:t>
            </w:r>
          </w:p>
        </w:tc>
        <w:tc>
          <w:tcPr>
            <w:tcW w:w="0" w:type="dxa"/>
            <w:vAlign w:val="bottom"/>
          </w:tcPr>
          <w:p>
            <w:pPr>
              <w:spacing w:after="0"/>
              <w:rPr>
                <w:sz w:val="1"/>
                <w:szCs w:val="1"/>
                <w:color w:val="auto"/>
              </w:rPr>
            </w:pPr>
          </w:p>
        </w:tc>
      </w:tr>
      <w:tr>
        <w:trPr>
          <w:trHeight w:val="386"/>
        </w:trPr>
        <w:tc>
          <w:tcPr>
            <w:tcW w:w="138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Auditing management's valuation of inventory reserves for slow-moving, excess and obsolete inventory items required significant</w:t>
            </w:r>
          </w:p>
        </w:tc>
        <w:tc>
          <w:tcPr>
            <w:tcW w:w="0" w:type="dxa"/>
            <w:vAlign w:val="bottom"/>
          </w:tcPr>
          <w:p>
            <w:pPr>
              <w:spacing w:after="0"/>
              <w:rPr>
                <w:sz w:val="1"/>
                <w:szCs w:val="1"/>
                <w:color w:val="auto"/>
              </w:rPr>
            </w:pPr>
          </w:p>
        </w:tc>
      </w:tr>
      <w:tr>
        <w:trPr>
          <w:trHeight w:val="199"/>
        </w:trPr>
        <w:tc>
          <w:tcPr>
            <w:tcW w:w="1380" w:type="dxa"/>
            <w:vAlign w:val="bottom"/>
          </w:tcPr>
          <w:p>
            <w:pPr>
              <w:spacing w:after="0"/>
              <w:rPr>
                <w:sz w:val="17"/>
                <w:szCs w:val="17"/>
                <w:color w:val="auto"/>
              </w:rPr>
            </w:pP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auditor judgment due to the subjectivity involved in management’s assumptions. These assumptions included expected inventory usage</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8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and the assessment, by inventory category, of future demand for the Company's products, and market conditions.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How We Addressed the  We obtained an understanding, evaluated the design, and tested the operating effectiveness of internal controls over the Company's</w:t>
      </w:r>
    </w:p>
    <w:p>
      <w:pPr>
        <w:spacing w:after="0" w:line="21" w:lineRule="exact"/>
        <w:rPr>
          <w:sz w:val="20"/>
          <w:szCs w:val="20"/>
          <w:color w:val="auto"/>
        </w:rPr>
      </w:pPr>
    </w:p>
    <w:p>
      <w:pPr>
        <w:jc w:val="both"/>
        <w:ind w:left="1620" w:hanging="1614"/>
        <w:spacing w:after="0" w:line="292" w:lineRule="auto"/>
        <w:tabs>
          <w:tab w:leader="none" w:pos="1600" w:val="left"/>
        </w:tabs>
        <w:rPr>
          <w:sz w:val="20"/>
          <w:szCs w:val="20"/>
          <w:color w:val="auto"/>
        </w:rPr>
      </w:pPr>
      <w:r>
        <w:rPr>
          <w:rFonts w:ascii="Times New Roman" w:cs="Times New Roman" w:eastAsia="Times New Roman" w:hAnsi="Times New Roman"/>
          <w:sz w:val="16"/>
          <w:szCs w:val="16"/>
          <w:color w:val="auto"/>
        </w:rPr>
        <w:t>Matter in Our Audit</w:t>
      </w:r>
      <w:r>
        <w:rPr>
          <w:sz w:val="20"/>
          <w:szCs w:val="20"/>
          <w:color w:val="auto"/>
        </w:rPr>
        <w:tab/>
      </w:r>
      <w:r>
        <w:rPr>
          <w:rFonts w:ascii="Times New Roman" w:cs="Times New Roman" w:eastAsia="Times New Roman" w:hAnsi="Times New Roman"/>
          <w:sz w:val="16"/>
          <w:szCs w:val="16"/>
          <w:color w:val="auto"/>
        </w:rPr>
        <w:t>reserves for slow-moving, excess and obsolete inventory items, including controls over management's review of the significant assumptions and underlying data used in the inventory reserves valuation.</w:t>
      </w:r>
    </w:p>
    <w:p>
      <w:pPr>
        <w:spacing w:after="0" w:line="146" w:lineRule="exact"/>
        <w:rPr>
          <w:sz w:val="20"/>
          <w:szCs w:val="20"/>
          <w:color w:val="auto"/>
        </w:rPr>
      </w:pPr>
    </w:p>
    <w:p>
      <w:pPr>
        <w:jc w:val="both"/>
        <w:ind w:left="1620"/>
        <w:spacing w:after="0" w:line="270" w:lineRule="auto"/>
        <w:rPr>
          <w:sz w:val="20"/>
          <w:szCs w:val="20"/>
          <w:color w:val="auto"/>
        </w:rPr>
      </w:pPr>
      <w:r>
        <w:rPr>
          <w:rFonts w:ascii="Times New Roman" w:cs="Times New Roman" w:eastAsia="Times New Roman" w:hAnsi="Times New Roman"/>
          <w:sz w:val="16"/>
          <w:szCs w:val="16"/>
          <w:color w:val="auto"/>
        </w:rPr>
        <w:t>To test management’s valuation of the reserves for slow-moving, excess and obsolete inventory, our substantive audit procedures included evaluating the reasonableness of the significant assumptions used by management, including those related to expected inventory usage and demand, and market conditions. We also examined the completeness and accuracy of the underlying data used in management's estimates. In addition, we compared recent sales transactions to the cost of inventories to assess whether inventories were stated at the lower of cost or net realizable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Kost Forer Gabbay &amp; Kasierer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Member of EY Global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Tel-Aviv, Israel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712" w:right="804"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518160</wp:posOffset>
            </wp:positionH>
            <wp:positionV relativeFrom="page">
              <wp:posOffset>457200</wp:posOffset>
            </wp:positionV>
            <wp:extent cx="5379720" cy="1066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79720" cy="106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the Stockholders and the Board of Directors of SolarEdge Technologies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have audited SolarEdge Technologies Inc.'s internal control over financial reporting as of December 31, 2025, based on criteria established in Internal Control—Integrated Framework issued by the Committee of Sponsoring Organizations of the Treadway Commission (2013 framework) (the COSO criteria). In our opinion, SolarEdge Technologies Inc. (the Company) maintained, in all material respects, effective internal control over financial reporting as of December 31, 2025, based on the COSO criteria.</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2025 and 2024, the related consolidated statements of income (loss), comprehensive income (loss), stockholders' equity and cash flows for each of the three years in the period ended December 31, 2025, and the related notes and our report dated February 25, 2026 expressed an unqualified opinion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Kost Forer Gabbay &amp; Kasierer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Member of EY Global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Tel-Aviv,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2026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1440" w:right="804"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3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455,075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274,611</w:t>
            </w:r>
          </w:p>
        </w:tc>
      </w:tr>
      <w:tr>
        <w:trPr>
          <w:trHeight w:val="20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135,328</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311,279</w:t>
            </w:r>
          </w:p>
        </w:tc>
      </w:tr>
      <w:tr>
        <w:trPr>
          <w:trHeight w:val="19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Trade receivables, net of allowances of $17,224 and $43,038, respectively</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160,423</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552,632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645,897</w:t>
            </w:r>
          </w:p>
        </w:tc>
      </w:tr>
      <w:tr>
        <w:trPr>
          <w:trHeight w:val="204"/>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523,027</w:t>
            </w:r>
          </w:p>
        </w:tc>
      </w:tr>
      <w:tr>
        <w:trPr>
          <w:trHeight w:val="196"/>
        </w:trPr>
        <w:tc>
          <w:tcPr>
            <w:tcW w:w="79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1,739,847</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2,050,565</w:t>
            </w:r>
          </w:p>
        </w:tc>
        <w:tc>
          <w:tcPr>
            <w:tcW w:w="10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42,597</w:t>
            </w:r>
          </w:p>
        </w:tc>
      </w:tr>
      <w:tr>
        <w:trPr>
          <w:trHeight w:val="19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269,351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343,438</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41,393</w:t>
            </w:r>
          </w:p>
        </w:tc>
      </w:tr>
      <w:tr>
        <w:trPr>
          <w:trHeight w:val="20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9,666</w:t>
            </w:r>
          </w:p>
        </w:tc>
      </w:tr>
      <w:tr>
        <w:trPr>
          <w:trHeight w:val="199"/>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48,380</w:t>
            </w:r>
          </w:p>
        </w:tc>
      </w:tr>
      <w:tr>
        <w:trPr>
          <w:trHeight w:val="20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Loan receivables, net</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45,678</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64,736</w:t>
            </w:r>
          </w:p>
        </w:tc>
      </w:tr>
      <w:tr>
        <w:trPr>
          <w:trHeight w:val="24"/>
        </w:trPr>
        <w:tc>
          <w:tcPr>
            <w:tcW w:w="32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6"/>
        </w:trPr>
        <w:tc>
          <w:tcPr>
            <w:tcW w:w="79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Total long-term assets</w:t>
            </w:r>
          </w:p>
        </w:tc>
        <w:tc>
          <w:tcPr>
            <w:tcW w:w="22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442,347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line="177" w:lineRule="exact"/>
              <w:rPr>
                <w:sz w:val="20"/>
                <w:szCs w:val="20"/>
                <w:color w:val="auto"/>
              </w:rPr>
            </w:pPr>
            <w:r>
              <w:rPr>
                <w:rFonts w:ascii="Times New Roman" w:cs="Times New Roman" w:eastAsia="Times New Roman" w:hAnsi="Times New Roman"/>
                <w:sz w:val="16"/>
                <w:szCs w:val="16"/>
                <w:color w:val="auto"/>
              </w:rPr>
              <w:t>595,888</w:t>
            </w: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2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CEEFF"/>
          </w:tcPr>
          <w:p>
            <w:pPr>
              <w:jc w:val="right"/>
              <w:ind w:right="60"/>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2,182,194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0"/>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2,646,453</w:t>
            </w:r>
          </w:p>
        </w:tc>
        <w:tc>
          <w:tcPr>
            <w:tcW w:w="100" w:type="dxa"/>
            <w:vAlign w:val="bottom"/>
            <w:shd w:val="clear" w:color="auto" w:fill="CCEEFF"/>
          </w:tcPr>
          <w:p>
            <w:pPr>
              <w:spacing w:after="0"/>
              <w:rPr>
                <w:sz w:val="19"/>
                <w:szCs w:val="19"/>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F - 6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3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7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payables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271,983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107,543</w:t>
            </w:r>
          </w:p>
        </w:tc>
      </w:tr>
      <w:tr>
        <w:trPr>
          <w:trHeight w:val="20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76,292</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Warranty obligations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89,330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140,249</w:t>
            </w:r>
          </w:p>
        </w:tc>
      </w:tr>
      <w:tr>
        <w:trPr>
          <w:trHeight w:val="19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revenues and customers advances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140,870</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297,819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246,078</w:t>
            </w:r>
          </w:p>
        </w:tc>
      </w:tr>
      <w:tr>
        <w:trPr>
          <w:trHeight w:val="204"/>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346,305</w:t>
            </w:r>
          </w:p>
        </w:tc>
      </w:tr>
      <w:tr>
        <w:trPr>
          <w:trHeight w:val="196"/>
        </w:trPr>
        <w:tc>
          <w:tcPr>
            <w:tcW w:w="79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803,495</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1,057,337</w:t>
            </w:r>
          </w:p>
        </w:tc>
        <w:tc>
          <w:tcPr>
            <w:tcW w:w="10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331,561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330,006</w:t>
            </w:r>
          </w:p>
        </w:tc>
      </w:tr>
      <w:tr>
        <w:trPr>
          <w:trHeight w:val="19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Warranty obligations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292,116</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revenues and customers advances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293,328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231,049</w:t>
            </w:r>
          </w:p>
        </w:tc>
      </w:tr>
      <w:tr>
        <w:trPr>
          <w:trHeight w:val="20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39,159</w:t>
            </w:r>
          </w:p>
        </w:tc>
      </w:tr>
      <w:tr>
        <w:trPr>
          <w:trHeight w:val="199"/>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30,018</w:t>
            </w:r>
          </w:p>
        </w:tc>
      </w:tr>
      <w:tr>
        <w:trPr>
          <w:trHeight w:val="204"/>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8,426</w:t>
            </w:r>
          </w:p>
        </w:tc>
      </w:tr>
      <w:tr>
        <w:trPr>
          <w:trHeight w:val="196"/>
        </w:trPr>
        <w:tc>
          <w:tcPr>
            <w:tcW w:w="79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Total long-term liabilities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951,235</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930,774</w:t>
            </w:r>
          </w:p>
        </w:tc>
        <w:tc>
          <w:tcPr>
            <w:tcW w:w="10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CONTINGENT LIABILITIES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1"/>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Common stock of $0.0001 par value - Authorized: 125,000,000 shares; issued: 60,360,154 shares as of December 31,</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 and 58,780,490 shares as of December 31, 2024; outstanding: 60,360,154 shares as of December 31, 2025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58,027,126 shares as of December 31, 2024.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1,872,760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1,813,198</w:t>
            </w:r>
          </w:p>
        </w:tc>
      </w:tr>
      <w:tr>
        <w:trPr>
          <w:trHeight w:val="19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Treasury stock, at cost; 0 and 753,364 stocks held as of December 31, 2025 and December 31, 2024, respectively</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(50,194)</w:t>
            </w:r>
          </w:p>
        </w:tc>
      </w:tr>
      <w:tr>
        <w:trPr>
          <w:trHeight w:val="20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(11,663)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(76,477)</w:t>
            </w:r>
          </w:p>
        </w:tc>
      </w:tr>
      <w:tr>
        <w:trPr>
          <w:trHeight w:val="204"/>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(1,433,639)</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(1,028,191)</w:t>
            </w:r>
          </w:p>
        </w:tc>
      </w:tr>
      <w:tr>
        <w:trPr>
          <w:trHeight w:val="196"/>
        </w:trPr>
        <w:tc>
          <w:tcPr>
            <w:tcW w:w="79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427,464</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658,342</w:t>
            </w:r>
          </w:p>
        </w:tc>
        <w:tc>
          <w:tcPr>
            <w:tcW w:w="10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63"/>
        </w:trPr>
        <w:tc>
          <w:tcPr>
            <w:tcW w:w="792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Pr>
          <w:p>
            <w:pPr>
              <w:jc w:val="right"/>
              <w:ind w:right="40"/>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2,182,194</w:t>
            </w:r>
          </w:p>
        </w:tc>
        <w:tc>
          <w:tcPr>
            <w:tcW w:w="220" w:type="dxa"/>
            <w:vAlign w:val="bottom"/>
          </w:tcPr>
          <w:p>
            <w:pPr>
              <w:spacing w:after="0"/>
              <w:rPr>
                <w:sz w:val="14"/>
                <w:szCs w:val="14"/>
                <w:color w:val="auto"/>
              </w:rPr>
            </w:pPr>
          </w:p>
        </w:tc>
        <w:tc>
          <w:tcPr>
            <w:tcW w:w="200" w:type="dxa"/>
            <w:vAlign w:val="bottom"/>
          </w:tcPr>
          <w:p>
            <w:pPr>
              <w:jc w:val="right"/>
              <w:ind w:right="40"/>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line="163" w:lineRule="exact"/>
              <w:rPr>
                <w:sz w:val="20"/>
                <w:szCs w:val="20"/>
                <w:color w:val="auto"/>
              </w:rPr>
            </w:pPr>
            <w:r>
              <w:rPr>
                <w:rFonts w:ascii="Times New Roman" w:cs="Times New Roman" w:eastAsia="Times New Roman" w:hAnsi="Times New Roman"/>
                <w:sz w:val="16"/>
                <w:szCs w:val="16"/>
                <w:color w:val="auto"/>
              </w:rPr>
              <w:t>2,646,453</w:t>
            </w: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F - 7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(LOSS)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1,184,444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901,456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2,976,528</w:t>
            </w:r>
          </w:p>
        </w:tc>
        <w:tc>
          <w:tcPr>
            <w:tcW w:w="100" w:type="dxa"/>
            <w:vAlign w:val="bottom"/>
            <w:shd w:val="clear" w:color="auto" w:fill="CCEEFF"/>
          </w:tcPr>
          <w:p>
            <w:pPr>
              <w:spacing w:after="0"/>
              <w:rPr>
                <w:sz w:val="17"/>
                <w:szCs w:val="17"/>
                <w:color w:val="auto"/>
              </w:rPr>
            </w:pPr>
          </w:p>
        </w:tc>
      </w:tr>
      <w:tr>
        <w:trPr>
          <w:trHeight w:val="20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1,778,660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2,272,705</w:t>
            </w: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196,281</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(877,204)</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703,823</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0"/>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221,255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277,237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321,482</w:t>
            </w:r>
          </w:p>
        </w:tc>
      </w:tr>
      <w:tr>
        <w:trPr>
          <w:trHeight w:val="199"/>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146,865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164,318</w:t>
            </w:r>
          </w:p>
        </w:tc>
      </w:tr>
      <w:tr>
        <w:trPr>
          <w:trHeight w:val="200"/>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147,455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146,504</w:t>
            </w:r>
          </w:p>
        </w:tc>
      </w:tr>
      <w:tr>
        <w:trPr>
          <w:trHeight w:val="204"/>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31,314</w:t>
            </w:r>
          </w:p>
        </w:tc>
      </w:tr>
      <w:tr>
        <w:trPr>
          <w:trHeight w:val="196"/>
        </w:trPr>
        <w:tc>
          <w:tcPr>
            <w:tcW w:w="66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497,960</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831,084</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663,618</w:t>
            </w:r>
          </w:p>
        </w:tc>
        <w:tc>
          <w:tcPr>
            <w:tcW w:w="10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(301,679)</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(1,708,288)</w:t>
            </w:r>
          </w:p>
        </w:tc>
        <w:tc>
          <w:tcPr>
            <w:tcW w:w="2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40,205</w:t>
            </w:r>
          </w:p>
        </w:tc>
      </w:tr>
      <w:tr>
        <w:trPr>
          <w:trHeight w:val="20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 (expense), net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(71,999)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(14,570)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41,212</w:t>
            </w: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(loss), net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(17,428)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w:t>
            </w:r>
          </w:p>
        </w:tc>
      </w:tr>
      <w:tr>
        <w:trPr>
          <w:trHeight w:val="20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(391,106)</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(1,708,311)</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81,099</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(13,382)</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(96,150)</w:t>
            </w: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(46,420)</w:t>
            </w:r>
          </w:p>
        </w:tc>
      </w:tr>
      <w:tr>
        <w:trPr>
          <w:trHeight w:val="199"/>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equity method investments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(1,896)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r>
      <w:tr>
        <w:trPr>
          <w:trHeight w:val="24"/>
        </w:trPr>
        <w:tc>
          <w:tcPr>
            <w:tcW w:w="32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(1,806,357)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34,329</w:t>
            </w:r>
          </w:p>
        </w:tc>
      </w:tr>
      <w:tr>
        <w:trPr>
          <w:trHeight w:val="20"/>
        </w:trPr>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basic earnings (loss) per share of common stock</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7"/>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diluted earnings (loss) per share of common stock</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0.60</w:t>
            </w:r>
          </w:p>
        </w:tc>
      </w:tr>
      <w:tr>
        <w:trPr>
          <w:trHeight w:val="20"/>
        </w:trPr>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9"/>
        </w:trPr>
        <w:tc>
          <w:tcPr>
            <w:tcW w:w="66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Weighted average number of shares used in computing net basic earnings (loss) per share of common</w:t>
            </w:r>
          </w:p>
        </w:tc>
        <w:tc>
          <w:tcPr>
            <w:tcW w:w="2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58,954,380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57,082,182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56,557,106</w:t>
            </w:r>
          </w:p>
        </w:tc>
      </w:tr>
      <w:tr>
        <w:trPr>
          <w:trHeight w:val="179"/>
        </w:trPr>
        <w:tc>
          <w:tcPr>
            <w:tcW w:w="6680" w:type="dxa"/>
            <w:vAlign w:val="bottom"/>
            <w:tcBorders>
              <w:top w:val="single" w:sz="8" w:color="CCEEFF"/>
            </w:tcBorders>
            <w:gridSpan w:val="2"/>
          </w:tcPr>
          <w:p>
            <w:pPr>
              <w:spacing w:after="0" w:line="179" w:lineRule="exact"/>
              <w:rPr>
                <w:sz w:val="20"/>
                <w:szCs w:val="20"/>
                <w:color w:val="auto"/>
              </w:rPr>
            </w:pPr>
            <w:r>
              <w:rPr>
                <w:rFonts w:ascii="Times New Roman" w:cs="Times New Roman" w:eastAsia="Times New Roman" w:hAnsi="Times New Roman"/>
                <w:sz w:val="16"/>
                <w:szCs w:val="16"/>
                <w:color w:val="auto"/>
              </w:rPr>
              <w:t>Weighted average number of shares used in computing net diluted earnings (loss) per share of</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9"/>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58,954,380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57,082,182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57,237,518</w:t>
            </w:r>
          </w:p>
        </w:tc>
      </w:tr>
      <w:tr>
        <w:trPr>
          <w:trHeight w:val="20"/>
        </w:trPr>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F - 8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78" w:name="page79"/>
    <w:bookmarkEnd w:id="78"/>
    <w:p>
      <w:pPr>
        <w:jc w:val="center"/>
        <w:spacing w:after="0" w:line="283" w:lineRule="auto"/>
        <w:rPr>
          <w:sz w:val="20"/>
          <w:szCs w:val="20"/>
          <w:color w:val="auto"/>
        </w:rPr>
      </w:pPr>
      <w:r>
        <w:rPr>
          <w:rFonts w:ascii="Times New Roman" w:cs="Times New Roman" w:eastAsia="Times New Roman" w:hAnsi="Times New Roman"/>
          <w:sz w:val="16"/>
          <w:szCs w:val="16"/>
          <w:b w:val="1"/>
          <w:bCs w:val="1"/>
          <w:color w:val="auto"/>
        </w:rPr>
        <w:t>SOLAREDGE TECHNOLOGIES INC. CONSOLIDATED STATEMENTS OF COMPREHENSIVE INCOME (LOSS)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34,329</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Available-for-sale marketable securities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20,489</w:t>
            </w:r>
          </w:p>
        </w:tc>
      </w:tr>
      <w:tr>
        <w:trPr>
          <w:trHeight w:val="200"/>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(557)</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(2,678)</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5,701</w:t>
            </w:r>
          </w:p>
        </w:tc>
      </w:tr>
      <w:tr>
        <w:trPr>
          <w:trHeight w:val="19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 on intra-entity transactions that are of a long-term</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nature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(35,379)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(5,375)</w:t>
            </w:r>
          </w:p>
        </w:tc>
      </w:tr>
      <w:tr>
        <w:trPr>
          <w:trHeight w:val="204"/>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(2,082)</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3,890</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5,409</w:t>
            </w:r>
          </w:p>
        </w:tc>
      </w:tr>
      <w:tr>
        <w:trPr>
          <w:trHeight w:val="204"/>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(340,634)</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(1,835,949)</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60,553</w:t>
            </w:r>
          </w:p>
        </w:tc>
      </w:tr>
      <w:tr>
        <w:trPr>
          <w:trHeight w:val="20"/>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F - 9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SolarEdge Technologies, Inc. Stockholders’ Equity</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20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08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20"/>
              <w:spacing w:after="0" w:line="177" w:lineRule="exact"/>
              <w:rPr>
                <w:sz w:val="20"/>
                <w:szCs w:val="20"/>
                <w:color w:val="auto"/>
              </w:rPr>
            </w:pPr>
            <w:r>
              <w:rPr>
                <w:rFonts w:ascii="Times New Roman" w:cs="Times New Roman" w:eastAsia="Times New Roman" w:hAnsi="Times New Roman"/>
                <w:sz w:val="16"/>
                <w:szCs w:val="16"/>
                <w:b w:val="1"/>
                <w:bCs w:val="1"/>
                <w:color w:val="auto"/>
              </w:rPr>
              <w:t>paid in</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40" w:type="dxa"/>
            <w:vAlign w:val="bottom"/>
            <w:gridSpan w:val="3"/>
          </w:tcPr>
          <w:p>
            <w:pPr>
              <w:jc w:val="center"/>
              <w:ind w:right="200"/>
              <w:spacing w:after="0" w:line="177"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w:t>
            </w: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31, 2022</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56,133,404</w:t>
            </w: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1,505,632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743,837</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2,176,366</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 upon exercise of</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awards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790,745</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226</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under employee</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 plan</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199,288</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20,693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20,693</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 based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154,071</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154,071</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adjustments, net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26,224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26,224</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34,329</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34,329</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w:t>
            </w: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31, 2023</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57,123,437</w:t>
            </w: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1,680,622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(46,885)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778,166</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2,411,909</w:t>
            </w:r>
          </w:p>
        </w:tc>
        <w:tc>
          <w:tcPr>
            <w:tcW w:w="0" w:type="dxa"/>
            <w:vAlign w:val="bottom"/>
          </w:tcPr>
          <w:p>
            <w:pPr>
              <w:spacing w:after="0"/>
              <w:rPr>
                <w:sz w:val="1"/>
                <w:szCs w:val="1"/>
                <w:color w:val="auto"/>
              </w:rPr>
            </w:pPr>
          </w:p>
        </w:tc>
      </w:tr>
      <w:tr>
        <w:trPr>
          <w:trHeight w:val="191"/>
        </w:trPr>
        <w:tc>
          <w:tcPr>
            <w:tcW w:w="1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 upon exercise of</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awards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796,905</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under employee</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 plan</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860,148</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18,468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18,468</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 based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142,277</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142,277</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(753,364)</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(50,194)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(50,194)</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Capped call transactions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related to the Notes 2029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(28,342)</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(28,342)</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adjustments, net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(29,592)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(29,592)</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(1,806,357)</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(1,806,357)</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w:t>
            </w: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31, 2024</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58,027,126</w:t>
            </w: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1,813,198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(50,194)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(76,477)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(1,028,191)</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658,342</w:t>
            </w:r>
          </w:p>
        </w:tc>
        <w:tc>
          <w:tcPr>
            <w:tcW w:w="0" w:type="dxa"/>
            <w:vAlign w:val="bottom"/>
          </w:tcPr>
          <w:p>
            <w:pPr>
              <w:spacing w:after="0"/>
              <w:rPr>
                <w:sz w:val="1"/>
                <w:szCs w:val="1"/>
                <w:color w:val="auto"/>
              </w:rPr>
            </w:pPr>
          </w:p>
        </w:tc>
      </w:tr>
      <w:tr>
        <w:trPr>
          <w:trHeight w:val="191"/>
        </w:trPr>
        <w:tc>
          <w:tcPr>
            <w:tcW w:w="1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 upon exercise of</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awards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1,337,521</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under employee</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 plan</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(753,364 shares</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transferred from treasury</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995,507</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(36,252)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50,194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13,942</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Stock based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95,594</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95,594</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adjustments, net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64,814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64,814</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(405,448)</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w:t>
            </w: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31, 2025</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60,360,154</w:t>
            </w: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1,872,760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(1,433,639)</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427,464</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an amount less than $1.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76"/>
        </w:trPr>
        <w:tc>
          <w:tcPr>
            <w:tcW w:w="6680" w:type="dxa"/>
            <w:vAlign w:val="bottom"/>
            <w:gridSpan w:val="5"/>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
        </w:trPr>
        <w:tc>
          <w:tcPr>
            <w:tcW w:w="1220" w:type="dxa"/>
            <w:vAlign w:val="bottom"/>
            <w:tcBorders>
              <w:right w:val="single" w:sz="8" w:color="CCEEFF"/>
            </w:tcBorders>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(1,806,357)</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34,329</w:t>
            </w:r>
          </w:p>
        </w:tc>
      </w:tr>
      <w:tr>
        <w:trPr>
          <w:trHeight w:val="199"/>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57,196</w:t>
            </w:r>
          </w:p>
        </w:tc>
        <w:tc>
          <w:tcPr>
            <w:tcW w:w="100" w:type="dxa"/>
            <w:vAlign w:val="bottom"/>
          </w:tcPr>
          <w:p>
            <w:pPr>
              <w:spacing w:after="0"/>
              <w:rPr>
                <w:sz w:val="17"/>
                <w:szCs w:val="17"/>
                <w:color w:val="auto"/>
              </w:rPr>
            </w:pP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to write down inventories to net realizable value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46,369</w:t>
            </w:r>
          </w:p>
        </w:tc>
      </w:tr>
      <w:tr>
        <w:trPr>
          <w:trHeight w:val="199"/>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Impairment of asset held-for-sale</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42,746</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impairment and disposal of property, plant and equipment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5,799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224,772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25,168</w:t>
            </w: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92,545</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137,251</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149,945</w:t>
            </w:r>
          </w:p>
        </w:tc>
      </w:tr>
      <w:tr>
        <w:trPr>
          <w:trHeight w:val="199"/>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from business disposition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24,674</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5,622</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of privately-held companies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21,587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482</w:t>
            </w:r>
          </w:p>
        </w:tc>
      </w:tr>
      <w:tr>
        <w:trPr>
          <w:trHeight w:val="199"/>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(43,071)</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from repurchasing of convertible notes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(15,456)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Loss (gain) from exchange rate fluctuations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2,594</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11,918</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(26,878)</w:t>
            </w:r>
          </w:p>
        </w:tc>
      </w:tr>
      <w:tr>
        <w:trPr>
          <w:trHeight w:val="199"/>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(gain) from sale of property, plant and equipment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542</w:t>
            </w:r>
          </w:p>
        </w:tc>
      </w:tr>
      <w:tr>
        <w:trPr>
          <w:trHeight w:val="191"/>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Cumulative translation adjustment, including intra-entity</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transactions that are of a long-term investment reclassified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from other comprehensive income (loss)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58,916</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items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866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7,140</w:t>
            </w: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Trade receivables, net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(105,923)</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296,429</w:t>
            </w: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97,230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(737,223)</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107,055</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7,369</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(113,387)</w:t>
            </w:r>
          </w:p>
        </w:tc>
      </w:tr>
      <w:tr>
        <w:trPr>
          <w:trHeight w:val="199"/>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11,342</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15,805</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16,525</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Trade payables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164,808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(405,990)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(58,081)</w:t>
            </w: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Warranty obligations</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(72,101)</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(85,541)</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133,090</w:t>
            </w:r>
          </w:p>
        </w:tc>
      </w:tr>
      <w:tr>
        <w:trPr>
          <w:trHeight w:val="199"/>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revenues and customers advances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(5,781)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119,519</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39,632</w:t>
            </w:r>
          </w:p>
        </w:tc>
      </w:tr>
      <w:tr>
        <w:trPr>
          <w:trHeight w:val="200"/>
        </w:trPr>
        <w:tc>
          <w:tcPr>
            <w:tcW w:w="66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(13,360)</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(15,829)</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(15,981)</w:t>
            </w:r>
          </w:p>
        </w:tc>
      </w:tr>
      <w:tr>
        <w:trPr>
          <w:trHeight w:val="200"/>
        </w:trPr>
        <w:tc>
          <w:tcPr>
            <w:tcW w:w="66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2,039</w:t>
            </w:r>
          </w:p>
        </w:tc>
      </w:tr>
      <w:tr>
        <w:trPr>
          <w:trHeight w:val="24"/>
        </w:trPr>
        <w:tc>
          <w:tcPr>
            <w:tcW w:w="1220" w:type="dxa"/>
            <w:vAlign w:val="bottom"/>
            <w:tcBorders>
              <w:right w:val="single" w:sz="8" w:color="CCEEFF"/>
            </w:tcBorders>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66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(313,319)</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(180,113)</w:t>
            </w:r>
          </w:p>
        </w:tc>
      </w:tr>
      <w:tr>
        <w:trPr>
          <w:trHeight w:val="176"/>
        </w:trPr>
        <w:tc>
          <w:tcPr>
            <w:tcW w:w="6680" w:type="dxa"/>
            <w:vAlign w:val="bottom"/>
            <w:gridSpan w:val="5"/>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
        </w:trPr>
        <w:tc>
          <w:tcPr>
            <w:tcW w:w="1220" w:type="dxa"/>
            <w:vAlign w:val="bottom"/>
            <w:tcBorders>
              <w:right w:val="single" w:sz="8" w:color="auto"/>
            </w:tcBorders>
            <w:shd w:val="clear" w:color="auto" w:fill="000000"/>
          </w:tcPr>
          <w:p>
            <w:pPr>
              <w:spacing w:after="0"/>
              <w:rPr>
                <w:sz w:val="2"/>
                <w:szCs w:val="2"/>
                <w:color w:val="auto"/>
              </w:rPr>
            </w:pPr>
          </w:p>
        </w:tc>
        <w:tc>
          <w:tcPr>
            <w:tcW w:w="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Investment in available-for-sale marketable securities</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(471,158)</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(253,431)</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(296,396)</w:t>
            </w:r>
          </w:p>
        </w:tc>
      </w:tr>
      <w:tr>
        <w:trPr>
          <w:trHeight w:val="199"/>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maturities of available-for-sale marketable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713,413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719,454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277,382</w:t>
            </w: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Proceeds from sales of available-for-sale marketable securities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76,288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2,807</w:t>
            </w:r>
          </w:p>
        </w:tc>
      </w:tr>
      <w:tr>
        <w:trPr>
          <w:trHeight w:val="200"/>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(23,467)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(108,163)</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(170,523)</w:t>
            </w:r>
          </w:p>
        </w:tc>
      </w:tr>
      <w:tr>
        <w:trPr>
          <w:trHeight w:val="199"/>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Proceeds from sale of investment in privately-held company</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4,000</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dispositions, net of cash sold</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(7,322)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(10,417)</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(16,653)</w:t>
            </w:r>
          </w:p>
        </w:tc>
      </w:tr>
      <w:tr>
        <w:trPr>
          <w:trHeight w:val="199"/>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37,642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Advance related to held-for-sale asset</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7,000</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(10,600)</w:t>
            </w:r>
          </w:p>
        </w:tc>
      </w:tr>
      <w:tr>
        <w:trPr>
          <w:trHeight w:val="199"/>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Disbursements for loans receivables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(37,500)</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(58,000)</w:t>
            </w:r>
          </w:p>
        </w:tc>
      </w:tr>
      <w:tr>
        <w:trPr>
          <w:trHeight w:val="200"/>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privately-held companies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(25,664)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(8,000)</w:t>
            </w:r>
          </w:p>
        </w:tc>
      </w:tr>
      <w:tr>
        <w:trPr>
          <w:trHeight w:val="200"/>
        </w:trPr>
        <w:tc>
          <w:tcPr>
            <w:tcW w:w="66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Proceeds from loans receivables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53,585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governmental grant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6,794</w:t>
            </w:r>
          </w:p>
        </w:tc>
      </w:tr>
      <w:tr>
        <w:trPr>
          <w:trHeight w:val="185"/>
        </w:trPr>
        <w:tc>
          <w:tcPr>
            <w:tcW w:w="668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Repayment related to governmental grant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(6,643)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(6,583)</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4,015</w:t>
            </w:r>
          </w:p>
        </w:tc>
      </w:tr>
      <w:tr>
        <w:trPr>
          <w:trHeight w:val="24"/>
        </w:trPr>
        <w:tc>
          <w:tcPr>
            <w:tcW w:w="1220" w:type="dxa"/>
            <w:vAlign w:val="bottom"/>
            <w:tcBorders>
              <w:right w:val="single" w:sz="8" w:color="CCEEFF"/>
            </w:tcBorders>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66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379,882</w:t>
            </w:r>
          </w:p>
        </w:tc>
        <w:tc>
          <w:tcPr>
            <w:tcW w:w="20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416,286</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(268,894)</w:t>
            </w:r>
          </w:p>
        </w:tc>
      </w:tr>
      <w:tr>
        <w:trPr>
          <w:trHeight w:val="356"/>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F - 11</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708" w:right="804"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76"/>
        </w:trPr>
        <w:tc>
          <w:tcPr>
            <w:tcW w:w="6400" w:type="dxa"/>
            <w:vAlign w:val="bottom"/>
            <w:gridSpan w:val="8"/>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
        </w:trPr>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400" w:type="dxa"/>
            <w:vAlign w:val="bottom"/>
            <w:gridSpan w:val="8"/>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(50,194)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40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convertible debt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(267,900)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400" w:type="dxa"/>
            <w:vAlign w:val="bottom"/>
            <w:gridSpan w:val="8"/>
          </w:tcPr>
          <w:p>
            <w:pPr>
              <w:ind w:left="140"/>
              <w:spacing w:after="0"/>
              <w:rPr>
                <w:sz w:val="20"/>
                <w:szCs w:val="20"/>
                <w:color w:val="auto"/>
              </w:rPr>
            </w:pPr>
            <w:r>
              <w:rPr>
                <w:rFonts w:ascii="Times New Roman" w:cs="Times New Roman" w:eastAsia="Times New Roman" w:hAnsi="Times New Roman"/>
                <w:sz w:val="16"/>
                <w:szCs w:val="16"/>
                <w:color w:val="auto"/>
              </w:rPr>
              <w:t>Proceeds from issuance of Notes 2029, net of issuance costs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329,214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40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Capped call transactions related to Notes 2029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(28,342)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400" w:type="dxa"/>
            <w:vAlign w:val="bottom"/>
            <w:gridSpan w:val="8"/>
          </w:tcPr>
          <w:p>
            <w:pPr>
              <w:ind w:left="140"/>
              <w:spacing w:after="0"/>
              <w:rPr>
                <w:sz w:val="20"/>
                <w:szCs w:val="20"/>
                <w:color w:val="auto"/>
              </w:rPr>
            </w:pPr>
            <w:r>
              <w:rPr>
                <w:rFonts w:ascii="Times New Roman" w:cs="Times New Roman" w:eastAsia="Times New Roman" w:hAnsi="Times New Roman"/>
                <w:sz w:val="16"/>
                <w:szCs w:val="16"/>
                <w:color w:val="auto"/>
              </w:rPr>
              <w:t>Repayment of convertible notes at maturity</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(342,250)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40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withholding in connection with stock-based awards, net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(9,259)</w:t>
            </w:r>
          </w:p>
        </w:tc>
      </w:tr>
      <w:tr>
        <w:trPr>
          <w:trHeight w:val="224"/>
        </w:trPr>
        <w:tc>
          <w:tcPr>
            <w:tcW w:w="6400" w:type="dxa"/>
            <w:vAlign w:val="bottom"/>
            <w:gridSpan w:val="8"/>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(2,697)</w:t>
            </w:r>
          </w:p>
        </w:tc>
      </w:tr>
      <w:tr>
        <w:trPr>
          <w:trHeight w:val="239"/>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(348,890)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(11,956)</w:t>
            </w:r>
          </w:p>
        </w:tc>
      </w:tr>
      <w:tr>
        <w:trPr>
          <w:trHeight w:val="173"/>
        </w:trPr>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1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16,319</w:t>
            </w:r>
          </w:p>
        </w:tc>
      </w:tr>
      <w:tr>
        <w:trPr>
          <w:trHeight w:val="185"/>
        </w:trPr>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1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1"/>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including cash classified within</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held-for-sale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(444,644)</w:t>
            </w:r>
          </w:p>
        </w:tc>
      </w:tr>
      <w:tr>
        <w:trPr>
          <w:trHeight w:val="204"/>
        </w:trPr>
        <w:tc>
          <w:tcPr>
            <w:tcW w:w="6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Less: change in cash classified within current held-for-sale assets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2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(444,644)</w:t>
            </w:r>
          </w:p>
        </w:tc>
        <w:tc>
          <w:tcPr>
            <w:tcW w:w="100" w:type="dxa"/>
            <w:vAlign w:val="bottom"/>
            <w:shd w:val="clear" w:color="auto" w:fill="CCEEFF"/>
          </w:tcPr>
          <w:p>
            <w:pPr>
              <w:spacing w:after="0"/>
              <w:rPr>
                <w:sz w:val="17"/>
                <w:szCs w:val="17"/>
                <w:color w:val="auto"/>
              </w:rPr>
            </w:pPr>
          </w:p>
        </w:tc>
      </w:tr>
      <w:tr>
        <w:trPr>
          <w:trHeight w:val="185"/>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spacing w:after="0"/>
              <w:rPr>
                <w:sz w:val="16"/>
                <w:szCs w:val="16"/>
                <w:color w:val="auto"/>
              </w:rPr>
            </w:pPr>
          </w:p>
        </w:tc>
      </w:tr>
      <w:tr>
        <w:trPr>
          <w:trHeight w:val="223"/>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338,468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783,112</w:t>
            </w:r>
          </w:p>
        </w:tc>
      </w:tr>
      <w:tr>
        <w:trPr>
          <w:trHeight w:val="200"/>
        </w:trPr>
        <w:tc>
          <w:tcPr>
            <w:tcW w:w="6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539,846</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409,939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338,468</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400" w:type="dxa"/>
            <w:vAlign w:val="bottom"/>
            <w:gridSpan w:val="8"/>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non-cash activities: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0"/>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intangible assets and business combinations</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11,307</w:t>
            </w:r>
          </w:p>
        </w:tc>
      </w:tr>
      <w:tr>
        <w:trPr>
          <w:trHeight w:val="184"/>
        </w:trPr>
        <w:tc>
          <w:tcPr>
            <w:tcW w:w="6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Issuance of Common stock under employee stock purchase plan</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13,942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18,468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20,693</w:t>
            </w:r>
          </w:p>
        </w:tc>
      </w:tr>
      <w:tr>
        <w:trPr>
          <w:trHeight w:val="191"/>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recognized with corresponding lease</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0"/>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including changes in lease liabilities from lease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modifications and terminations</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(2,214)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100" w:type="dxa"/>
            <w:vAlign w:val="bottom"/>
            <w:shd w:val="clear" w:color="auto" w:fill="CCEEFF"/>
          </w:tcPr>
          <w:p>
            <w:pPr>
              <w:spacing w:after="0"/>
              <w:rPr>
                <w:sz w:val="18"/>
                <w:szCs w:val="18"/>
                <w:color w:val="auto"/>
              </w:rPr>
            </w:pPr>
          </w:p>
        </w:tc>
      </w:tr>
      <w:tr>
        <w:trPr>
          <w:trHeight w:val="200"/>
        </w:trPr>
        <w:tc>
          <w:tcPr>
            <w:tcW w:w="6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5,783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6,323</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400" w:type="dxa"/>
            <w:vAlign w:val="bottom"/>
            <w:gridSpan w:val="8"/>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6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31,788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17,004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137,981</w:t>
            </w:r>
          </w:p>
        </w:tc>
      </w:tr>
      <w:tr>
        <w:trPr>
          <w:trHeight w:val="200"/>
        </w:trPr>
        <w:tc>
          <w:tcPr>
            <w:tcW w:w="6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Cash paid for interest on convertible debt and bank loans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cash, cash equivalents and restricted cash per the statement of cash flows to the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4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274,611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338,468</w:t>
            </w:r>
          </w:p>
        </w:tc>
        <w:tc>
          <w:tcPr>
            <w:tcW w:w="100" w:type="dxa"/>
            <w:vAlign w:val="bottom"/>
            <w:shd w:val="clear" w:color="auto" w:fill="CCEEFF"/>
          </w:tcPr>
          <w:p>
            <w:pPr>
              <w:spacing w:after="0"/>
              <w:rPr>
                <w:sz w:val="17"/>
                <w:szCs w:val="17"/>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539,846</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409,939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338,468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44"/>
        </w:trPr>
        <w:tc>
          <w:tcPr>
            <w:tcW w:w="4280" w:type="dxa"/>
            <w:vAlign w:val="bottom"/>
          </w:tcPr>
          <w:p>
            <w:pPr>
              <w:spacing w:after="0"/>
              <w:rPr>
                <w:sz w:val="24"/>
                <w:szCs w:val="24"/>
                <w:color w:val="auto"/>
              </w:rPr>
            </w:pPr>
          </w:p>
        </w:tc>
        <w:tc>
          <w:tcPr>
            <w:tcW w:w="2620" w:type="dxa"/>
            <w:vAlign w:val="bottom"/>
            <w:gridSpan w:val="2"/>
          </w:tcPr>
          <w:p>
            <w:pPr>
              <w:jc w:val="right"/>
              <w:ind w:right="1480"/>
              <w:spacing w:after="0"/>
              <w:rPr>
                <w:sz w:val="20"/>
                <w:szCs w:val="20"/>
                <w:color w:val="auto"/>
              </w:rPr>
            </w:pPr>
            <w:r>
              <w:rPr>
                <w:rFonts w:ascii="Times New Roman" w:cs="Times New Roman" w:eastAsia="Times New Roman" w:hAnsi="Times New Roman"/>
                <w:sz w:val="16"/>
                <w:szCs w:val="16"/>
                <w:color w:val="auto"/>
              </w:rPr>
              <w:t>F - 12</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42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708" w:right="804"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SolarEdge Technologies, Inc. together with its subsidiaries (the “Company”) is a global smart energy technology company. We develop, manufacture, and sell products that address a broad range of energy market segments through our diversified product offering, including residential, commercial and large scale photovoltaic or PV, energy storage and backup solutions, electric vehicle or EV charging capabilities, home energy management, grid services and virtual power plants. By leveraging engineering capabilities and with a focus on innovation, safety and reliability, we create smart energy solutions that power our lives and drive future progress.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and its subsidiaries sell products worldwide through large distributors, electrical equipment wholesalers, directly to large solar installers and EPC firms. Our products are carried and actively sold by most of the top PV distributors as well as some of the largest electrical distribution companies. The Company has expanded its activity to other areas of smart energy technology both organically and through acquisitions.</w:t>
      </w:r>
    </w:p>
    <w:p>
      <w:pPr>
        <w:spacing w:after="0" w:line="14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consolidated financial statements are prepared according to United States generally accepted accounting principles (“U.S. GAAP”).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Principles of consolidation:</w:t>
      </w:r>
    </w:p>
    <w:p>
      <w:pPr>
        <w:spacing w:after="0" w:line="2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Intercompany transactions and balances including profit from intercompany sales not yet realized outside the Company have been eliminated upon consolidation.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Use of estimates:</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liabilities, revenues, costs and expenses, government grants, income taxes and related disclosures in the accompanying notes. Actual results could differ from those estimates.</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preparing the Company’s consolidated financial statements, management considered the economic implications of inflation, geopolitical developments, including the conflict in Israel, currency fluctuation, and our ability to benefit from certain tax credits, in evaluating assumptions used in key accounting estimates. These factors were considered in assessing assets recoverability, inventory valuation and warranty obligations. Actual results could differ from those estimates.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Financial statements in U.S. dollars:</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 major part of the Company’s operations is carried out in the United States, Israel, and certain other countries. The functional currency of these entities is the U.S. dollar. Financing activities, including cash investments are primarily made in U.S. dollars.</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Accordingly, monetary accounts maintained in currencies other than the U.S. dollar are translated into U.S. dollars in accordance with Financial Accounting Standards Board Accounting Standards Codification (“ASC”) No. 830 “Foreign Currency Matters”. All transaction gains and losses of the re-measurement of monetary balance sheet items are reflected in the consolidated statements of income (loss) as financial income or expenses, as appropriate.</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financial statements of other Company’s subsidiaries whose functional currency is other than the U.S. dollar have been translated into U.S dollars. Assets and liabilities have been translated using the exchange rates in effect as of the balance sheet date. Consolidated statements of income (loss) amounts have been translated using the date of the transaction or at the average exchange rate for the relevant period.</w:t>
      </w:r>
    </w:p>
    <w:p>
      <w:pPr>
        <w:spacing w:after="0" w:line="15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resulting translation adjustments are reported as a component of stockholders’ equity in accumulated other comprehensive loss. Gains and losses arising from intercompany foreign currency transactions that are of a long-term investment in nature are reported in the same manner as translation adjustments.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the year ended December 31, 2025, upon the substantial completion of the liquidation of a foreign operation, the cumulative foreign currency translation adjustments related to that operation are reclassified from accumulated other comprehensive loss and recognized in finance income (expense), net in the consolidated statement of income (loss). The reclassification resulted in a charge of $58,916.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Cash and cash equivalents:</w:t>
      </w:r>
    </w:p>
    <w:p>
      <w:pPr>
        <w:spacing w:after="0" w:line="2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Cash equivalents are short-term, highly liquid investments that are readily convertible to cash, with original maturities of three months or less at the date acquired.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  Restricted cash</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Restricted cash represents cash, held as certificates of deposit that are collateralized under a letter of credit, issued to customers and vendors. The letters of credit are required as a performance security, with a face amount equal to the aggregate purchase price of an executed sales agreement. The letters of credit were issued per the terms of the executed sales and purchasing agreements and the Company has collateralized certificates of deposit under these letters of credit in an aggregated amount of $84,771 and $135,328, which is reflected as restricted cash on the Company’s consolidated balance sheet as of December 31, 2025 and 2024,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  Restricted bank deposits:</w:t>
      </w:r>
    </w:p>
    <w:p>
      <w:pPr>
        <w:spacing w:after="0" w:line="2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Short-term restricted bank deposits possess an original maturity of more than three months and less than a year from the date of investment. Long-term restricted bank deposits possess an original maturity of more than one year from the date of investment. Restricted bank deposits are primarily used as collateral for the Company's office leases and credit cards.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  Marketable Securities:</w:t>
      </w:r>
    </w:p>
    <w:p>
      <w:pPr>
        <w:spacing w:after="0" w:line="2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Marketable securities consist of corporate and governmental bonds. The Company determines the appropriate classification of marketable securities at the time of purchase and re-evaluates such designation at each balance sheet date. In accordance with FASB ASC No. 320 “Investments - Debt and Equity Securities”, the Company classifies marketable securities as available-for-sale.</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Available-for- sale ("AFS") securities are stated at fair value, with unrealized gains and losses reported in accumulated other comprehensive loss, a separate component of stockholders’ equity, net of taxes. Realized gains and losses on sales of marketable securities, as determined on a specific identification basis, are included in other income (loss), net, on the consolidated statements of income (loss). The amortized cost of marketable securities is adjusted for amortization of premium and accretion of discount to maturity, both of which, together with interest, are included in financial income (expenses), net.</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each reporting period, the Company evaluates whether declines in fair value below carrying value are due to expected credit losses, as well as the ability and intent to hold the investment until a forecasted recovery occurs, in accordance with ASC 326. Allowance for credit losses on AFS debt securities are recognized as a charge in financial income (expenses), net, on the consolidated statements of income (loss), and any remaining unrealized losses, net of taxes, are included in accumulated other comprehensive loss in stockholders' equity.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not recorded credit losses on AFS debt securities for the years ended December 31, 2025,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  Investment in privately-held companies: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Company's equity investments are investments in equity securities of privately-held companies, that are not traded and therefore not supported with observable market prices. The Company elected to account for its equity investments without readily determinable market values that either (i) do not meet the definition of in-substance common stock or (ii) do not provide the Company with control or significant influence, using Accounting Standards Update (“ASU”) 2016-01.</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accounts for equity investments through which it exercise significant influence but do not have control over the investee under the equity method. Under this method, the investment, which was initially recorded at cost, is adjusted to recognize the Company’s share of net earnings or losses of the investee as they occur, rather than when dividends or other distributions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adjusts the carrying value of its investments to fair value upon observable transactions for identical or similar investments of the same issuer.</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periodically evaluates the carrying value of its investments in privately-held companies, when events and circumstances indicate that the carrying amount of the investment may not be recovered. The maximum loss the Company can incur for its investments is their carrying value.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may determine the fair value by reviewing equity valuation reports, current financial results, long-term plans of the privately -held companies, the amount of cash that the privately-held companies have on-hand, the ability to obtain additional financing and overall market conditions in which the privately-held companies operate or based on the price observed from the most recent completed financing.</w:t>
      </w:r>
    </w:p>
    <w:p>
      <w:pPr>
        <w:spacing w:after="0" w:line="15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All gains and losses, whether due to an impairment or revaluation, on investments in privately-held companies, realized and unrealized, are recognized in other income (loss), net.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Trade receivables:</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Trade receivables are stated net of credit losses allowance. The Company is exposed to credit losses primarily through sales of products. The allowance against trade receivables reflects the current expected credit loss inherent in the receivables portfolio determined based on the Company’s methodology. The Company’s methodology is based on historical collection experience, customer creditworthiness, current and future economic condition and market condition. Additionally, specific allowance amounts are established to record the appropriate provision for customers that have a higher probability of default. Trade receivables are written off after all reasonable means to collect the full amount have been exhausted.</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following table provides a roll-forward of the allowance for credit losses that is deducted from the amortized cost basis of trade receivables to present the net amount expected to be collected: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4"/>
        </w:trPr>
        <w:tc>
          <w:tcPr>
            <w:tcW w:w="7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shd w:val="clear" w:color="auto" w:fill="CCEEFF"/>
          </w:tcPr>
          <w:p>
            <w:pPr>
              <w:spacing w:after="0"/>
              <w:rPr>
                <w:sz w:val="17"/>
                <w:szCs w:val="17"/>
                <w:color w:val="auto"/>
              </w:rPr>
            </w:pPr>
          </w:p>
        </w:tc>
      </w:tr>
      <w:tr>
        <w:trPr>
          <w:trHeight w:val="19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provision for expected credit losses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33,799</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Recoveries collected</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(26,347)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(5,809)</w:t>
            </w: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Amounts written off charged against the allowance</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(9,363)</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r>
      <w:tr>
        <w:trPr>
          <w:trHeight w:val="19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(1,286)</w:t>
            </w:r>
          </w:p>
        </w:tc>
      </w:tr>
      <w:tr>
        <w:trPr>
          <w:trHeight w:val="24"/>
        </w:trPr>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17,224</w:t>
            </w:r>
          </w:p>
        </w:tc>
        <w:tc>
          <w:tcPr>
            <w:tcW w:w="2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43,038</w:t>
            </w: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  Loan receivables:</w:t>
      </w:r>
    </w:p>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Loan receivables are carried at the outstanding principal amount. An allowance for credit loss on loan receivables is established when, based on current information and events, it is probable that the Company will be unable to collect all amounts due according to the contractual terms of the loan agreement. The Company determines this by considering several factors, including the credit risk and current financial condition of the borrower, the borrower’s ability to pay current obligations, historical trends, and economic and market conditions. The Company performs a credit quality assessment on the loan receivable on a quarterly basis and reviews the need for an allowance in accordance with ASC 326. The Company evaluates the extent and impact of any credit deterioration that could affect the performance and the value of the secured property, as well as the financial and operating capability of the borrower. Changes in provision for credit loss is recorded under financial income (expense), net.</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loan repayments are expected per the contractual terms of the loan agreement. The loan is measured at its amortized cost and is subjected to the Company's credit risk policy. The loans bear interest that represents market interest rate.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and December 31, 2024, the Company's provision for credit loss was $9,751 and $17,672,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loans were presented under prepaid expenses and other current assets on the consolidated balance sheets.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loans were presented under other long-term assets on the consolidated balance sheets.</w:t>
      </w:r>
    </w:p>
    <w:p>
      <w:pPr>
        <w:spacing w:after="0" w:line="2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Interest income is recorded on an accrual basis at the stated interest rate and is recorded in financial income (expense), net, in the accompanying consolidated statements of income (loss).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  Inventories: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Cost includes depreciation, labor, material, shipment and overhead costs. Inventory reserves are provided to cover risks arising from slow -moving, excess inventory items and technological obsolescence. The Company periodically evaluates the quantities on hand relative to historical, current, and projected sales volume. Based on this evaluation, an impairment charge is recorded when required to write-down inventory to its net realizable value. Cost of finished goods and raw materials is determined using the moving average cost method (see Note 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  Property, plant and equipment:</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Property, plant, and equipment are stated at cost, net of accumulated depreciation and government grants. Assets under construction represent the construction or development stage of property and equipment that have not yet been placed in service for the Company's intended use. Depreciation is calculated by the straight-line method over the estimated useful life of the assets, at the following rates: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0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plants</w:t>
            </w:r>
          </w:p>
        </w:tc>
        <w:tc>
          <w:tcPr>
            <w:tcW w:w="37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6"/>
                <w:szCs w:val="16"/>
                <w:color w:val="auto"/>
              </w:rPr>
              <w:t>5.7</w:t>
            </w:r>
          </w:p>
        </w:tc>
      </w:tr>
      <w:tr>
        <w:trPr>
          <w:trHeight w:val="200"/>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Computers and peripheral equipment</w:t>
            </w:r>
          </w:p>
        </w:tc>
        <w:tc>
          <w:tcPr>
            <w:tcW w:w="3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14.3-33</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(mainly 14.3)</w:t>
            </w:r>
          </w:p>
        </w:tc>
      </w:tr>
      <w:tr>
        <w:trPr>
          <w:trHeight w:val="19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(mainly 7)</w:t>
            </w:r>
          </w:p>
        </w:tc>
      </w:tr>
      <w:tr>
        <w:trPr>
          <w:trHeight w:val="200"/>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(mainly 10)</w:t>
            </w:r>
          </w:p>
        </w:tc>
      </w:tr>
      <w:tr>
        <w:trPr>
          <w:trHeight w:val="20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and testing equipment</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(mainly 15)</w:t>
            </w:r>
          </w:p>
        </w:tc>
      </w:tr>
      <w:tr>
        <w:trPr>
          <w:trHeight w:val="19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400" w:type="dxa"/>
            <w:vAlign w:val="bottom"/>
            <w:gridSpan w:val="2"/>
          </w:tcPr>
          <w:p>
            <w:pPr>
              <w:ind w:left="2520"/>
              <w:spacing w:after="0"/>
              <w:rPr>
                <w:sz w:val="20"/>
                <w:szCs w:val="20"/>
                <w:color w:val="auto"/>
              </w:rPr>
            </w:pPr>
            <w:r>
              <w:rPr>
                <w:rFonts w:ascii="Times New Roman" w:cs="Times New Roman" w:eastAsia="Times New Roman" w:hAnsi="Times New Roman"/>
                <w:sz w:val="16"/>
                <w:szCs w:val="16"/>
                <w:color w:val="auto"/>
              </w:rPr>
              <w:t>over the shorter of the lease term or useful</w:t>
            </w:r>
          </w:p>
        </w:tc>
      </w:tr>
    </w:tbl>
    <w:p>
      <w:pPr>
        <w:ind w:left="8320"/>
        <w:spacing w:after="0"/>
        <w:rPr>
          <w:sz w:val="20"/>
          <w:szCs w:val="20"/>
          <w:color w:val="auto"/>
        </w:rPr>
      </w:pPr>
      <w:r>
        <w:rPr>
          <w:rFonts w:ascii="Times New Roman" w:cs="Times New Roman" w:eastAsia="Times New Roman" w:hAnsi="Times New Roman"/>
          <w:sz w:val="16"/>
          <w:szCs w:val="16"/>
          <w:color w:val="auto"/>
        </w:rPr>
        <w:t>economic life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  Government assistance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Advanced manufacturin</w:t>
      </w:r>
      <w:r>
        <w:rPr>
          <w:rFonts w:ascii="Times New Roman" w:cs="Times New Roman" w:eastAsia="Times New Roman" w:hAnsi="Times New Roman"/>
          <w:sz w:val="16"/>
          <w:szCs w:val="16"/>
          <w:color w:val="auto"/>
        </w:rPr>
        <w:t xml:space="preserve">g </w:t>
      </w:r>
      <w:r>
        <w:rPr>
          <w:rFonts w:ascii="Times New Roman" w:cs="Times New Roman" w:eastAsia="Times New Roman" w:hAnsi="Times New Roman"/>
          <w:sz w:val="16"/>
          <w:szCs w:val="16"/>
          <w:u w:val="single" w:color="auto"/>
          <w:color w:val="auto"/>
        </w:rPr>
        <w:t>production tax credits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1028065</wp:posOffset>
                </wp:positionH>
                <wp:positionV relativeFrom="paragraph">
                  <wp:posOffset>3175</wp:posOffset>
                </wp:positionV>
                <wp:extent cx="254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95pt,0.25pt" to="82.95pt,0.25pt" o:allowincell="f" strokecolor="#000000" strokeweight="0.36pt"/>
            </w:pict>
          </mc:Fallback>
        </mc:AlternateConten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August 2022, the U.S. government enacted the Inflation Reduction Act of 2022 (“IRA”), which includes several incentives intended to accelerate U.S. manufacturing and adoption of clean energy, battery and energy storage, electrical vehicles, and other solar products, and therefore impacts our business and operations, along with the overall U.S. solar market. As part of such incentives, the IRA, among other things, extended the investment tax credits ITC through 2034 and was therefore expected to increase the demand for solar products. The IRA further incentivizes residential and commercial solar customers and developers by providing significant tax credits for qualifying energy projects. In July 2025, the U.S. government enacted the H.R.1 that shortened the ITC credits. The IRA further provides Advanced Manufacturing Production Tax Credits (“AMPTCs”) for U.S. manufacturing of eligible components (under IRC §45X), including PV inverters and DC-optimized systems. The duration of this credit was not impacted by H.R.1. H.R.1 introduced new Foreign Entity of Concern (“FEOC”) requirements for Sections 45X, 45Y, and 48E of the Code. These restrictions require threshold percentages of non FEOC components that increase over time, beginning January 1, 2026. Currently, the Company manufactures components that help our customers meet their non-FEOC percentage requirements. The Company has been manufacturing eligible products in the U.S. since the fourth quarter of 2023. In addition to using the tax credits to offset tax due to the U.S. government, the IRA allows taxpayers to elect to have AMPTCs refunded in cash ("Direct Pay") or sell these credits to a third party. The Direct Pay option is available as a one-time election, in any taxable year after December 31, 2022, for a facility in which eligible components are produced, and is applicable for five years. In 2025 the Company sold to third parties a significant part of the AMPTCs it generated from the U.S. production of eligible components.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Refundable and transferable tax credits are similar in essence to government grants. This is because the taxpayer can realize the benefit regardless of whether they owe income tax or not in the relevant years. Therefore, these amounts are not considered income taxes and fall outside the scope of Topic 740. Instead, they are treated as government grants.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Government grants are recognized when there is reasonable assurance that: (1) the Company will comply with the relevant conditions and (2) the grant disbursement will be received. The Company recognizes AMPTCs as a reduction in the cost of revenues in the consolidated statement of income (loss). The Company does this systematically over time as it recognizes the related expenses. The AMPTCs are also reflected in the consolidated balance sheet, according to the way the Company expects to utilize them: as a reduction of income tax payable within accrued expenses and other liabilities, as a tax prepayment, or, if AMPTCs are to be sold, within prepayment and other assets.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699" w:right="804"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Propert</w:t>
      </w:r>
      <w:r>
        <w:rPr>
          <w:rFonts w:ascii="Times New Roman" w:cs="Times New Roman" w:eastAsia="Times New Roman" w:hAnsi="Times New Roman"/>
          <w:sz w:val="16"/>
          <w:szCs w:val="16"/>
          <w:color w:val="auto"/>
        </w:rPr>
        <w:t xml:space="preserve">y, </w:t>
      </w:r>
      <w:r>
        <w:rPr>
          <w:rFonts w:ascii="Times New Roman" w:cs="Times New Roman" w:eastAsia="Times New Roman" w:hAnsi="Times New Roman"/>
          <w:sz w:val="16"/>
          <w:szCs w:val="16"/>
          <w:u w:val="single" w:color="auto"/>
          <w:color w:val="auto"/>
        </w:rPr>
        <w:t>plant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327025</wp:posOffset>
                </wp:positionH>
                <wp:positionV relativeFrom="paragraph">
                  <wp:posOffset>3175</wp:posOffset>
                </wp:positionV>
                <wp:extent cx="1016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5pt,0.25pt" to="26.55pt,0.25pt" o:allowincell="f" strokecolor="#000000" strokeweight="0.36pt"/>
            </w:pict>
          </mc:Fallback>
        </mc:AlternateContent>
        <mc:AlternateContent>
          <mc:Choice Requires="wps">
            <w:drawing>
              <wp:anchor simplePos="0" relativeHeight="251657728" behindDoc="1" locked="0" layoutInCell="0" allowOverlap="1">
                <wp:simplePos x="0" y="0"/>
                <wp:positionH relativeFrom="column">
                  <wp:posOffset>363220</wp:posOffset>
                </wp:positionH>
                <wp:positionV relativeFrom="paragraph">
                  <wp:posOffset>3175</wp:posOffset>
                </wp:positionV>
                <wp:extent cx="2476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pt,0.25pt" to="30.55pt,0.25pt" o:allowincell="f" strokecolor="#000000" strokeweight="0.36pt"/>
            </w:pict>
          </mc:Fallback>
        </mc:AlternateContent>
      </w:r>
    </w:p>
    <w:p>
      <w:pPr>
        <w:spacing w:after="0" w:line="197"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In November 2024, following the announced discontinuation of SolarEdge Korea, the Company was required to return approximately $10,000 in subsidies granted to date. The Company recorded an accrual under accrued expenses and other current liabilities in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2025 the Company settled and repaid $6,643.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  Leases: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 determines if an arrangement is a lease at inception. Contracts containing a lease are further evaluated for classification as an operating or finance lease. In determining the leases classification the Company assesses among other criteria: (i) The lease term is for a major part of the remaining economic life of the underlying asset (ii) The present value of the sum of the lease payments and any residual value guaranteed by the lessee that is not already included in the lease payments equals or exceeds substantially all of the fair value of the underlying asset. Operating leases are included in operating lease right-of-use (“ROU”) assets, other current liabilities and long-term operating lease liabilities in the Company’s consolidated balance sheets. Finance leases are included in property, plant and equipment, net, other current liabilities, and long-term finance lease liabilities in the Company’s consolidated balance sheets. ROU assets represent the right to use an underlying asset for the lease term and lease liabilities represent the Company’s obligation to make lease payments arising from the lease. For leases with terms greater than 12 months, the Company records the ROU asset and liability at commencement date based on the present value of lease payments according to their term. Certain lease agreements include rental payments that are adjusted periodically for the consumer price index ("CPI"). The ROU and lease liability were calculated using the CPI as of the adoption date and will not be subsequently adjusted, unless the liability is reassessed for other reasons.</w:t>
      </w:r>
    </w:p>
    <w:p>
      <w:pPr>
        <w:spacing w:after="0" w:line="1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uses incremental borrowing rates based on the estimated rate of interest for collateralized borrowing over a similar term of the lease payments at commencement date. The ROU asset also includes any lease payments made and net of lease incentives. Lease terms may include options to extend or terminate the lease when it is reasonably certain that the Company will exercise that option. Lease expenses are recognized on a straight-line basis over the lease term or the useful life of the leased asset.</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addition, the carrying amount of the ROU and lease liabilities are remeasured if there is a modification, a change in the lease term, a change in the in-substance fixed lease payments or a change in the assessment to purchase the underlying asset. Upon modification of a lease, the Company reassesses, as of the effective date of the modification, whether the lease is classified as a finance lease or an operating lease in accordance with ASC 842.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also elected the practical expedient to not separate lease and non-lease components for all its leases.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  Business Combination:</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allocates the fair value of the purchase price to the tangible assets acquired, liabilities assumed and intangible assets acquired based on their estimated fair value. The excess of the fair value of the purchase price over the fair values of these identifiable assets and liabilities is recorded as goodwill. Such valuations require management to make significant estimates and assumptions, especially with respect to intangible assets.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Significant estimates in valuing certain intangible assets include, but are not limited to, future expected cash flows from acquired technology and discount rates. Management’s estimates of fair value are based upon assumptions believed to be reasonable, but which are inherently uncertain and unpredictable and, as a result, actual results may differ from estimates. During the measurement period, which does not exceed one year from the acquisition date, the Company may record adjustments to the assets acquired and liabilities assumed, with the corresponding offset to goodwill. Upon the finalization of the measurement period, any subsequent adjustments are recorded to earnings.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  Intangible Assets: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over the revised estimated useful life (see Note 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is calculated by the straight-line method over the estimated useful life of the assets, at the following rates:</w:t>
            </w: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96"/>
        </w:trPr>
        <w:tc>
          <w:tcPr>
            <w:tcW w:w="7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technology</w:t>
            </w:r>
          </w:p>
        </w:tc>
        <w:tc>
          <w:tcPr>
            <w:tcW w:w="24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color w:val="auto"/>
                <w:w w:val="99"/>
              </w:rPr>
              <w:t>14.3-20 (mainly 20)</w:t>
            </w:r>
          </w:p>
        </w:tc>
      </w:tr>
      <w:tr>
        <w:trPr>
          <w:trHeight w:val="20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Trade names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(mainly 20)</w:t>
            </w:r>
          </w:p>
        </w:tc>
      </w:tr>
      <w:tr>
        <w:trPr>
          <w:trHeight w:val="20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(mainly 9.5)</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  Impairment of long-lived assets:</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Company’s long-lived assets to be held and used, including property, plants and equipment, ROU assets and identifiable intangible assets, other than goodwill, are reviewed for impairment in accordance with ASC 360 “Property, Plants and Equipment”, whenever events or changes in circumstances indicate that the carrying amount of an asset (or asset group) may not be recoverable. Recoverability of assets to be held and used is measured by a comparison of the carrying amount of an asset (or asset group) to the future undiscounted cash flows expected to be generated by the assets (or asset group) . If such evaluation indicates that the carrying amount of the asset (or asset group) is not recoverable, the assets are considered to be impaired, the impairment to be recognized is measured as the amount by which the carrying amount of the assets exceeds their fair value (see Note 9).</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2025, 2024 and 2023, the Company recorded impairment charges of long-lived assets in the amount of $5,998, $249,588 and $30,790, respectively, presented under Other operating expenses, net.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  Goodwill:</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is assigned to reporting units and tested for impairment at least on an annual basis, in the fourth quarter of the fiscal year.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89" w:name="page90"/>
    <w:bookmarkEnd w:id="89"/>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goodwill impairment test is performed according to the following principles:</w:t>
      </w:r>
    </w:p>
    <w:p>
      <w:pPr>
        <w:spacing w:after="0" w:line="217" w:lineRule="exact"/>
        <w:rPr>
          <w:sz w:val="20"/>
          <w:szCs w:val="20"/>
          <w:color w:val="auto"/>
        </w:rPr>
      </w:pPr>
    </w:p>
    <w:p>
      <w:pPr>
        <w:ind w:left="4" w:hanging="4"/>
        <w:spacing w:after="0" w:line="264" w:lineRule="auto"/>
        <w:tabs>
          <w:tab w:leader="none" w:pos="62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initial qualitative assessment may be performed to determine whether it is more likely than not that the fair value of the reporting unit is less than its carrying amount.</w:t>
      </w:r>
    </w:p>
    <w:p>
      <w:pPr>
        <w:ind w:left="4" w:hanging="4"/>
        <w:spacing w:after="0" w:line="292" w:lineRule="auto"/>
        <w:tabs>
          <w:tab w:leader="none" w:pos="62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concludes it is more likely than not that the fair value of the reporting unit is less than its carrying amount, a quantitative impairment test is performed. An impairment charge for the amount by which the carrying amount exceeds the reporting unit’s fair value is recognized (see Note 10).</w:t>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Starting January 1, 2025, the Company operates as one reporting unit.</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year ended December 31, 2025, the Company did not record any goodwill impairment charges.</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year ended December 31, 2024, the Company recorded impairment charges of goodwill in the amount of $2,251.</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year ended December 31, 2023, the Company did not record any goodwill impairment charges.</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  Cloud computing arrangements:</w:t>
      </w:r>
    </w:p>
    <w:p>
      <w:pPr>
        <w:spacing w:after="0" w:line="217"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6"/>
          <w:szCs w:val="16"/>
          <w:color w:val="auto"/>
        </w:rPr>
        <w:t>In 2021, due to the growing size and complexity of the Company, the Company decided to implement a new global enterprise resource planning ("ERP") system, which will replace the Company's existing operating and financial systems. During 2022, the Company began implementing a cloud-based ERP system. The Company has substantially completed the implementation of its new ERP system during the fiscal quarter ended June 30, 2025. The Company is performing post-implementation activities. The implementation is intended to enhance user access controls and automate certain accounting, back-office and reporting processes. The Company expects the new system to reduce reliance on manual processes upon full deployment.</w:t>
      </w:r>
    </w:p>
    <w:p>
      <w:pPr>
        <w:spacing w:after="0" w:line="165"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6"/>
          <w:szCs w:val="16"/>
          <w:color w:val="auto"/>
        </w:rPr>
        <w:t>The Company incurs costs to implement cloud computing arrangements (“CCA”) that are hosted by third party vendors. Implementation costs associated with CCA are capitalized when incurred during the application development phase until the software is ready for its intended use. The costs are then amortized on a straight-line basis over the contractual term of the cloud computing arrangement and are recognized as an operating expense within the consolidated statements of income (loss) . Capitalized amounts related to such arrangements are recorded within other long-term assets and prepaid expenses and other current assets in the consolidated balance sheets. Cash payments for CCA implementation costs are classified as cash used in operating activities.</w:t>
      </w:r>
    </w:p>
    <w:p>
      <w:pPr>
        <w:spacing w:after="0" w:line="165" w:lineRule="exact"/>
        <w:rPr>
          <w:sz w:val="20"/>
          <w:szCs w:val="20"/>
          <w:color w:val="auto"/>
        </w:rPr>
      </w:pPr>
    </w:p>
    <w:p>
      <w:pPr>
        <w:jc w:val="both"/>
        <w:ind w:left="4"/>
        <w:spacing w:after="0" w:line="298" w:lineRule="auto"/>
        <w:rPr>
          <w:sz w:val="20"/>
          <w:szCs w:val="20"/>
          <w:color w:val="auto"/>
        </w:rPr>
      </w:pPr>
      <w:r>
        <w:rPr>
          <w:rFonts w:ascii="Times New Roman" w:cs="Times New Roman" w:eastAsia="Times New Roman" w:hAnsi="Times New Roman"/>
          <w:sz w:val="16"/>
          <w:szCs w:val="16"/>
          <w:color w:val="auto"/>
        </w:rPr>
        <w:t>As of December 31, 2025, and 2024 the gross capitalized implementation costs related to the Company's ERP conversion, amounts to $48,060 and $29,366, respectively. Amortization of the implementation costs began on July 1, 2025, the date the software was ready for its intended use.</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year ended December 31, 2025, the Company commenced amortization of the CCA and recognized $3,363 in related amortization expense.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  Severance pay:</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16"/>
          <w:szCs w:val="16"/>
          <w:color w:val="auto"/>
        </w:rPr>
        <w:t>The employees of the Company’s Israeli Subsidiary are included under Section 14 of the Severance Pay Law, 1963, under which these employees are entitled only to monthly deposits made in their name with insurance companies, at a rate of 8.33% of their monthly salary. These payments cause the Company to be released from any future obligation under the Israeli Severance Pay Law to make severance payments in respect of those employees; therefore, related assets and liabilities are not presented in the consolidated balance sheets.</w:t>
      </w:r>
    </w:p>
    <w:p>
      <w:pPr>
        <w:spacing w:after="0" w:line="1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53340</wp:posOffset>
                </wp:positionV>
                <wp:extent cx="653224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pt" to="514.35pt,4.2pt" o:allowincell="f" strokecolor="#000000" strokeweight="1.1999pt"/>
            </w:pict>
          </mc:Fallback>
        </mc:AlternateContent>
      </w:r>
    </w:p>
    <w:p>
      <w:pPr>
        <w:sectPr>
          <w:pgSz w:w="11900" w:h="16840" w:orient="portrait"/>
          <w:cols w:equalWidth="0" w:num="1">
            <w:col w:w="10284"/>
          </w:cols>
          <w:pgMar w:left="816" w:top="708" w:right="804"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applicable, severance costs are recorded in each entity in accordance with local laws and regulations.</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2025, 2024 and 2023, the Company recorded $16,378, $21,959 and $23,643 in severance expenses related to its employees,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  Derivatives and Hedging:</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accounts for derivatives and hedging based on ASC 815 (“Derivatives and Hedging”). ASC 815 requires the Company to recognize all derivatives on the balance sheet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To protect against the increase in value of forecasted foreign currency cash flows resulting from salary denominated in the Israeli currency, NIS, during the year ended December 31, 2025, the Company instituted a foreign currency cash flow hedging program whereby portions of the anticipated payroll denominated in NIS for a period of one to nine months with hedging contracts.</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Accordingly, when the dollar strengthens against the NIS, the decline in present value of future foreign currency expenses is offset by losses in the fair value of the hedging contracts. Conversely, when the dollar weakens, the increase in the present value of future foreign currency cash flows is offset by gains in the fair value of the hedging contracts. These hedging contracts are designated as cash flow hedges, as defined by ASC 815 and are all effective hedges.</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also entered into derivative instrument arrangements to hedge the Company’s exposure to currencies other than the U.S. dollar. These derivative instruments are not designated as cash flow hedges, as defined by ASC 815, and therefore all gains and losses, resulting from fair value remeasurement, were recorded immediately in the statement of income (loss), as a financial income (expense),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classifies cash flows related to its hedging as operating activities in its consolidated statement of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  Revenue recognition:</w:t>
      </w:r>
    </w:p>
    <w:p>
      <w:pPr>
        <w:spacing w:after="0" w:line="2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Revenues are recognized in accordance with ASC 606; revenue from contracts with customers is recognized when control of the promised goods or services is transferred to the customers, in an amount that the Company expects in exchange for those goods or services.</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Company’s products and services consist mainly of (i) power optimizers, (ii) inverters, (iii) batteries, (iv) a related cloud-based monitoring platform, (v) communication services, and (vi) warranty extension services.</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Company recognizes revenue under the core principle that transfer of control to the Company’s customers should be depicted in an amount reflecting the consideration the Company expects to receive in revenue.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91" w:name="page92"/>
    <w:bookmarkEnd w:id="91"/>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 order to achieve this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the performance obligation is satisfied.</w:t>
      </w:r>
    </w:p>
    <w:p>
      <w:pPr>
        <w:spacing w:after="0" w:line="156" w:lineRule="exact"/>
        <w:rPr>
          <w:sz w:val="20"/>
          <w:szCs w:val="20"/>
          <w:color w:val="auto"/>
        </w:rPr>
      </w:pPr>
    </w:p>
    <w:p>
      <w:pPr>
        <w:ind w:left="584" w:hanging="584"/>
        <w:spacing w:after="0"/>
        <w:tabs>
          <w:tab w:leader="none" w:pos="5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 with a customer</w:t>
      </w:r>
    </w:p>
    <w:p>
      <w:pPr>
        <w:spacing w:after="0" w:line="216"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A contract is an agreement or purchase order between two or more parties that creates enforceable rights and obligations. In evaluating the contract, the Company analyzes the customer’s intent and ability to pay the amount of promised consideration (credit risk) and considers the probability of collecting substantially all of the consideration.</w:t>
      </w:r>
    </w:p>
    <w:p>
      <w:pPr>
        <w:spacing w:after="0" w:line="15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16"/>
          <w:szCs w:val="16"/>
          <w:color w:val="auto"/>
        </w:rPr>
        <w:t>The Company determines whether collectability is reasonably assured on a customer-by-customer basis pursuant to its credit review policy. The Company typically sells to customers with whom it has a long-term business relationship and a history of successful collection. For a new customer, or when an existing customer substantially expands its commitments, the Company evaluates the customer’s financial position, the number of years the customer has been in business, the history of collection with the customer, and the customer’s ability to pay, and typically assigns a credit limit based on that review.</w:t>
      </w:r>
    </w:p>
    <w:p>
      <w:pPr>
        <w:spacing w:after="0" w:line="162" w:lineRule="exact"/>
        <w:rPr>
          <w:sz w:val="20"/>
          <w:szCs w:val="20"/>
          <w:color w:val="auto"/>
        </w:rPr>
      </w:pPr>
    </w:p>
    <w:p>
      <w:pPr>
        <w:ind w:left="584" w:hanging="584"/>
        <w:spacing w:after="0"/>
        <w:tabs>
          <w:tab w:leader="none" w:pos="58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performance obligations in the contract</w:t>
      </w:r>
    </w:p>
    <w:p>
      <w:pPr>
        <w:spacing w:after="0" w:line="217"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6"/>
          <w:szCs w:val="16"/>
          <w:color w:val="auto"/>
        </w:rPr>
        <w:t>At a contract’s inception, the Company assesses the goods or services promised in a contract with a customer and identifies the performance obligations. The main performance obligations are the provisions of the following: providing of the Company’s products; cloud based monitoring services; extended warranty services and communication services. Depending on the shipping terms agreed with the customer, the Company may perform shipping and handling activities after the customer obtains control of the goods and revenue is recognized. The Company has elected to account for shipping and handling costs as activities to fulfill the promise to transfer the goods. As a result of this accounting policy election, the Company does not consider shipping and handling activities after the customer obtains control of the goods as promised services to its customers.</w:t>
      </w:r>
    </w:p>
    <w:p>
      <w:pPr>
        <w:spacing w:after="0" w:line="166" w:lineRule="exact"/>
        <w:rPr>
          <w:sz w:val="20"/>
          <w:szCs w:val="20"/>
          <w:color w:val="auto"/>
        </w:rPr>
      </w:pPr>
    </w:p>
    <w:p>
      <w:pPr>
        <w:ind w:left="584" w:hanging="584"/>
        <w:spacing w:after="0"/>
        <w:tabs>
          <w:tab w:leader="none" w:pos="58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217"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the Company is entitled in exchange for transferring promised goods or services to a customer, excluding amounts collected on behalf of third parties (e.g., sales tax and other indirect taxes). Generally, the Company does not provide price protection, stock rotation, and/or right of return. The Company determines the transaction price for all satisfied and unsatisfied performance obligations identified in the contract from contract inception to the beginning of the earliest period presented.</w:t>
      </w:r>
    </w:p>
    <w:p>
      <w:pPr>
        <w:spacing w:after="0" w:line="162" w:lineRule="exact"/>
        <w:rPr>
          <w:sz w:val="20"/>
          <w:szCs w:val="20"/>
          <w:color w:val="auto"/>
        </w:rPr>
      </w:pPr>
    </w:p>
    <w:p>
      <w:pPr>
        <w:jc w:val="both"/>
        <w:ind w:left="4"/>
        <w:spacing w:after="0" w:line="300" w:lineRule="auto"/>
        <w:rPr>
          <w:sz w:val="20"/>
          <w:szCs w:val="20"/>
          <w:color w:val="auto"/>
        </w:rPr>
      </w:pPr>
      <w:r>
        <w:rPr>
          <w:rFonts w:ascii="Times New Roman" w:cs="Times New Roman" w:eastAsia="Times New Roman" w:hAnsi="Times New Roman"/>
          <w:sz w:val="16"/>
          <w:szCs w:val="16"/>
          <w:color w:val="auto"/>
        </w:rPr>
        <w:t>Rebates or discounts on goods or services are accounted for as variable consideration. Provisions for rebates, sales incentives and discounts to customers are accounted for as reductions in revenue in the same period the related sales are recorded.</w:t>
      </w:r>
    </w:p>
    <w:p>
      <w:pPr>
        <w:spacing w:after="0" w:line="140" w:lineRule="exact"/>
        <w:rPr>
          <w:sz w:val="20"/>
          <w:szCs w:val="20"/>
          <w:color w:val="auto"/>
        </w:rPr>
      </w:pPr>
    </w:p>
    <w:p>
      <w:pPr>
        <w:jc w:val="both"/>
        <w:ind w:left="4"/>
        <w:spacing w:after="0" w:line="279" w:lineRule="auto"/>
        <w:rPr>
          <w:sz w:val="20"/>
          <w:szCs w:val="20"/>
          <w:color w:val="auto"/>
        </w:rPr>
      </w:pPr>
      <w:r>
        <w:rPr>
          <w:rFonts w:ascii="Times New Roman" w:cs="Times New Roman" w:eastAsia="Times New Roman" w:hAnsi="Times New Roman"/>
          <w:sz w:val="16"/>
          <w:szCs w:val="16"/>
          <w:color w:val="auto"/>
        </w:rPr>
        <w:t>Accrual for rebates for direct customers is presented net of trade receivables. Accrual for sale incentives related to non-direct customers is presented under accrued expenses and other current liabilities. The Company accrued $83,882 and $53,026 for rebates and sales incentives as of December 31, 2025 and December 31, 2024, respectively.</w:t>
      </w:r>
    </w:p>
    <w:p>
      <w:pPr>
        <w:spacing w:after="0" w:line="159" w:lineRule="exact"/>
        <w:rPr>
          <w:sz w:val="20"/>
          <w:szCs w:val="20"/>
          <w:color w:val="auto"/>
        </w:rPr>
      </w:pPr>
    </w:p>
    <w:p>
      <w:pPr>
        <w:jc w:val="both"/>
        <w:ind w:left="4"/>
        <w:spacing w:after="0" w:line="298" w:lineRule="auto"/>
        <w:rPr>
          <w:sz w:val="20"/>
          <w:szCs w:val="20"/>
          <w:color w:val="auto"/>
        </w:rPr>
      </w:pPr>
      <w:r>
        <w:rPr>
          <w:rFonts w:ascii="Times New Roman" w:cs="Times New Roman" w:eastAsia="Times New Roman" w:hAnsi="Times New Roman"/>
          <w:sz w:val="16"/>
          <w:szCs w:val="16"/>
          <w:color w:val="auto"/>
        </w:rPr>
        <w:t>The Company has elected to apply the practical expedient to not evaluate payment terms of one year or less for the existence of a significant financing component.</w:t>
      </w:r>
    </w:p>
    <w:p>
      <w:pPr>
        <w:spacing w:after="0" w:line="143" w:lineRule="exact"/>
        <w:rPr>
          <w:sz w:val="20"/>
          <w:szCs w:val="20"/>
          <w:color w:val="auto"/>
        </w:rPr>
      </w:pPr>
    </w:p>
    <w:p>
      <w:pPr>
        <w:jc w:val="both"/>
        <w:ind w:left="4"/>
        <w:spacing w:after="0" w:line="298" w:lineRule="auto"/>
        <w:rPr>
          <w:sz w:val="20"/>
          <w:szCs w:val="20"/>
          <w:color w:val="auto"/>
        </w:rPr>
      </w:pPr>
      <w:r>
        <w:rPr>
          <w:rFonts w:ascii="Times New Roman" w:cs="Times New Roman" w:eastAsia="Times New Roman" w:hAnsi="Times New Roman"/>
          <w:sz w:val="16"/>
          <w:szCs w:val="16"/>
          <w:color w:val="auto"/>
        </w:rPr>
        <w:t>When a contract provides a customer with payment terms of more than a year, the Company considers whether those terms create variability in the transaction price and whether a significant financing component exists.</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As of December 31, 2025, the Company has not provided payment terms of more than a year.</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16"/>
          <w:szCs w:val="16"/>
          <w:color w:val="auto"/>
        </w:rPr>
        <w:t>The performance obligations that extend for a period greater than one year are those that include a financial component: (i) warranty extension services, (ii) cloud-based monitoring, and (iii) communication services. The Company recognizes financing component expenses in its consolidated statement of income (loss) in relation to advance payments for performance obligations that extend for a period greater than one year. These financing component expenses are reflected in the Company’s deferred revenues balance.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653224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514.35pt,4.3pt" o:allowincell="f" strokecolor="#000000" strokeweight="1.2pt"/>
            </w:pict>
          </mc:Fallback>
        </mc:AlternateContent>
      </w:r>
    </w:p>
    <w:p>
      <w:pPr>
        <w:sectPr>
          <w:pgSz w:w="11900" w:h="16840" w:orient="portrait"/>
          <w:cols w:equalWidth="0" w:num="1">
            <w:col w:w="10284"/>
          </w:cols>
          <w:pgMar w:left="816" w:top="708" w:right="804" w:bottom="1440" w:gutter="0" w:footer="0" w:header="0"/>
        </w:sectPr>
      </w:pPr>
    </w:p>
    <w:bookmarkStart w:id="92" w:name="page93"/>
    <w:bookmarkEnd w:id="9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ind w:left="584" w:hanging="584"/>
        <w:spacing w:after="0"/>
        <w:tabs>
          <w:tab w:leader="none" w:pos="58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performance obligations in the contract</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performs an allocation of the transaction price to each separate performance obligation, in proportion to their relative standalone selling prices.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When a standalone selling price is not directly observable, the Company estimates it using the expected cost</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plus</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margin approach.</w:t>
      </w:r>
    </w:p>
    <w:p>
      <w:pPr>
        <w:spacing w:after="0" w:line="211" w:lineRule="exact"/>
        <w:rPr>
          <w:sz w:val="20"/>
          <w:szCs w:val="20"/>
          <w:color w:val="auto"/>
        </w:rPr>
      </w:pPr>
    </w:p>
    <w:p>
      <w:pPr>
        <w:ind w:left="584" w:hanging="584"/>
        <w:spacing w:after="0"/>
        <w:tabs>
          <w:tab w:leader="none" w:pos="58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when a performance obligation is satisfied</w:t>
      </w:r>
    </w:p>
    <w:p>
      <w:pPr>
        <w:spacing w:after="0" w:line="216" w:lineRule="exact"/>
        <w:rPr>
          <w:sz w:val="20"/>
          <w:szCs w:val="20"/>
          <w:color w:val="auto"/>
        </w:rPr>
      </w:pPr>
    </w:p>
    <w:p>
      <w:pPr>
        <w:jc w:val="both"/>
        <w:ind w:left="4"/>
        <w:spacing w:after="0" w:line="300"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good or service to a customer. Control either transfers over time or at a point in time, which affects when revenue is recorded.</w:t>
      </w:r>
    </w:p>
    <w:p>
      <w:pPr>
        <w:spacing w:after="0" w:line="140" w:lineRule="exact"/>
        <w:rPr>
          <w:sz w:val="20"/>
          <w:szCs w:val="20"/>
          <w:color w:val="auto"/>
        </w:rPr>
      </w:pPr>
    </w:p>
    <w:p>
      <w:pPr>
        <w:jc w:val="both"/>
        <w:ind w:left="4"/>
        <w:spacing w:after="0" w:line="279" w:lineRule="auto"/>
        <w:rPr>
          <w:sz w:val="20"/>
          <w:szCs w:val="20"/>
          <w:color w:val="auto"/>
        </w:rPr>
      </w:pPr>
      <w:r>
        <w:rPr>
          <w:rFonts w:ascii="Times New Roman" w:cs="Times New Roman" w:eastAsia="Times New Roman" w:hAnsi="Times New Roman"/>
          <w:sz w:val="16"/>
          <w:szCs w:val="16"/>
          <w:color w:val="auto"/>
        </w:rPr>
        <w:t>Revenues from sales of products are recognized based on the transfer of control, which includes but is not limited to, the agreed International Commercial terms, or “INCOTERMS”. Revenues related to cloud-based monitoring, extended warranty services, communication services and other services are recognized over time on a straight-line basis since these services have a consistent continuous pattern of transfer to a customer during the contract period.</w:t>
      </w:r>
    </w:p>
    <w:p>
      <w:pPr>
        <w:spacing w:after="0" w:line="159" w:lineRule="exact"/>
        <w:rPr>
          <w:sz w:val="20"/>
          <w:szCs w:val="20"/>
          <w:color w:val="auto"/>
        </w:rPr>
      </w:pPr>
    </w:p>
    <w:p>
      <w:pPr>
        <w:jc w:val="both"/>
        <w:ind w:left="4"/>
        <w:spacing w:after="0" w:line="298" w:lineRule="auto"/>
        <w:rPr>
          <w:sz w:val="20"/>
          <w:szCs w:val="20"/>
          <w:color w:val="auto"/>
        </w:rPr>
      </w:pPr>
      <w:r>
        <w:rPr>
          <w:rFonts w:ascii="Times New Roman" w:cs="Times New Roman" w:eastAsia="Times New Roman" w:hAnsi="Times New Roman"/>
          <w:sz w:val="16"/>
          <w:szCs w:val="16"/>
          <w:color w:val="auto"/>
        </w:rPr>
        <w:t>Billed accounts receivable include all outstanding invoices to customers, as well as amounts allowed to be billed according to contractual billing terms with customers.</w:t>
      </w:r>
    </w:p>
    <w:p>
      <w:pPr>
        <w:spacing w:after="0" w:line="143" w:lineRule="exact"/>
        <w:rPr>
          <w:sz w:val="20"/>
          <w:szCs w:val="20"/>
          <w:color w:val="auto"/>
        </w:rPr>
      </w:pPr>
    </w:p>
    <w:p>
      <w:pPr>
        <w:jc w:val="both"/>
        <w:ind w:left="4"/>
        <w:spacing w:after="0" w:line="279" w:lineRule="auto"/>
        <w:rPr>
          <w:sz w:val="20"/>
          <w:szCs w:val="20"/>
          <w:color w:val="auto"/>
        </w:rPr>
      </w:pPr>
      <w:r>
        <w:rPr>
          <w:rFonts w:ascii="Times New Roman" w:cs="Times New Roman" w:eastAsia="Times New Roman" w:hAnsi="Times New Roman"/>
          <w:sz w:val="16"/>
          <w:szCs w:val="16"/>
          <w:color w:val="auto"/>
        </w:rPr>
        <w:t>Deferred revenues and advances from customers consist of deferred cloud-based monitoring, extended warranty services, communication services, other services and advance payments received from customers for the Company’s products. Deferred revenues and advances from customers are classified as short-term and long-term deferred revenues and advances from customers based on the period in which revenues are expected to be recognized (see Note 15).</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  Cost of revenues:</w:t>
      </w:r>
    </w:p>
    <w:p>
      <w:pPr>
        <w:spacing w:after="0" w:line="217" w:lineRule="exact"/>
        <w:rPr>
          <w:sz w:val="20"/>
          <w:szCs w:val="20"/>
          <w:color w:val="auto"/>
        </w:rPr>
      </w:pPr>
    </w:p>
    <w:p>
      <w:pPr>
        <w:jc w:val="both"/>
        <w:ind w:left="4"/>
        <w:spacing w:after="0" w:line="279" w:lineRule="auto"/>
        <w:rPr>
          <w:sz w:val="20"/>
          <w:szCs w:val="20"/>
          <w:color w:val="auto"/>
        </w:rPr>
      </w:pPr>
      <w:r>
        <w:rPr>
          <w:rFonts w:ascii="Times New Roman" w:cs="Times New Roman" w:eastAsia="Times New Roman" w:hAnsi="Times New Roman"/>
          <w:sz w:val="16"/>
          <w:szCs w:val="16"/>
          <w:color w:val="auto"/>
        </w:rPr>
        <w:t>Cost of revenues includes the following: product costs consisting of purchases from contract manufacturers and other suppliers, direct and indirect manufacturing costs, shipping and handling, support, warranty expenses, provision for losses related to slow moving and dead inventory, personnel and government grants related to the AMPTCs.</w:t>
      </w:r>
    </w:p>
    <w:p>
      <w:pPr>
        <w:spacing w:after="0" w:line="158"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Shipping, handling and warehouse costs, which amounted to $63,385, $79,534 and $214,349, for the years ended December 31, 2025, 2024 and 2023, respectively, are included in the cost of revenues in the consolidated statements of income (loss). Shipping, handling and warehouse costs include custom tariff charges and all other costs associated with the distribution of finished goods from the Company’s point of sale directly to its customers.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53340</wp:posOffset>
                </wp:positionV>
                <wp:extent cx="653224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pt" to="514.35pt,4.2pt" o:allowincell="f" strokecolor="#000000" strokeweight="1.2pt"/>
            </w:pict>
          </mc:Fallback>
        </mc:AlternateContent>
      </w:r>
    </w:p>
    <w:p>
      <w:pPr>
        <w:sectPr>
          <w:pgSz w:w="11900" w:h="16840" w:orient="portrait"/>
          <w:cols w:equalWidth="0" w:num="1">
            <w:col w:w="10284"/>
          </w:cols>
          <w:pgMar w:left="816" w:top="708" w:right="804"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Shipping, handling and warehouse costs incurred prior to the point of sale that are directly attributable to bringing inventory to its present location and condition are capitalized as part of inventory. These costs are subsequently recognized in cost of revenues upon sale of the related inventory.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  Warranty obligations:</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provides a product warranty for its products as follows: a standard 10-year limited warranty for its batteries, a standard 12-year limited warranty for the majority of its inverters, that is extendable up to 25 years for an additional cost, and a 25-year limited warranty for power optimizers.</w:t>
      </w:r>
    </w:p>
    <w:p>
      <w:pPr>
        <w:spacing w:after="0" w:line="1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maintains reserves to cover the expected costs that could result from the standard warranty. The warranty liability is in the form of product replacement and associated costs. Warranty reserves are based on the Company’s best estimate of such costs and are included in cost of revenues. The reserve for the related warranty expenses is based on various factors including assumptions about the frequency of warranty claims on product failures, derived from results of accelerated lab testing, field monitoring, analysis of the history of product field failures, and the Company’s reliability estimates.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has established a reliability measurement system based on the units’ estimated mean time between failure, or MTBF, a metric that equates to a steady-state failure rate per year for each product generation. The MTBF predicts the expected failure rate of each product within the Company's products installed base during the expected product warranted lifetime.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performs accelerated life cycle testing, which simulates the service life of the product in a short period of time. The accelerated life cycle tests incorporate test methodologies derived from standard tests used by solar module vendors to evaluate the period over which solar modules wear out. Corresponding replacement costs are updated periodically to reflect changes in the Company’s actual and estimated production costs for its products, rate of usage of refurbished units as a replacement of faulty units, and other costs related to logistic and subcontractors’ services associated with the replacement products.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addition, through the collection of actual field failure statistics, the Company has identified several additional failure causes that are not included in the MTBF model. Such causes, which mostly consist of design errors, workmanship errors caused during the manufacturing process and, to a lesser extent, replacement of non-faulty units by installers, result in generating additional replacement costs to the replacement costs projected under the MTBF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Warranty obligations are classified as short-term and long-term obligations based on the period in which the warranty is expected to be claimed.</w:t>
      </w:r>
    </w:p>
    <w:p>
      <w:pPr>
        <w:spacing w:after="0" w:line="1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  Advertising costs</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Advertising costs are expensed when incurred and are included in sales and marketing expenses in the consolidated statements of income (loss). The Company incurred advertising expenses of $10,270, $12,015, and $13,476 for the years ended December 31, 2025, 2024, and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  Research and development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costs, are charged to the consolidated statement of income (loss) as incurred.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aa.  Concentrations of credit risks:</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restricted cash, restricted bank deposits, marketable securities, trade receivables, loan receivables, derivative instruments and other accounts receivable.</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Cash and cash equivalents, restricted cash and restricted bank deposits are mainly invested in major banks in the U.S., Israel, Germany, Italy and Korea. Management believes that the financial institutions that hold the Company’s investments are financially sound and, accordingly, minimal credit risk exists with respect to these investments.</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Company's debt marketable securities include investments in high- rated corporate debentures (located mainly in the U.S.) and governmental bonds. The financial institutions that hold the Company's debt marketable securities are major financial institutions located in the United States. The Company believes its debt marketable securities portfolio is a diverse portfolio of highly-rated securities and the Company's investment policy limits the amount the Company may invest in an issuer (see Note 2g).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trade receivables of the Company derive from sales to customers located primarily in the United States and Europe.</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performs ongoing credit evaluations of its customers for the purpose of determining the appropriate allowance for credit losses (see Note 2i). The Company generally does not require collaterals, however, in certain circumstances, the Company may require letters of credit, other collateral, or additional guarantees. From time to time, the Company may purchase trade credit insurance.</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had one major customer (customers with attributable revenues that represent more than 10% of the Company's total revenues) for the year ended December 31, 2025, one major customer for the year ended December 31, 2024, and two major customers for the year ended December 31, 2023 that accounted for approximately 18.6%, 12.9% and 24.0% of the Company’s consolidated revenues, respectively. For the years ended December 31, 2024 and December 31, 2023, revenues from these customers were generated in the solar segment.</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had three major customers (customer with a balance that represents more than 10% of total trade receivables, net) as of December 31, 2025 and as of December 31, 2024 that accounted in the aggregate for approximately 45.5% and 43.4%, of the Company’s consolidated trade receivables, net,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  Concentrations of supply risks:</w:t>
      </w:r>
    </w:p>
    <w:p>
      <w:pPr>
        <w:spacing w:after="0" w:line="2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Company depends on certain contract manufacturers and several limited or single source component suppliers. Reliance on these vendors makes the Company vulnerable to possible capacity constraints and reduced control over component availability, delivery schedules, manufacturing yields, and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and 2024, two contract manufacturers accounted for 50.7% and 43.4% of the Company’s total trade payables,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own manufacturing facility, Sella 1, is located in the North of Israel.</w:t>
      </w:r>
    </w:p>
    <w:p>
      <w:pPr>
        <w:spacing w:after="0" w:line="1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  Fair value of financial instruments: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methods and assumptions were used by the Company in estimating the fair value of its financial instruments:</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carrying value of cash and cash equivalents, restricted cash, short-term bank deposits, restricted bank deposits, trade receivables, net, prepaid expenses and other current assets, loan receivables, trade payables, employee and payroll accruals and accrued expenses and other current liabilities approximate their fair values due to the short-term maturities of such instruments.</w:t>
      </w:r>
    </w:p>
    <w:p>
      <w:pPr>
        <w:spacing w:after="0" w:line="15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Assets measured at fair value on a recurring basis as of December 31, 2025 and December 31, 2024 are comprised of money market funds, derivative instruments and marketable securities (see Note 13).</w:t>
      </w:r>
    </w:p>
    <w:p>
      <w:pPr>
        <w:spacing w:after="0" w:line="1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applies ASC 820 “Fair Value Measurements and Disclosures”, with respect to fair value measurements of all financial assets and liabilities. Fair value is an exit price, representing the amount that would be received for the sale of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1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A three-tiered fair value hierarchy is established as a basis for considering such assumptions and for inputs used in the valuation methodologies in measuring fair value:</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color w:val="auto"/>
        </w:rPr>
        <w:t>Level 1-</w:t>
      </w:r>
      <w:r>
        <w:rPr>
          <w:sz w:val="20"/>
          <w:szCs w:val="20"/>
          <w:color w:val="auto"/>
        </w:rPr>
        <w:tab/>
      </w:r>
      <w:r>
        <w:rPr>
          <w:rFonts w:ascii="Times New Roman" w:cs="Times New Roman" w:eastAsia="Times New Roman" w:hAnsi="Times New Roman"/>
          <w:sz w:val="15"/>
          <w:szCs w:val="15"/>
          <w:color w:val="auto"/>
        </w:rPr>
        <w:t>Observable inputs that reflect quoted prices (unadjusted) for identical assets or liabilities in active markets.</w:t>
      </w:r>
    </w:p>
    <w:p>
      <w:pPr>
        <w:spacing w:after="0" w:line="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color w:val="auto"/>
        </w:rPr>
        <w:t>Level 2-</w:t>
      </w:r>
      <w:r>
        <w:rPr>
          <w:sz w:val="20"/>
          <w:szCs w:val="20"/>
          <w:color w:val="auto"/>
        </w:rPr>
        <w:tab/>
      </w:r>
      <w:r>
        <w:rPr>
          <w:rFonts w:ascii="Times New Roman" w:cs="Times New Roman" w:eastAsia="Times New Roman" w:hAnsi="Times New Roman"/>
          <w:sz w:val="15"/>
          <w:szCs w:val="15"/>
          <w:color w:val="auto"/>
        </w:rPr>
        <w:t>Include other inputs that are directly or indirectly observable in the marketplace.</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color w:val="auto"/>
        </w:rPr>
        <w:t>Level 3-</w:t>
      </w:r>
      <w:r>
        <w:rPr>
          <w:sz w:val="20"/>
          <w:szCs w:val="20"/>
          <w:color w:val="auto"/>
        </w:rPr>
        <w:tab/>
      </w:r>
      <w:r>
        <w:rPr>
          <w:rFonts w:ascii="Times New Roman" w:cs="Times New Roman" w:eastAsia="Times New Roman" w:hAnsi="Times New Roman"/>
          <w:sz w:val="15"/>
          <w:szCs w:val="15"/>
          <w:color w:val="auto"/>
        </w:rPr>
        <w:t>Unobservable inputs which are supported by little or no market activity.</w:t>
      </w:r>
    </w:p>
    <w:p>
      <w:pPr>
        <w:spacing w:after="0" w:line="2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fair value hierarchy also requires an entity to maximize the use of observable inputs and minimize the use of unobservable inputs when measuring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  Stock-based compensation:</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uses the closing trading price of its common stock on the day of the grant date as the fair value of awards of restricted stock units ("RSUs"), and performance stock units that are based on the Company's financial performance targets ("PSUs"). The compensation expense for RSUs is recognized using a straight-line attribution method over the requisite employee service period while compensation expense for PSUs is recognized using an accelerated attribution method. The Company estimates the forfeitures at the time of grant and revise, if necessary, in subsequent periods if actual forfeitures differ from those estimates. Estimated forfeitures are based on actual historical pre-vesting forfeitures.</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Company granted and grants stock based compensation under its 2015 Plan, PSU awards to certain employees and officers which vest upon the achievement of certain performance or market conditions subject to their continued employment with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granted PSUs based on the Company’s total shareholder return ("TSR") compared to the TSR of companies listed in the S&amp;P 500 index over a one to three year performance period. In addition, the Company granted PSUs based on the 30-day successive average trading price of the Company’s common stock (the “30-Day Price”) over a three year performance period, which are expected to vest if certain 30-Day Price levels are met. For market conditions awards,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attribution method.</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selected the Black-Scholes-Merton option-pricing model as the most appropriate fair value method for its stock-option awards and Employee Stock Purchase Plan (“ESPP”). The option-pricing model requires a number of assumptions, of which the most significant are the fair market value of the underlying common stock, expected stock price volatility, and the expected option term. Expected volatility for stock-option awards and ESPP was calculated based upon the Company’s stock prices. The expected term of options granted is based upon historical experience and represents the period between the options’ grant date and the expected exercise or expiration date. The risk-free interest rate is based on the yield from U.S. treasury bonds with an equivalent term. The Company does not use dividend yield rate since the Company has not declared or paid any dividends on its common stock and does not expect to pay any dividends in the foreseeable future.</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A modification of the terms of a stock-based award is treated as an exchange of the original award for a new award with total compensation cost equal to the grant-date fair value of the original award plus the incremental value of the modification to the award.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for PSU and ESPP granted to employees is estimated at the date of grant using the following assumptions: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20" w:type="dxa"/>
            <w:vAlign w:val="bottom"/>
            <w:gridSpan w:val="3"/>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60"/>
        </w:trPr>
        <w:tc>
          <w:tcPr>
            <w:tcW w:w="6160" w:type="dxa"/>
            <w:vAlign w:val="bottom"/>
            <w:tcBorders>
              <w:top w:val="single" w:sz="8" w:color="CCEEFF"/>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ESPP</w:t>
            </w: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60" w:type="dxa"/>
            <w:vAlign w:val="bottom"/>
            <w:tcBorders>
              <w:right w:val="single" w:sz="8" w:color="auto"/>
            </w:tcBorders>
            <w:shd w:val="clear" w:color="auto" w:fill="000000"/>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Risk-free interest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3.74% - 4.36%</w:t>
            </w:r>
          </w:p>
        </w:tc>
        <w:tc>
          <w:tcPr>
            <w:tcW w:w="1520" w:type="dxa"/>
            <w:vAlign w:val="bottom"/>
            <w:gridSpan w:val="3"/>
          </w:tcPr>
          <w:p>
            <w:pPr>
              <w:jc w:val="center"/>
              <w:ind w:left="200"/>
              <w:spacing w:after="0"/>
              <w:rPr>
                <w:sz w:val="20"/>
                <w:szCs w:val="20"/>
                <w:color w:val="auto"/>
              </w:rPr>
            </w:pPr>
            <w:r>
              <w:rPr>
                <w:rFonts w:ascii="Times New Roman" w:cs="Times New Roman" w:eastAsia="Times New Roman" w:hAnsi="Times New Roman"/>
                <w:sz w:val="16"/>
                <w:szCs w:val="16"/>
                <w:color w:val="auto"/>
                <w:w w:val="99"/>
              </w:rPr>
              <w:t>4.42% - 5.42%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5.38% - 5.46%</w:t>
            </w:r>
          </w:p>
        </w:tc>
        <w:tc>
          <w:tcPr>
            <w:tcW w:w="0" w:type="dxa"/>
            <w:vAlign w:val="bottom"/>
          </w:tcPr>
          <w:p>
            <w:pPr>
              <w:spacing w:after="0"/>
              <w:rPr>
                <w:sz w:val="1"/>
                <w:szCs w:val="1"/>
                <w:color w:val="auto"/>
              </w:rPr>
            </w:pPr>
          </w:p>
        </w:tc>
      </w:tr>
      <w:tr>
        <w:trPr>
          <w:trHeight w:val="20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yields</w:t>
            </w:r>
          </w:p>
        </w:tc>
        <w:tc>
          <w:tcPr>
            <w:tcW w:w="11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0%</w:t>
            </w:r>
          </w:p>
        </w:tc>
        <w:tc>
          <w:tcPr>
            <w:tcW w:w="1520" w:type="dxa"/>
            <w:vAlign w:val="bottom"/>
            <w:gridSpan w:val="3"/>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1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111.24% -</w:t>
            </w:r>
          </w:p>
        </w:tc>
        <w:tc>
          <w:tcPr>
            <w:tcW w:w="1520" w:type="dxa"/>
            <w:vAlign w:val="bottom"/>
            <w:gridSpan w:val="3"/>
            <w:vMerge w:val="restart"/>
          </w:tcPr>
          <w:p>
            <w:pPr>
              <w:jc w:val="center"/>
              <w:ind w:left="200"/>
              <w:spacing w:after="0"/>
              <w:rPr>
                <w:sz w:val="20"/>
                <w:szCs w:val="20"/>
                <w:color w:val="auto"/>
              </w:rPr>
            </w:pPr>
            <w:r>
              <w:rPr>
                <w:rFonts w:ascii="Times New Roman" w:cs="Times New Roman" w:eastAsia="Times New Roman" w:hAnsi="Times New Roman"/>
                <w:sz w:val="16"/>
                <w:szCs w:val="16"/>
                <w:color w:val="auto"/>
                <w:w w:val="99"/>
              </w:rPr>
              <w:t>70.94% - 104.93%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56.44% - 66.78%</w:t>
            </w:r>
          </w:p>
        </w:tc>
        <w:tc>
          <w:tcPr>
            <w:tcW w:w="0" w:type="dxa"/>
            <w:vAlign w:val="bottom"/>
          </w:tcPr>
          <w:p>
            <w:pPr>
              <w:spacing w:after="0"/>
              <w:rPr>
                <w:sz w:val="1"/>
                <w:szCs w:val="1"/>
                <w:color w:val="auto"/>
              </w:rPr>
            </w:pPr>
          </w:p>
        </w:tc>
      </w:tr>
      <w:tr>
        <w:trPr>
          <w:trHeight w:val="11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Volatility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113.95%</w:t>
            </w: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16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1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6 months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6 months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 months</w:t>
            </w: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PSU</w:t>
            </w:r>
          </w:p>
        </w:tc>
        <w:tc>
          <w:tcPr>
            <w:tcW w:w="5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w:t>
            </w:r>
          </w:p>
        </w:tc>
        <w:tc>
          <w:tcPr>
            <w:tcW w:w="11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4.43%</w:t>
            </w:r>
          </w:p>
        </w:tc>
        <w:tc>
          <w:tcPr>
            <w:tcW w:w="1520" w:type="dxa"/>
            <w:vAlign w:val="bottom"/>
            <w:gridSpan w:val="3"/>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3.9% - 4.2%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0"/>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 yields</w:t>
            </w:r>
          </w:p>
        </w:tc>
        <w:tc>
          <w:tcPr>
            <w:tcW w:w="11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0%</w:t>
            </w:r>
          </w:p>
        </w:tc>
        <w:tc>
          <w:tcPr>
            <w:tcW w:w="1520" w:type="dxa"/>
            <w:vAlign w:val="bottom"/>
            <w:gridSpan w:val="3"/>
          </w:tcPr>
          <w:p>
            <w:pPr>
              <w:jc w:val="center"/>
              <w:ind w:left="22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9"/>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11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73.75%</w:t>
            </w:r>
          </w:p>
        </w:tc>
        <w:tc>
          <w:tcPr>
            <w:tcW w:w="1520" w:type="dxa"/>
            <w:vAlign w:val="bottom"/>
            <w:gridSpan w:val="3"/>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65.18% - 76.7%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71.60%</w:t>
            </w:r>
          </w:p>
        </w:tc>
        <w:tc>
          <w:tcPr>
            <w:tcW w:w="0" w:type="dxa"/>
            <w:vAlign w:val="bottom"/>
          </w:tcPr>
          <w:p>
            <w:pPr>
              <w:spacing w:after="0"/>
              <w:rPr>
                <w:sz w:val="1"/>
                <w:szCs w:val="1"/>
                <w:color w:val="auto"/>
              </w:rPr>
            </w:pPr>
          </w:p>
        </w:tc>
      </w:tr>
      <w:tr>
        <w:trPr>
          <w:trHeight w:val="214"/>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1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3 years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2 - 3 years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ae.  Earnings (loss) per share</w:t>
      </w:r>
    </w:p>
    <w:p>
      <w:pPr>
        <w:spacing w:after="0" w:line="2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Net basic Earnings Per Share ("EPS") is computed by dividing the net income (loss) by the weighted-average number of shares of common stock outstanding during the period.</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Net diluted EPS is computed by giving effect to all potential shares of common stock, to the extent dilutive, including stock options, RSUs, PSUs, shares to be purchased under the Company’s ESPP, the Notes 2025, and Notes 2029, all in accordance with ASC No. 260, "Earnings Per Share."</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Company’s convertible senior notes are included in the calculation of diluted EPS if the assumed conversion into common shares is dilutive, using the “if-converted” method. This involves adding back the periodic cash and non-cash interest expense net of tax associated with the Notes to the numerator and by adding the shares that would be issued in an assumed conversion (regardless of whether the conversion option is in or out of the money) to the denominator for the purposes of calculating diluted EPS, unless the Notes are antidilutive (see Note 22).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54610</wp:posOffset>
                </wp:positionV>
                <wp:extent cx="653224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pt" to="514.15pt,4.3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  Income taxes:</w:t>
      </w:r>
    </w:p>
    <w:p>
      <w:pPr>
        <w:spacing w:after="0" w:line="2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account for income taxes in accordance with ASC 740, “Income Taxes”. ASC 740 prescribes the use of the liability method, whereby deferred tax asset and liability account balances are determined based on differences between financial reporting and tax bases of assets and liabilities and are measured using the enacted tax rates that will be in effect when the differences are expected to reverse.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Deferred income tax balances reflect the effects of temporary differences between the carrying amounts of assets and liabilities and their tax bases and are stated at enacted tax rates expected to be in effect when taxes are actually paid or recovered. Deferred tax assets are evaluated for future realization and reduced by a valuation allowance to the extent the Company believes they will not be realized. The Company considers all available evidence, including historical information, long range forecast of future taxable income and evaluation of tax planning strategies. Amounts recorded for valuation allowance can result from a complex series of judgments about future events and can rely on estimates and assumptions. Tax has not been recorded for (a) taxes that would apply in the event of disposal of investments in subsidiaries, as it is generally the Company’s intention to hold these investments, not to realize them; and (b) taxes that would apply on the distribution of unremitted earnings from foreign subsidiaries, as these are retained for reinvestment in the Group.</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accounts for uncertain tax positions in accordance with ASC 740-10 two- 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  New accounting pronouncements not yet effective:</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(loss) Statement Expenses" (“ASU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is currently evaluating the timing of adoption and impact of this amendment on its Consolidated Financial Statements and related disclosures.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September 2025, the FASB issued ASU 2025-06, “Goodwill and Other-Internal-Use Software (Subtopic 350-40): Targeted Improvements to the Accounting for Internal-Use Software” (“ASU 2025 -06”), which simplifies the capitalization guidance by removing all references to software development project stages so that the guidance is neutral to different software development methods. ASU 2025 -06 is effective for annual reporting periods beginning after December 15, 2027, and interim reporting periods within those annual reporting periods. Early adoption is permitted. ASU 2025- 06 permits an entity to apply the new guidance using a prospective, retrospective or modified transition approach. The Company is currently evaluating the impact from ASU 2025-06 on its consolidated financial statements.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on its financial statement disclosures.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consolidated financial statements.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interim reporting periods beginning after December 15, 2027, with early adoption permitted. The Company is currently evaluating the impact from ASU 2025-10 on its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ah.  Recently issued and adopted pronouncements: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(“ASU 2023-09”). ASU 2023-09 requires additional categories of information about federal, state and foreign income taxes to be included in effective tax rate reconciliation disclosure. Additionally, the newly added categories also apply to the income taxes paid disclosure. Effective December 31, 2025, the Company has adopted this standard prospectively. The adoption of this ASU affects only disclosures, with no impact to the Company's financial condition and results of operations (see Note 25).</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ai.  Certain prior period amounts have been reclassified to conform to the current period presentation.</w:t>
      </w:r>
    </w:p>
    <w:p>
      <w:pPr>
        <w:spacing w:after="0" w:line="19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3:</w:t>
      </w:r>
      <w:r>
        <w:rPr>
          <w:sz w:val="20"/>
          <w:szCs w:val="20"/>
          <w:color w:val="auto"/>
        </w:rPr>
        <w:tab/>
      </w:r>
      <w:r>
        <w:rPr>
          <w:rFonts w:ascii="Times New Roman" w:cs="Times New Roman" w:eastAsia="Times New Roman" w:hAnsi="Times New Roman"/>
          <w:sz w:val="15"/>
          <w:szCs w:val="15"/>
          <w:b w:val="1"/>
          <w:bCs w:val="1"/>
          <w:color w:val="auto"/>
        </w:rPr>
        <w:t>INVESTMENT IN PRIVATELY-HELD COMPANY</w:t>
      </w:r>
    </w:p>
    <w:p>
      <w:pPr>
        <w:spacing w:after="0" w:line="21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January 2024, the Company completed an investment of $6,075 in the preferred stock of Ivy Energy, Inc, ("Ivy"), a privately-held U.S. company. The Company accounted for the Ivy investment as an equity investment that does not have readily determinable fair values.</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March 2024, the Company completed an investment of $5,000 in the preferred stock of Stardust Solution, Inc, ("Stardust"), a privately-held U.S. company. The Company accounted for the Stardust investment as an equity investment, under ASC 321, Equity Securities, that does not have a readily determinable fair market value.</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In April 2024, the Company completed an investment of approximately $17,000 in the preferred stock of Ampeers Energy GmbH ("Ampeers"), a privately-held German company, which represented 28.23% of Ampeers' outstanding shares.</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accounted for its investment in Ampeers using the equity method of accounting in accordance with ASC 323, Investments — Equity Method and Joint Ventures. Under this method, the investment, which was initially recorded at cost, is adjusted to recognize the Company’s share of net earnings or losses of the investee as they occur, rather than when dividends or other distributions are received.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 has fully impaired its investments in privately-held companies.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carrying value of investments in privately-held companies was $20,976.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2025, and 2024 the Company recorded impairment charges in the amount of $21,438 and $5,000,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2025, the Company recorded a gain of $4,000 upon the sale of Stardust.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53340</wp:posOffset>
                </wp:positionV>
                <wp:extent cx="653224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pt" to="514.15pt,4.2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4:</w:t>
      </w:r>
      <w:r>
        <w:rPr>
          <w:sz w:val="20"/>
          <w:szCs w:val="20"/>
          <w:color w:val="auto"/>
        </w:rPr>
        <w:tab/>
      </w:r>
      <w:r>
        <w:rPr>
          <w:rFonts w:ascii="Times New Roman" w:cs="Times New Roman" w:eastAsia="Times New Roman" w:hAnsi="Times New Roman"/>
          <w:sz w:val="15"/>
          <w:szCs w:val="15"/>
          <w:b w:val="1"/>
          <w:bCs w:val="1"/>
          <w:color w:val="auto"/>
        </w:rPr>
        <w:t>MARKETABLE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available-for-sale marketable securities at 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cost</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Matures within one year:</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36,413</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36,601</w:t>
            </w: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4"/>
        </w:trPr>
        <w:tc>
          <w:tcPr>
            <w:tcW w:w="5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37,908</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38,097</w:t>
            </w:r>
          </w:p>
        </w:tc>
        <w:tc>
          <w:tcPr>
            <w:tcW w:w="0" w:type="dxa"/>
            <w:vAlign w:val="bottom"/>
          </w:tcPr>
          <w:p>
            <w:pPr>
              <w:spacing w:after="0"/>
              <w:rPr>
                <w:sz w:val="1"/>
                <w:szCs w:val="1"/>
                <w:color w:val="auto"/>
              </w:rPr>
            </w:pPr>
          </w:p>
        </w:tc>
      </w:tr>
      <w:tr>
        <w:trPr>
          <w:trHeight w:val="20"/>
        </w:trPr>
        <w:tc>
          <w:tcPr>
            <w:tcW w:w="66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The following is a summary of available-for-sale marketable securities at December 31, 2024: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6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cost</w:t>
            </w: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Matures within one year:</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290,570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289,856</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12,596</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12,594</w:t>
            </w:r>
          </w:p>
        </w:tc>
        <w:tc>
          <w:tcPr>
            <w:tcW w:w="0" w:type="dxa"/>
            <w:vAlign w:val="bottom"/>
          </w:tcPr>
          <w:p>
            <w:pPr>
              <w:spacing w:after="0"/>
              <w:rPr>
                <w:sz w:val="1"/>
                <w:szCs w:val="1"/>
                <w:color w:val="auto"/>
              </w:rPr>
            </w:pPr>
          </w:p>
        </w:tc>
      </w:tr>
      <w:tr>
        <w:trPr>
          <w:trHeight w:val="20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311,279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Matures after one year:</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36,006</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36,241</w:t>
            </w:r>
          </w:p>
        </w:tc>
        <w:tc>
          <w:tcPr>
            <w:tcW w:w="0" w:type="dxa"/>
            <w:vAlign w:val="bottom"/>
          </w:tcPr>
          <w:p>
            <w:pPr>
              <w:spacing w:after="0"/>
              <w:rPr>
                <w:sz w:val="1"/>
                <w:szCs w:val="1"/>
                <w:color w:val="auto"/>
              </w:rPr>
            </w:pPr>
          </w:p>
        </w:tc>
      </w:tr>
      <w:tr>
        <w:trPr>
          <w:trHeight w:val="20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354,291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353,876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Proceeds from maturity of available-for-sale marketable securities during the years ended December 31, 2025, 2024 and 2023, were $713,413, $719,454 and $277,382, respectively.</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Proceeds from sales of available-for-sale marketable securities during the year ended December 31, 2025 were $76,288, which did not lead to realized gains or losses.</w:t>
      </w:r>
    </w:p>
    <w:p>
      <w:pPr>
        <w:spacing w:after="0" w:line="140" w:lineRule="exact"/>
        <w:rPr>
          <w:sz w:val="20"/>
          <w:szCs w:val="20"/>
          <w:color w:val="auto"/>
        </w:rPr>
      </w:pPr>
    </w:p>
    <w:p>
      <w:pPr>
        <w:ind w:right="80"/>
        <w:spacing w:after="0" w:line="540" w:lineRule="auto"/>
        <w:rPr>
          <w:sz w:val="20"/>
          <w:szCs w:val="20"/>
          <w:color w:val="auto"/>
        </w:rPr>
      </w:pPr>
      <w:r>
        <w:rPr>
          <w:rFonts w:ascii="Times New Roman" w:cs="Times New Roman" w:eastAsia="Times New Roman" w:hAnsi="Times New Roman"/>
          <w:sz w:val="15"/>
          <w:szCs w:val="15"/>
          <w:color w:val="auto"/>
        </w:rPr>
        <w:t>Proceeds from sales of available-for-sale marketable securities during the year ended December 31, 2024 were $114,564, which led to realized gains of $2,966. Proceeds from sales of available-for-sale marketable securities during the year ended December 31, 2023 were $2,807, which led to realized losses of $125</w:t>
      </w:r>
    </w:p>
    <w:p>
      <w:pPr>
        <w:jc w:val="center"/>
        <w:spacing w:after="0"/>
        <w:rPr>
          <w:sz w:val="20"/>
          <w:szCs w:val="20"/>
          <w:color w:val="auto"/>
        </w:rPr>
      </w:pPr>
      <w:r>
        <w:rPr>
          <w:rFonts w:ascii="Times New Roman" w:cs="Times New Roman" w:eastAsia="Times New Roman" w:hAnsi="Times New Roman"/>
          <w:sz w:val="16"/>
          <w:szCs w:val="16"/>
          <w:color w:val="auto"/>
        </w:rPr>
        <w:t>F - 31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101" w:name="page102"/>
    <w:bookmarkEnd w:id="101"/>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   INVENTORIES, NET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4"/>
        </w:trPr>
        <w:tc>
          <w:tcPr>
            <w:tcW w:w="7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306,288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209,259</w:t>
            </w:r>
          </w:p>
        </w:tc>
        <w:tc>
          <w:tcPr>
            <w:tcW w:w="100" w:type="dxa"/>
            <w:vAlign w:val="bottom"/>
            <w:shd w:val="clear" w:color="auto" w:fill="CCEEFF"/>
          </w:tcPr>
          <w:p>
            <w:pPr>
              <w:spacing w:after="0"/>
              <w:rPr>
                <w:sz w:val="17"/>
                <w:szCs w:val="17"/>
                <w:color w:val="auto"/>
              </w:rPr>
            </w:pP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3,113</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246,344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433,525</w:t>
            </w:r>
          </w:p>
        </w:tc>
      </w:tr>
      <w:tr>
        <w:trPr>
          <w:trHeight w:val="24"/>
        </w:trPr>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792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552,632</w:t>
            </w:r>
          </w:p>
        </w:tc>
        <w:tc>
          <w:tcPr>
            <w:tcW w:w="2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645,897</w:t>
            </w: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recorded inventory write-downs of $17,827, $738,757 and $46,369 for the years ended December 31, 2025, 2024 and 2023, respectively.</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PREPAID EXPENSES AND OTHER CURRENT ASSETS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4"/>
        </w:trPr>
        <w:tc>
          <w:tcPr>
            <w:tcW w:w="7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9"/>
        </w:trPr>
        <w:tc>
          <w:tcPr>
            <w:tcW w:w="79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Vendor non-trade receivables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198,211</w:t>
            </w:r>
          </w:p>
        </w:tc>
        <w:tc>
          <w:tcPr>
            <w:tcW w:w="100" w:type="dxa"/>
            <w:vAlign w:val="bottom"/>
            <w:shd w:val="clear" w:color="auto" w:fill="CCEEFF"/>
          </w:tcPr>
          <w:p>
            <w:pPr>
              <w:spacing w:after="0"/>
              <w:rPr>
                <w:sz w:val="17"/>
                <w:szCs w:val="17"/>
                <w:color w:val="auto"/>
              </w:rPr>
            </w:pP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Government authorities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213,290</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w:t>
            </w: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25,291</w:t>
            </w:r>
          </w:p>
        </w:tc>
      </w:tr>
      <w:tr>
        <w:trPr>
          <w:trHeight w:val="19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60,500</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25,735</w:t>
            </w:r>
          </w:p>
        </w:tc>
      </w:tr>
      <w:tr>
        <w:trPr>
          <w:trHeight w:val="24"/>
        </w:trPr>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341,831</w:t>
            </w:r>
          </w:p>
        </w:tc>
        <w:tc>
          <w:tcPr>
            <w:tcW w:w="20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523,027</w:t>
            </w: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 w:hanging="4"/>
        <w:spacing w:after="0" w:line="216" w:lineRule="auto"/>
        <w:tabs>
          <w:tab w:leader="none" w:pos="138"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Vendor non-trade receivables derived from the sale of components to manufacturing vendors who manufacture products, components and other testing equipment for the Company. The Company purchases these components directly from other suppliers. The Company does not reflect the sale of these components to the contract manufacturers in its revenues.</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53224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14.35pt,3.85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8"/>
        </w:trPr>
        <w:tc>
          <w:tcPr>
            <w:tcW w:w="7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3"/>
        </w:trPr>
        <w:tc>
          <w:tcPr>
            <w:tcW w:w="7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7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716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1,087</w:t>
            </w:r>
          </w:p>
        </w:tc>
      </w:tr>
      <w:tr>
        <w:trPr>
          <w:trHeight w:val="19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plants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60,498</w:t>
            </w: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Computers and peripheral equipment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47,279</w:t>
            </w: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8,955</w:t>
            </w:r>
          </w:p>
        </w:tc>
      </w:tr>
      <w:tr>
        <w:trPr>
          <w:trHeight w:val="199"/>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Laboratory and testing equipment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60,638</w:t>
            </w: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209,906</w:t>
            </w: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110,380</w:t>
            </w:r>
          </w:p>
        </w:tc>
      </w:tr>
      <w:tr>
        <w:trPr>
          <w:trHeight w:val="19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under construction and payments on account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34,949</w:t>
            </w:r>
          </w:p>
        </w:tc>
      </w:tr>
      <w:tr>
        <w:trPr>
          <w:trHeight w:val="24"/>
        </w:trPr>
        <w:tc>
          <w:tcPr>
            <w:tcW w:w="76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property, plant and equipment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533,692</w:t>
            </w: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 accumulated depreciation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190,254</w:t>
            </w:r>
          </w:p>
        </w:tc>
      </w:tr>
      <w:tr>
        <w:trPr>
          <w:trHeight w:val="24"/>
        </w:trPr>
        <w:tc>
          <w:tcPr>
            <w:tcW w:w="76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269,351</w:t>
            </w:r>
          </w:p>
        </w:tc>
        <w:tc>
          <w:tcPr>
            <w:tcW w:w="2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343,438</w:t>
            </w:r>
          </w:p>
        </w:tc>
      </w:tr>
      <w:tr>
        <w:trPr>
          <w:trHeight w:val="20"/>
        </w:trPr>
        <w:tc>
          <w:tcPr>
            <w:tcW w:w="7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For the years ended December 31, 2025, 2024 and 2023, the Company recorded impairment and abandonment by disposal of property, plant, and equipment in the amount of $5,799, $224,772, and $25,168, respectively, under Other operating expense (income), net in the consolidated statements of income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expenses for the years ended December 31, 2025, 2024 and 2023, were $27,650, $51,966 and $49,544, respectively.</w:t>
      </w:r>
    </w:p>
    <w:p>
      <w:pPr>
        <w:spacing w:after="0" w:line="1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lease-related assets and liabilities recorded in the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3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Classification on the consolidated Balance Sheet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w w:val="95"/>
              </w:rPr>
              <w:t>Assets:</w:t>
            </w:r>
          </w:p>
        </w:tc>
        <w:tc>
          <w:tcPr>
            <w:tcW w:w="3440" w:type="dxa"/>
            <w:vAlign w:val="bottom"/>
            <w:tcBorders>
              <w:bottom w:val="single" w:sz="8" w:color="CCEEFF"/>
            </w:tcBorders>
            <w:gridSpan w:val="5"/>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Operating lease assets, net of lease incentive obligation</w:t>
            </w:r>
          </w:p>
        </w:tc>
        <w:tc>
          <w:tcPr>
            <w:tcW w:w="1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 use assets, net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48,178</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41,393</w:t>
            </w:r>
          </w:p>
        </w:tc>
        <w:tc>
          <w:tcPr>
            <w:tcW w:w="0" w:type="dxa"/>
            <w:vAlign w:val="bottom"/>
          </w:tcPr>
          <w:p>
            <w:pPr>
              <w:spacing w:after="0"/>
              <w:rPr>
                <w:sz w:val="1"/>
                <w:szCs w:val="1"/>
                <w:color w:val="auto"/>
              </w:rPr>
            </w:pPr>
          </w:p>
        </w:tc>
      </w:tr>
      <w:tr>
        <w:trPr>
          <w:trHeight w:val="200"/>
        </w:trPr>
        <w:tc>
          <w:tcPr>
            <w:tcW w:w="3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assets</w:t>
            </w: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17,848</w:t>
            </w: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46,610</w:t>
            </w:r>
          </w:p>
        </w:tc>
        <w:tc>
          <w:tcPr>
            <w:tcW w:w="0" w:type="dxa"/>
            <w:vAlign w:val="bottom"/>
          </w:tcPr>
          <w:p>
            <w:pPr>
              <w:spacing w:after="0"/>
              <w:rPr>
                <w:sz w:val="1"/>
                <w:szCs w:val="1"/>
                <w:color w:val="auto"/>
              </w:rPr>
            </w:pPr>
          </w:p>
        </w:tc>
      </w:tr>
      <w:tr>
        <w:trPr>
          <w:trHeight w:val="24"/>
        </w:trPr>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Total lease assets</w:t>
            </w: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66,026</w:t>
            </w:r>
          </w:p>
        </w:tc>
        <w:tc>
          <w:tcPr>
            <w:tcW w:w="220" w:type="dxa"/>
            <w:vAlign w:val="bottom"/>
          </w:tcPr>
          <w:p>
            <w:pPr>
              <w:spacing w:after="0"/>
              <w:rPr>
                <w:sz w:val="17"/>
                <w:szCs w:val="17"/>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88,003</w:t>
            </w:r>
          </w:p>
        </w:tc>
        <w:tc>
          <w:tcPr>
            <w:tcW w:w="0" w:type="dxa"/>
            <w:vAlign w:val="bottom"/>
          </w:tcPr>
          <w:p>
            <w:pPr>
              <w:spacing w:after="0"/>
              <w:rPr>
                <w:sz w:val="1"/>
                <w:szCs w:val="1"/>
                <w:color w:val="auto"/>
              </w:rPr>
            </w:pPr>
          </w:p>
        </w:tc>
      </w:tr>
      <w:tr>
        <w:trPr>
          <w:trHeight w:val="179"/>
        </w:trPr>
        <w:tc>
          <w:tcPr>
            <w:tcW w:w="700" w:type="dxa"/>
            <w:vAlign w:val="bottom"/>
            <w:tcBorders>
              <w:bottom w:val="single" w:sz="8" w:color="auto"/>
              <w:right w:val="single" w:sz="8" w:color="CCEEFF"/>
            </w:tcBorders>
            <w:gridSpan w:val="5"/>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w w:val="95"/>
              </w:rPr>
              <w:t>Liabilities:</w:t>
            </w:r>
          </w:p>
        </w:tc>
        <w:tc>
          <w:tcPr>
            <w:tcW w:w="320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Operating leases short term</w:t>
            </w:r>
          </w:p>
        </w:tc>
        <w:tc>
          <w:tcPr>
            <w:tcW w:w="1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220" w:type="dxa"/>
            <w:vAlign w:val="bottom"/>
          </w:tcPr>
          <w:p>
            <w:pPr>
              <w:spacing w:after="0"/>
              <w:rPr>
                <w:sz w:val="17"/>
                <w:szCs w:val="17"/>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11,861</w:t>
            </w:r>
          </w:p>
        </w:tc>
        <w:tc>
          <w:tcPr>
            <w:tcW w:w="0" w:type="dxa"/>
            <w:vAlign w:val="bottom"/>
          </w:tcPr>
          <w:p>
            <w:pPr>
              <w:spacing w:after="0"/>
              <w:rPr>
                <w:sz w:val="1"/>
                <w:szCs w:val="1"/>
                <w:color w:val="auto"/>
              </w:rPr>
            </w:pPr>
          </w:p>
        </w:tc>
      </w:tr>
      <w:tr>
        <w:trPr>
          <w:trHeight w:val="200"/>
        </w:trPr>
        <w:tc>
          <w:tcPr>
            <w:tcW w:w="3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leases short term</w:t>
            </w: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Operating leases long term</w:t>
            </w:r>
          </w:p>
        </w:tc>
        <w:tc>
          <w:tcPr>
            <w:tcW w:w="1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30,018</w:t>
            </w:r>
          </w:p>
        </w:tc>
        <w:tc>
          <w:tcPr>
            <w:tcW w:w="0" w:type="dxa"/>
            <w:vAlign w:val="bottom"/>
          </w:tcPr>
          <w:p>
            <w:pPr>
              <w:spacing w:after="0"/>
              <w:rPr>
                <w:sz w:val="1"/>
                <w:szCs w:val="1"/>
                <w:color w:val="auto"/>
              </w:rPr>
            </w:pPr>
          </w:p>
        </w:tc>
      </w:tr>
      <w:tr>
        <w:trPr>
          <w:trHeight w:val="200"/>
        </w:trPr>
        <w:tc>
          <w:tcPr>
            <w:tcW w:w="3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leases long term</w:t>
            </w: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39,159</w:t>
            </w:r>
          </w:p>
        </w:tc>
        <w:tc>
          <w:tcPr>
            <w:tcW w:w="0" w:type="dxa"/>
            <w:vAlign w:val="bottom"/>
          </w:tcPr>
          <w:p>
            <w:pPr>
              <w:spacing w:after="0"/>
              <w:rPr>
                <w:sz w:val="1"/>
                <w:szCs w:val="1"/>
                <w:color w:val="auto"/>
              </w:rPr>
            </w:pPr>
          </w:p>
        </w:tc>
      </w:tr>
      <w:tr>
        <w:trPr>
          <w:trHeight w:val="24"/>
        </w:trPr>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Total lease liabilities</w:t>
            </w: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72,712</w:t>
            </w:r>
          </w:p>
        </w:tc>
        <w:tc>
          <w:tcPr>
            <w:tcW w:w="220" w:type="dxa"/>
            <w:vAlign w:val="bottom"/>
          </w:tcPr>
          <w:p>
            <w:pPr>
              <w:spacing w:after="0"/>
              <w:rPr>
                <w:sz w:val="17"/>
                <w:szCs w:val="17"/>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84,420</w:t>
            </w:r>
          </w:p>
        </w:tc>
        <w:tc>
          <w:tcPr>
            <w:tcW w:w="0" w:type="dxa"/>
            <w:vAlign w:val="bottom"/>
          </w:tcPr>
          <w:p>
            <w:pPr>
              <w:spacing w:after="0"/>
              <w:rPr>
                <w:sz w:val="1"/>
                <w:szCs w:val="1"/>
                <w:color w:val="auto"/>
              </w:rPr>
            </w:pPr>
          </w:p>
        </w:tc>
      </w:tr>
      <w:tr>
        <w:trPr>
          <w:trHeight w:val="20"/>
        </w:trPr>
        <w:tc>
          <w:tcPr>
            <w:tcW w:w="78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certain information related to the operating and finance leases: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820" w:type="dxa"/>
            <w:vAlign w:val="bottom"/>
            <w:gridSpan w:val="10"/>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gridSpan w:val="6"/>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w w:val="98"/>
              </w:rPr>
              <w:t>Finance leases:</w:t>
            </w:r>
          </w:p>
        </w:tc>
        <w:tc>
          <w:tcPr>
            <w:tcW w:w="292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Amortization of right-of-use-assets</w:t>
            </w: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220" w:type="dxa"/>
            <w:vAlign w:val="bottom"/>
          </w:tcPr>
          <w:p>
            <w:pPr>
              <w:spacing w:after="0"/>
              <w:rPr>
                <w:sz w:val="17"/>
                <w:szCs w:val="17"/>
                <w:color w:val="auto"/>
              </w:rPr>
            </w:pPr>
          </w:p>
        </w:tc>
        <w:tc>
          <w:tcPr>
            <w:tcW w:w="200" w:type="dxa"/>
            <w:vAlign w:val="bottom"/>
          </w:tcPr>
          <w:p>
            <w:pPr>
              <w:jc w:val="right"/>
              <w:ind w:right="10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7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0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annual discount rate</w:t>
            </w: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76"/>
        </w:trPr>
        <w:tc>
          <w:tcPr>
            <w:tcW w:w="3900" w:type="dxa"/>
            <w:vAlign w:val="bottom"/>
            <w:gridSpan w:val="8"/>
          </w:tcPr>
          <w:p>
            <w:pPr>
              <w:spacing w:after="0" w:line="177" w:lineRule="exact"/>
              <w:rPr>
                <w:sz w:val="20"/>
                <w:szCs w:val="20"/>
                <w:color w:val="auto"/>
              </w:rPr>
            </w:pPr>
            <w:r>
              <w:rPr>
                <w:rFonts w:ascii="Times New Roman" w:cs="Times New Roman" w:eastAsia="Times New Roman" w:hAnsi="Times New Roman"/>
                <w:sz w:val="16"/>
                <w:szCs w:val="16"/>
                <w:color w:val="auto"/>
              </w:rPr>
              <w:t>Operating leases:</w:t>
            </w: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costs</w:t>
            </w: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annual discount rate</w:t>
            </w: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supplemental cash flows information related to the lease costs for operating and finance leases: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46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measurement of lease liabilities:</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3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15,849</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17,685</w:t>
            </w:r>
          </w:p>
        </w:tc>
      </w:tr>
      <w:tr>
        <w:trPr>
          <w:trHeight w:val="20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3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r>
      <w:tr>
        <w:trPr>
          <w:trHeight w:val="214"/>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cash flows for finance leases</w:t>
            </w:r>
          </w:p>
        </w:tc>
        <w:tc>
          <w:tcPr>
            <w:tcW w:w="3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2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2,877</w:t>
            </w:r>
          </w:p>
        </w:tc>
      </w:tr>
      <w:tr>
        <w:trPr>
          <w:trHeight w:val="367"/>
        </w:trPr>
        <w:tc>
          <w:tcPr>
            <w:tcW w:w="4620" w:type="dxa"/>
            <w:vAlign w:val="bottom"/>
          </w:tcPr>
          <w:p>
            <w:pPr>
              <w:spacing w:after="0"/>
              <w:rPr>
                <w:sz w:val="24"/>
                <w:szCs w:val="24"/>
                <w:color w:val="auto"/>
              </w:rPr>
            </w:pPr>
          </w:p>
        </w:tc>
        <w:tc>
          <w:tcPr>
            <w:tcW w:w="3480" w:type="dxa"/>
            <w:vAlign w:val="bottom"/>
            <w:gridSpan w:val="2"/>
          </w:tcPr>
          <w:p>
            <w:pPr>
              <w:jc w:val="right"/>
              <w:ind w:right="2760"/>
              <w:spacing w:after="0"/>
              <w:rPr>
                <w:sz w:val="20"/>
                <w:szCs w:val="20"/>
                <w:color w:val="auto"/>
              </w:rPr>
            </w:pPr>
            <w:r>
              <w:rPr>
                <w:rFonts w:ascii="Times New Roman" w:cs="Times New Roman" w:eastAsia="Times New Roman" w:hAnsi="Times New Roman"/>
                <w:sz w:val="16"/>
                <w:szCs w:val="16"/>
                <w:color w:val="auto"/>
              </w:rPr>
              <w:t>F - 34</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46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following table reconciles the undiscounted cash flows for each of the first five years and the total of the remaining years of the operating and finance lease liabilities recorded 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6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Finance</w:t>
            </w:r>
          </w:p>
        </w:tc>
      </w:tr>
      <w:tr>
        <w:trPr>
          <w:trHeight w:val="215"/>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16,495</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CEEFF"/>
          </w:tcPr>
          <w:p>
            <w:pPr>
              <w:spacing w:after="0"/>
              <w:rPr>
                <w:sz w:val="17"/>
                <w:szCs w:val="17"/>
                <w:color w:val="auto"/>
              </w:rPr>
            </w:pP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1,557</w:t>
            </w:r>
          </w:p>
        </w:tc>
      </w:tr>
      <w:tr>
        <w:trPr>
          <w:trHeight w:val="19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1,557</w:t>
            </w: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1,588</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1,681</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14,609</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66,959</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22,549</w:t>
            </w:r>
          </w:p>
        </w:tc>
        <w:tc>
          <w:tcPr>
            <w:tcW w:w="100" w:type="dxa"/>
            <w:vAlign w:val="bottom"/>
            <w:shd w:val="clear" w:color="auto" w:fill="CCEEFF"/>
          </w:tcPr>
          <w:p>
            <w:pPr>
              <w:spacing w:after="0"/>
              <w:rPr>
                <w:sz w:val="17"/>
                <w:szCs w:val="17"/>
                <w:color w:val="auto"/>
              </w:rPr>
            </w:pPr>
          </w:p>
        </w:tc>
      </w:tr>
      <w:tr>
        <w:trPr>
          <w:trHeight w:val="204"/>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Less amount of lease payments representing interest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(14,352)</w:t>
            </w: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(2,444)</w:t>
            </w:r>
          </w:p>
        </w:tc>
      </w:tr>
      <w:tr>
        <w:trPr>
          <w:trHeight w:val="19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52,607</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20,105</w:t>
            </w:r>
          </w:p>
        </w:tc>
        <w:tc>
          <w:tcPr>
            <w:tcW w:w="100" w:type="dxa"/>
            <w:vAlign w:val="bottom"/>
            <w:shd w:val="clear" w:color="auto" w:fill="CCEEFF"/>
          </w:tcPr>
          <w:p>
            <w:pPr>
              <w:spacing w:after="0"/>
              <w:rPr>
                <w:sz w:val="17"/>
                <w:szCs w:val="17"/>
                <w:color w:val="auto"/>
              </w:rPr>
            </w:pPr>
          </w:p>
        </w:tc>
      </w:tr>
      <w:tr>
        <w:trPr>
          <w:trHeight w:val="204"/>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(15,959)</w:t>
            </w: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(1,547)</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36,648</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10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a lease previously classified as a finance lease was reclassified as an operating lease following an approximately 40% reduction in the leased asset’s scope.</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As of December 31, 2025, the Company has a non-cancelable lease commitment for the initial term of the lease of approximately $274,237 for new offices in Israel, which has not yet commenced. The lease is expected to commence during the next twelve months. The initial term of the lease agreement is 15 years commencing on the transfer of possession, and with an option to extend the lease for additional periods of up to 10 years, subject to the conditions of the lease agreement. In November 2025, the Company amended its lease agreement with the developer of its new campus to reduce the leased area. In connection with the amendment, the Company agreed to make a lease modification payment of $28,828, recorded under other long-term assets, which is accounted for as prepaid lease consideration under ASC 842, of which $3,143 had been paid as of December 31, 2025.</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r>
      <w:r>
        <w:rPr>
          <w:sz w:val="20"/>
          <w:szCs w:val="20"/>
          <w:color w:val="auto"/>
        </w:rPr>
        <w:tab/>
      </w:r>
      <w:r>
        <w:rPr>
          <w:rFonts w:ascii="Times New Roman" w:cs="Times New Roman" w:eastAsia="Times New Roman" w:hAnsi="Times New Roman"/>
          <w:sz w:val="15"/>
          <w:szCs w:val="15"/>
          <w:b w:val="1"/>
          <w:bCs w:val="1"/>
          <w:color w:val="auto"/>
        </w:rPr>
        <w:t>INTANGIBLE ASSETS,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Acquired intangible assets consisted of the following as of December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160" w:type="dxa"/>
            <w:vAlign w:val="bottom"/>
          </w:tcPr>
          <w:p>
            <w:pPr>
              <w:spacing w:after="0"/>
              <w:rPr>
                <w:sz w:val="18"/>
                <w:szCs w:val="18"/>
                <w:color w:val="auto"/>
              </w:rPr>
            </w:pPr>
          </w:p>
        </w:tc>
        <w:tc>
          <w:tcPr>
            <w:tcW w:w="344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89"/>
        </w:trPr>
        <w:tc>
          <w:tcPr>
            <w:tcW w:w="2960" w:type="dxa"/>
            <w:vAlign w:val="bottom"/>
          </w:tcPr>
          <w:p>
            <w:pPr>
              <w:spacing w:after="0"/>
              <w:rPr>
                <w:sz w:val="16"/>
                <w:szCs w:val="16"/>
                <w:color w:val="auto"/>
              </w:rPr>
            </w:pPr>
          </w:p>
        </w:tc>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24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00" w:type="dxa"/>
            <w:vAlign w:val="bottom"/>
          </w:tcPr>
          <w:p>
            <w:pPr>
              <w:spacing w:after="0"/>
              <w:rPr>
                <w:sz w:val="16"/>
                <w:szCs w:val="16"/>
                <w:color w:val="auto"/>
              </w:rPr>
            </w:pPr>
          </w:p>
        </w:tc>
        <w:tc>
          <w:tcPr>
            <w:tcW w:w="1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26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Net carrying</w:t>
            </w: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technology</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10,675</w:t>
            </w: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100" w:type="dxa"/>
            <w:vAlign w:val="bottom"/>
            <w:shd w:val="clear" w:color="auto" w:fill="CCEEFF"/>
          </w:tcPr>
          <w:p>
            <w:pPr>
              <w:spacing w:after="0"/>
              <w:rPr>
                <w:sz w:val="17"/>
                <w:szCs w:val="17"/>
                <w:color w:val="auto"/>
              </w:rPr>
            </w:pP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1,548</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(1,548)</w:t>
            </w: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1,526</w:t>
            </w:r>
          </w:p>
        </w:tc>
        <w:tc>
          <w:tcPr>
            <w:tcW w:w="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(1,216)</w:t>
            </w:r>
          </w:p>
        </w:tc>
        <w:tc>
          <w:tcPr>
            <w:tcW w:w="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w:t>
            </w:r>
          </w:p>
        </w:tc>
      </w:tr>
      <w:tr>
        <w:trPr>
          <w:trHeight w:val="20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names</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1,279</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7"/>
                <w:szCs w:val="17"/>
                <w:color w:val="auto"/>
              </w:rPr>
            </w:pPr>
          </w:p>
        </w:tc>
      </w:tr>
      <w:tr>
        <w:trPr>
          <w:trHeight w:val="19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Assembled workforce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(3,575)</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7"/>
                <w:szCs w:val="17"/>
                <w:color w:val="auto"/>
              </w:rPr>
            </w:pPr>
          </w:p>
        </w:tc>
      </w:tr>
      <w:tr>
        <w:trPr>
          <w:trHeight w:val="24"/>
        </w:trPr>
        <w:tc>
          <w:tcPr>
            <w:tcW w:w="2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(8,928)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7,129</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19,055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(9,389)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10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expenses for the years ended December 31, 2025, 2024 and 2023, were $2,861, $7,899 and $7,652,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amortization expenses of intangible assets as of December 31, 2025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6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shd w:val="clear" w:color="auto" w:fill="CCEEFF"/>
          </w:tcPr>
          <w:p>
            <w:pPr>
              <w:spacing w:after="0"/>
              <w:rPr>
                <w:sz w:val="17"/>
                <w:szCs w:val="17"/>
                <w:color w:val="auto"/>
              </w:rPr>
            </w:pPr>
          </w:p>
        </w:tc>
      </w:tr>
      <w:tr>
        <w:trPr>
          <w:trHeight w:val="19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Pr>
          <w:p>
            <w:pPr>
              <w:spacing w:after="0"/>
              <w:rPr>
                <w:sz w:val="17"/>
                <w:szCs w:val="17"/>
                <w:color w:val="auto"/>
              </w:rPr>
            </w:pPr>
          </w:p>
        </w:tc>
      </w:tr>
      <w:tr>
        <w:trPr>
          <w:trHeight w:val="20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6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7"/>
                <w:szCs w:val="17"/>
                <w:color w:val="auto"/>
              </w:rPr>
            </w:pPr>
          </w:p>
        </w:tc>
      </w:tr>
      <w:tr>
        <w:trPr>
          <w:trHeight w:val="20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7"/>
                <w:szCs w:val="17"/>
                <w:color w:val="auto"/>
              </w:rPr>
            </w:pPr>
          </w:p>
        </w:tc>
      </w:tr>
      <w:tr>
        <w:trPr>
          <w:trHeight w:val="199"/>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6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7"/>
                <w:szCs w:val="17"/>
                <w:color w:val="auto"/>
              </w:rPr>
            </w:pPr>
          </w:p>
        </w:tc>
      </w:tr>
      <w:tr>
        <w:trPr>
          <w:trHeight w:val="20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7"/>
                <w:szCs w:val="17"/>
                <w:color w:val="auto"/>
              </w:rPr>
            </w:pPr>
          </w:p>
        </w:tc>
      </w:tr>
      <w:tr>
        <w:trPr>
          <w:trHeight w:val="240"/>
        </w:trPr>
        <w:tc>
          <w:tcPr>
            <w:tcW w:w="280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68"/>
        </w:trPr>
        <w:tc>
          <w:tcPr>
            <w:tcW w:w="2800" w:type="dxa"/>
            <w:vAlign w:val="bottom"/>
          </w:tcPr>
          <w:p>
            <w:pPr>
              <w:spacing w:after="0"/>
              <w:rPr>
                <w:sz w:val="24"/>
                <w:szCs w:val="24"/>
                <w:color w:val="auto"/>
              </w:rPr>
            </w:pPr>
          </w:p>
        </w:tc>
        <w:tc>
          <w:tcPr>
            <w:tcW w:w="6720" w:type="dxa"/>
            <w:vAlign w:val="bottom"/>
            <w:gridSpan w:val="2"/>
          </w:tcPr>
          <w:p>
            <w:pPr>
              <w:jc w:val="right"/>
              <w:ind w:right="4100"/>
              <w:spacing w:after="0"/>
              <w:rPr>
                <w:sz w:val="20"/>
                <w:szCs w:val="20"/>
                <w:color w:val="auto"/>
              </w:rPr>
            </w:pPr>
            <w:r>
              <w:rPr>
                <w:rFonts w:ascii="Times New Roman" w:cs="Times New Roman" w:eastAsia="Times New Roman" w:hAnsi="Times New Roman"/>
                <w:sz w:val="16"/>
                <w:szCs w:val="16"/>
                <w:color w:val="auto"/>
              </w:rPr>
              <w:t>F - 36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2800" w:type="dxa"/>
            <w:vAlign w:val="bottom"/>
            <w:tcBorders>
              <w:bottom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60" w:type="dxa"/>
            <w:vAlign w:val="bottom"/>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w w:val="99"/>
              </w:rPr>
              <w:t>SOLAREDGE TECHNOLOGIES INC.</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9160" w:type="dxa"/>
            <w:vAlign w:val="bottom"/>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w w:val="99"/>
              </w:rPr>
              <w:t>NOTES TO CONSOLIDATED FINANCIAL STATEMENTS (Cont.)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9160" w:type="dxa"/>
            <w:vAlign w:val="bottom"/>
          </w:tcPr>
          <w:p>
            <w:pPr>
              <w:jc w:val="center"/>
              <w:ind w:left="1040"/>
              <w:spacing w:after="0"/>
              <w:rPr>
                <w:sz w:val="20"/>
                <w:szCs w:val="20"/>
                <w:color w:val="auto"/>
              </w:rPr>
            </w:pPr>
            <w:r>
              <w:rPr>
                <w:rFonts w:ascii="Times New Roman" w:cs="Times New Roman" w:eastAsia="Times New Roman" w:hAnsi="Times New Roman"/>
                <w:sz w:val="16"/>
                <w:szCs w:val="16"/>
                <w:color w:val="auto"/>
                <w:w w:val="99"/>
              </w:rPr>
              <w:t>(in thousands, except per share data)</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6"/>
        </w:trPr>
        <w:tc>
          <w:tcPr>
            <w:tcW w:w="9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10:   GOODWILL</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7"/>
        </w:trPr>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summarizes the goodwill activity for the years ended December 31, 2025, and 2024:</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at December 31, 2023</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42,996</w:t>
            </w:r>
          </w:p>
        </w:tc>
        <w:tc>
          <w:tcPr>
            <w:tcW w:w="100" w:type="dxa"/>
            <w:vAlign w:val="bottom"/>
            <w:shd w:val="clear" w:color="auto" w:fill="CCEEFF"/>
          </w:tcPr>
          <w:p>
            <w:pPr>
              <w:spacing w:after="0"/>
              <w:rPr>
                <w:sz w:val="17"/>
                <w:szCs w:val="17"/>
                <w:color w:val="auto"/>
              </w:rPr>
            </w:pPr>
          </w:p>
        </w:tc>
      </w:tr>
      <w:tr>
        <w:trPr>
          <w:trHeight w:val="200"/>
        </w:trPr>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Changes during the year: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shd w:val="clear" w:color="auto" w:fill="CCEEFF"/>
          </w:tcPr>
          <w:p>
            <w:pPr>
              <w:spacing w:after="0"/>
              <w:rPr>
                <w:sz w:val="17"/>
                <w:szCs w:val="17"/>
                <w:color w:val="auto"/>
              </w:rPr>
            </w:pPr>
          </w:p>
        </w:tc>
      </w:tr>
      <w:tr>
        <w:trPr>
          <w:trHeight w:val="200"/>
        </w:trPr>
        <w:tc>
          <w:tcPr>
            <w:tcW w:w="9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losses</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(2,251)</w:t>
            </w:r>
          </w:p>
        </w:tc>
      </w:tr>
      <w:tr>
        <w:trPr>
          <w:trHeight w:val="224"/>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(3,709)</w:t>
            </w:r>
          </w:p>
        </w:tc>
      </w:tr>
      <w:tr>
        <w:trPr>
          <w:trHeight w:val="203"/>
        </w:trPr>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Goodwill at December 31, 2024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48,380</w:t>
            </w:r>
          </w:p>
        </w:tc>
        <w:tc>
          <w:tcPr>
            <w:tcW w:w="100" w:type="dxa"/>
            <w:vAlign w:val="bottom"/>
          </w:tcPr>
          <w:p>
            <w:pPr>
              <w:spacing w:after="0"/>
              <w:rPr>
                <w:sz w:val="17"/>
                <w:szCs w:val="17"/>
                <w:color w:val="auto"/>
              </w:rPr>
            </w:pPr>
          </w:p>
        </w:tc>
      </w:tr>
      <w:tr>
        <w:trPr>
          <w:trHeight w:val="20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during the year:</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9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17"/>
                <w:szCs w:val="17"/>
                <w:color w:val="auto"/>
              </w:rPr>
            </w:pPr>
          </w:p>
        </w:tc>
      </w:tr>
      <w:tr>
        <w:trPr>
          <w:trHeight w:val="239"/>
        </w:trPr>
        <w:tc>
          <w:tcPr>
            <w:tcW w:w="9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at December 31, 2025</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Following the sale of Automation Machines and the discontinuation of the Company's Energy Storage activity in 2024, the Company operates as one operating segment that constitutes consolidated results. The Company recast its comparative numbers to conform to current period presentation.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and December 31, 2024 there were $92,355 accumulated goodwill impairment losses.</w:t>
      </w:r>
    </w:p>
    <w:p>
      <w:pPr>
        <w:spacing w:after="0" w:line="1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 TERM ASSETS</w:t>
            </w: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4"/>
        </w:trPr>
        <w:tc>
          <w:tcPr>
            <w:tcW w:w="8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made before lease commencement</w:t>
            </w:r>
          </w:p>
        </w:tc>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Cloud computing arrangements</w:t>
            </w: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29,366</w:t>
            </w:r>
          </w:p>
        </w:tc>
      </w:tr>
      <w:tr>
        <w:trPr>
          <w:trHeight w:val="20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privately held companies</w:t>
            </w:r>
          </w:p>
        </w:tc>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20,976</w:t>
            </w:r>
          </w:p>
        </w:tc>
      </w:tr>
      <w:tr>
        <w:trPr>
          <w:trHeight w:val="199"/>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Severance pay fund</w:t>
            </w: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9,185</w:t>
            </w:r>
          </w:p>
        </w:tc>
      </w:tr>
      <w:tr>
        <w:trPr>
          <w:trHeight w:val="20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5,209</w:t>
            </w:r>
          </w:p>
        </w:tc>
      </w:tr>
      <w:tr>
        <w:trPr>
          <w:trHeight w:val="24"/>
        </w:trPr>
        <w:tc>
          <w:tcPr>
            <w:tcW w:w="84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long term assets</w:t>
            </w:r>
          </w:p>
        </w:tc>
        <w:tc>
          <w:tcPr>
            <w:tcW w:w="4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67,566</w:t>
            </w:r>
          </w:p>
        </w:tc>
        <w:tc>
          <w:tcPr>
            <w:tcW w:w="2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64,736</w:t>
            </w:r>
          </w:p>
        </w:tc>
      </w:tr>
      <w:tr>
        <w:trPr>
          <w:trHeight w:val="20"/>
        </w:trPr>
        <w:tc>
          <w:tcPr>
            <w:tcW w:w="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8"/>
        </w:trPr>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60" w:type="dxa"/>
            <w:vAlign w:val="bottom"/>
            <w:gridSpan w:val="2"/>
          </w:tcPr>
          <w:p>
            <w:pPr>
              <w:jc w:val="right"/>
              <w:ind w:right="2720"/>
              <w:spacing w:after="0"/>
              <w:rPr>
                <w:sz w:val="20"/>
                <w:szCs w:val="20"/>
                <w:color w:val="auto"/>
              </w:rPr>
            </w:pPr>
            <w:r>
              <w:rPr>
                <w:rFonts w:ascii="Times New Roman" w:cs="Times New Roman" w:eastAsia="Times New Roman" w:hAnsi="Times New Roman"/>
                <w:sz w:val="16"/>
                <w:szCs w:val="16"/>
                <w:color w:val="auto"/>
              </w:rPr>
              <w:t>F - 38</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8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12:</w:t>
      </w:r>
      <w:r>
        <w:rPr>
          <w:sz w:val="20"/>
          <w:szCs w:val="20"/>
          <w:color w:val="auto"/>
        </w:rPr>
        <w:tab/>
      </w:r>
      <w:r>
        <w:rPr>
          <w:rFonts w:ascii="Times New Roman" w:cs="Times New Roman" w:eastAsia="Times New Roman" w:hAnsi="Times New Roman"/>
          <w:sz w:val="15"/>
          <w:szCs w:val="15"/>
          <w:b w:val="1"/>
          <w:bCs w:val="1"/>
          <w:color w:val="auto"/>
        </w:rPr>
        <w:t>DERIVATIVE INSTRUMENTS AND HEDGING ACTIVITIES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 entered into put and call options to sell USD in the amount of NIS 99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outstanding derivative instruments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r>
      <w:tr>
        <w:trPr>
          <w:trHeight w:val="20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assets of options and forward contracts:</w:t>
            </w:r>
          </w:p>
        </w:tc>
        <w:tc>
          <w:tcPr>
            <w:tcW w:w="6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Designated cash flow hedges</w:t>
            </w:r>
          </w:p>
        </w:tc>
        <w:tc>
          <w:tcPr>
            <w:tcW w:w="6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705</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1,262</w:t>
            </w:r>
          </w:p>
        </w:tc>
      </w:tr>
      <w:tr>
        <w:trPr>
          <w:trHeight w:val="390"/>
        </w:trPr>
        <w:tc>
          <w:tcPr>
            <w:tcW w:w="6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Gains (losses) on derivative instruments are summarized below:</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0"/>
        </w:trPr>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Affected line item</w:t>
            </w:r>
          </w:p>
        </w:tc>
        <w:tc>
          <w:tcPr>
            <w:tcW w:w="22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7"/>
                <w:szCs w:val="17"/>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620" w:type="dxa"/>
            <w:vAlign w:val="bottom"/>
            <w:tcBorders>
              <w:top w:val="single" w:sz="8" w:color="auto"/>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1"/>
        </w:trPr>
        <w:tc>
          <w:tcPr>
            <w:tcW w:w="3280" w:type="dxa"/>
            <w:vAlign w:val="bottom"/>
          </w:tcPr>
          <w:p>
            <w:pPr>
              <w:spacing w:after="0"/>
              <w:rPr>
                <w:sz w:val="16"/>
                <w:szCs w:val="16"/>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Consolidated Statements of Income (loss) -</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 Designated Hedging Instruments</w:t>
            </w:r>
          </w:p>
        </w:tc>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income (expense), net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(2,967)</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802</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2,337</w:t>
            </w:r>
          </w:p>
        </w:tc>
      </w:tr>
      <w:tr>
        <w:trPr>
          <w:trHeight w:val="191"/>
        </w:trPr>
        <w:tc>
          <w:tcPr>
            <w:tcW w:w="3280" w:type="dxa"/>
            <w:vAlign w:val="bottom"/>
            <w:shd w:val="clear" w:color="auto" w:fill="CCEEFF"/>
          </w:tcPr>
          <w:p>
            <w:pPr>
              <w:spacing w:after="0"/>
              <w:rPr>
                <w:sz w:val="16"/>
                <w:szCs w:val="16"/>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Comprehensive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Hedging Instruments</w:t>
            </w: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 Cash flow hedges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7,641</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(1,990)</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21 for information regarding gains (losses) from designated hedging instruments reclassified from accumulated other comprehensive loss.</w:t>
      </w:r>
    </w:p>
    <w:p>
      <w:pPr>
        <w:spacing w:after="0" w:line="19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13:</w:t>
      </w:r>
      <w:r>
        <w:rPr>
          <w:sz w:val="20"/>
          <w:szCs w:val="20"/>
          <w:color w:val="auto"/>
        </w:rPr>
        <w:tab/>
      </w:r>
      <w:r>
        <w:rPr>
          <w:rFonts w:ascii="Times New Roman" w:cs="Times New Roman" w:eastAsia="Times New Roman" w:hAnsi="Times New Roman"/>
          <w:sz w:val="15"/>
          <w:szCs w:val="15"/>
          <w:b w:val="1"/>
          <w:bCs w:val="1"/>
          <w:color w:val="auto"/>
        </w:rPr>
        <w:t>FAIR VALUE MEASUREMENTS</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accordance with ASC 820, the Company measures its cash equivalents and marketable securities, at fair value using the market approach valuation technique. Cash and cash equivalents and restricted cash are classified within Level 1 because these assets are valued using quoted market prices. Marketable securities and foreign currency derivative contracts are classified within level 2 due to these assets being valued by alternative pricing sources and models utilizing market observable inputs.</w:t>
      </w:r>
    </w:p>
    <w:p>
      <w:pPr>
        <w:spacing w:after="0" w:line="1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following table sets forth the Company’s assets that were measured at fair value as of December 31, 2025 and December 31, 2024 by level within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Fair value measurements as of</w:t>
            </w:r>
          </w:p>
        </w:tc>
      </w:tr>
      <w:tr>
        <w:trPr>
          <w:trHeight w:val="189"/>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r>
      <w:tr>
        <w:trPr>
          <w:trHeight w:val="216"/>
        </w:trPr>
        <w:tc>
          <w:tcPr>
            <w:tcW w:w="6760" w:type="dxa"/>
            <w:vAlign w:val="bottom"/>
          </w:tcPr>
          <w:p>
            <w:pPr>
              <w:ind w:left="29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Hierarchy</w:t>
            </w:r>
          </w:p>
        </w:tc>
        <w:tc>
          <w:tcPr>
            <w:tcW w:w="100" w:type="dxa"/>
            <w:vAlign w:val="bottom"/>
          </w:tcPr>
          <w:p>
            <w:pPr>
              <w:spacing w:after="0"/>
              <w:rPr>
                <w:sz w:val="18"/>
                <w:szCs w:val="18"/>
                <w:color w:val="auto"/>
              </w:rPr>
            </w:pPr>
          </w:p>
        </w:tc>
        <w:tc>
          <w:tcPr>
            <w:tcW w:w="94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312,539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239,020</w:t>
            </w:r>
          </w:p>
        </w:tc>
      </w:tr>
      <w:tr>
        <w:trPr>
          <w:trHeight w:val="199"/>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Money market mutual funds</w:t>
            </w: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8,315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21,075</w:t>
            </w:r>
          </w:p>
        </w:tc>
      </w:tr>
      <w:tr>
        <w:trPr>
          <w:trHeight w:val="20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134,221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14,516</w:t>
            </w: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84,771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135,328</w:t>
            </w:r>
          </w:p>
        </w:tc>
      </w:tr>
      <w:tr>
        <w:trPr>
          <w:trHeight w:val="19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1,262</w:t>
            </w: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36,601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289,856</w:t>
            </w:r>
          </w:p>
        </w:tc>
      </w:tr>
      <w:tr>
        <w:trPr>
          <w:trHeight w:val="199"/>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12,594</w:t>
            </w:r>
          </w:p>
        </w:tc>
      </w:tr>
      <w:tr>
        <w:trPr>
          <w:trHeight w:val="20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8,829</w:t>
            </w: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36,241</w:t>
            </w:r>
          </w:p>
        </w:tc>
      </w:tr>
      <w:tr>
        <w:trPr>
          <w:trHeight w:val="214"/>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Pr>
          <w:p>
            <w:pPr>
              <w:spacing w:after="0"/>
              <w:rPr>
                <w:sz w:val="18"/>
                <w:szCs w:val="18"/>
                <w:color w:val="auto"/>
              </w:rPr>
            </w:pPr>
          </w:p>
        </w:tc>
      </w:tr>
    </w:tbl>
    <w:p>
      <w:pPr>
        <w:spacing w:after="0" w:line="17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In addition to assets and liabilities that are recorded at fair value on a recurring basis, impairment indicators may subject goodwill and long-lived assets to nonrecurring fair value measurements.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14:</w:t>
      </w:r>
      <w:r>
        <w:rPr>
          <w:sz w:val="20"/>
          <w:szCs w:val="20"/>
          <w:color w:val="auto"/>
        </w:rPr>
        <w:tab/>
      </w:r>
      <w:r>
        <w:rPr>
          <w:rFonts w:ascii="Times New Roman" w:cs="Times New Roman" w:eastAsia="Times New Roman" w:hAnsi="Times New Roman"/>
          <w:sz w:val="15"/>
          <w:szCs w:val="15"/>
          <w:b w:val="1"/>
          <w:bCs w:val="1"/>
          <w:color w:val="auto"/>
        </w:rPr>
        <w:t>WARRANTY OBLIGATIONS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Company’s product warranty obligations for the years ended December 31, 2025, 2024 and 2023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6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518,244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385,057</w:t>
            </w:r>
          </w:p>
        </w:tc>
        <w:tc>
          <w:tcPr>
            <w:tcW w:w="100" w:type="dxa"/>
            <w:vAlign w:val="bottom"/>
            <w:shd w:val="clear" w:color="auto" w:fill="CCEEFF"/>
          </w:tcPr>
          <w:p>
            <w:pPr>
              <w:spacing w:after="0"/>
              <w:rPr>
                <w:sz w:val="17"/>
                <w:szCs w:val="17"/>
                <w:color w:val="auto"/>
              </w:rPr>
            </w:pP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Accruals for warranty during the period</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69,713</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60,137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250,266</w:t>
            </w: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estimates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(26,506)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(5,345)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20,017</w:t>
            </w:r>
          </w:p>
        </w:tc>
      </w:tr>
      <w:tr>
        <w:trPr>
          <w:trHeight w:val="204"/>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Settlements</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(117,683)</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(140,671)</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(137,096)</w:t>
            </w:r>
          </w:p>
        </w:tc>
      </w:tr>
      <w:tr>
        <w:trPr>
          <w:trHeight w:val="19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period</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357,889</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432,365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518,244</w:t>
            </w:r>
          </w:p>
        </w:tc>
        <w:tc>
          <w:tcPr>
            <w:tcW w:w="100" w:type="dxa"/>
            <w:vAlign w:val="bottom"/>
            <w:shd w:val="clear" w:color="auto" w:fill="CCEEFF"/>
          </w:tcPr>
          <w:p>
            <w:pPr>
              <w:spacing w:after="0"/>
              <w:rPr>
                <w:sz w:val="17"/>
                <w:szCs w:val="17"/>
                <w:color w:val="auto"/>
              </w:rPr>
            </w:pPr>
          </w:p>
        </w:tc>
      </w:tr>
      <w:tr>
        <w:trPr>
          <w:trHeight w:val="204"/>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(89,330)</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(140,249)</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(183,047)</w:t>
            </w:r>
          </w:p>
        </w:tc>
      </w:tr>
      <w:tr>
        <w:trPr>
          <w:trHeight w:val="240"/>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268,559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292,116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15:</w:t>
      </w:r>
      <w:r>
        <w:rPr>
          <w:sz w:val="20"/>
          <w:szCs w:val="20"/>
          <w:color w:val="auto"/>
        </w:rPr>
        <w:tab/>
      </w:r>
      <w:r>
        <w:rPr>
          <w:rFonts w:ascii="Times New Roman" w:cs="Times New Roman" w:eastAsia="Times New Roman" w:hAnsi="Times New Roman"/>
          <w:sz w:val="15"/>
          <w:szCs w:val="15"/>
          <w:b w:val="1"/>
          <w:bCs w:val="1"/>
          <w:color w:val="auto"/>
        </w:rPr>
        <w:t>DEFERRED REVENUES AND CUSTOMERS ADVANCES</w:t>
      </w:r>
    </w:p>
    <w:p>
      <w:pPr>
        <w:spacing w:after="0" w:line="2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Deferred revenues and customer advances consist of deferred cloud-based monitoring services, communication services, warranty extension services and advance payments received from customers for the Company’s products and other services. Deferred revenues and customer advances are classified as short-term and long-term deferred revenues and customer advances based on the period in which revenues are expected to be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changes in the balances of deferred revenue and customer advances during the period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6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255,443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213,577</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(138,587)</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(41,035)</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(29,650)</w:t>
            </w: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deferred revenues and customer advances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130,367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157,511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71,516</w:t>
            </w:r>
          </w:p>
        </w:tc>
      </w:tr>
      <w:tr>
        <w:trPr>
          <w:trHeight w:val="24"/>
        </w:trPr>
        <w:tc>
          <w:tcPr>
            <w:tcW w:w="6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255,443</w:t>
            </w: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(70,371)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(140,870)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(40,836)</w:t>
            </w:r>
          </w:p>
        </w:tc>
      </w:tr>
      <w:tr>
        <w:trPr>
          <w:trHeight w:val="24"/>
        </w:trPr>
        <w:tc>
          <w:tcPr>
            <w:tcW w:w="6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293,328</w:t>
            </w:r>
          </w:p>
        </w:tc>
        <w:tc>
          <w:tcPr>
            <w:tcW w:w="20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231,049</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214,607</w:t>
            </w:r>
          </w:p>
        </w:tc>
      </w:tr>
      <w:tr>
        <w:trPr>
          <w:trHeight w:val="20"/>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table includes estimated revenues expected to be recognized in the future related to performance obligations that are unsatisfied (or partially unsatisfied) as of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6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70,371</w:t>
            </w:r>
          </w:p>
        </w:tc>
        <w:tc>
          <w:tcPr>
            <w:tcW w:w="100" w:type="dxa"/>
            <w:vAlign w:val="bottom"/>
            <w:shd w:val="clear" w:color="auto" w:fill="CCEEFF"/>
          </w:tcPr>
          <w:p>
            <w:pPr>
              <w:spacing w:after="0"/>
              <w:rPr>
                <w:sz w:val="17"/>
                <w:szCs w:val="17"/>
                <w:color w:val="auto"/>
              </w:rPr>
            </w:pPr>
          </w:p>
        </w:tc>
      </w:tr>
      <w:tr>
        <w:trPr>
          <w:trHeight w:val="20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26,189</w:t>
            </w:r>
          </w:p>
        </w:tc>
        <w:tc>
          <w:tcPr>
            <w:tcW w:w="100" w:type="dxa"/>
            <w:vAlign w:val="bottom"/>
          </w:tcPr>
          <w:p>
            <w:pPr>
              <w:spacing w:after="0"/>
              <w:rPr>
                <w:sz w:val="17"/>
                <w:szCs w:val="17"/>
                <w:color w:val="auto"/>
              </w:rPr>
            </w:pPr>
          </w:p>
        </w:tc>
      </w:tr>
      <w:tr>
        <w:trPr>
          <w:trHeight w:val="19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25,168</w:t>
            </w:r>
          </w:p>
        </w:tc>
        <w:tc>
          <w:tcPr>
            <w:tcW w:w="100" w:type="dxa"/>
            <w:vAlign w:val="bottom"/>
            <w:shd w:val="clear" w:color="auto" w:fill="CCEEFF"/>
          </w:tcPr>
          <w:p>
            <w:pPr>
              <w:spacing w:after="0"/>
              <w:rPr>
                <w:sz w:val="17"/>
                <w:szCs w:val="17"/>
                <w:color w:val="auto"/>
              </w:rPr>
            </w:pPr>
          </w:p>
        </w:tc>
      </w:tr>
      <w:tr>
        <w:trPr>
          <w:trHeight w:val="20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21,565</w:t>
            </w:r>
          </w:p>
        </w:tc>
        <w:tc>
          <w:tcPr>
            <w:tcW w:w="100" w:type="dxa"/>
            <w:vAlign w:val="bottom"/>
          </w:tcPr>
          <w:p>
            <w:pPr>
              <w:spacing w:after="0"/>
              <w:rPr>
                <w:sz w:val="17"/>
                <w:szCs w:val="17"/>
                <w:color w:val="auto"/>
              </w:rPr>
            </w:pPr>
          </w:p>
        </w:tc>
      </w:tr>
      <w:tr>
        <w:trPr>
          <w:trHeight w:val="20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5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14,778</w:t>
            </w: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205,628</w:t>
            </w:r>
          </w:p>
        </w:tc>
        <w:tc>
          <w:tcPr>
            <w:tcW w:w="100" w:type="dxa"/>
            <w:vAlign w:val="bottom"/>
          </w:tcPr>
          <w:p>
            <w:pPr>
              <w:spacing w:after="0"/>
              <w:rPr>
                <w:sz w:val="17"/>
                <w:szCs w:val="17"/>
                <w:color w:val="auto"/>
              </w:rPr>
            </w:pPr>
          </w:p>
        </w:tc>
      </w:tr>
      <w:tr>
        <w:trPr>
          <w:trHeight w:val="240"/>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revenues</w:t>
            </w:r>
          </w:p>
        </w:tc>
        <w:tc>
          <w:tcPr>
            <w:tcW w:w="5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363,699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68"/>
        </w:trPr>
        <w:tc>
          <w:tcPr>
            <w:tcW w:w="3220" w:type="dxa"/>
            <w:vAlign w:val="bottom"/>
          </w:tcPr>
          <w:p>
            <w:pPr>
              <w:spacing w:after="0"/>
              <w:rPr>
                <w:sz w:val="24"/>
                <w:szCs w:val="24"/>
                <w:color w:val="auto"/>
              </w:rPr>
            </w:pPr>
          </w:p>
        </w:tc>
        <w:tc>
          <w:tcPr>
            <w:tcW w:w="6220" w:type="dxa"/>
            <w:vAlign w:val="bottom"/>
            <w:gridSpan w:val="2"/>
          </w:tcPr>
          <w:p>
            <w:pPr>
              <w:jc w:val="right"/>
              <w:ind w:right="4020"/>
              <w:spacing w:after="0"/>
              <w:rPr>
                <w:sz w:val="20"/>
                <w:szCs w:val="20"/>
                <w:color w:val="auto"/>
              </w:rPr>
            </w:pPr>
            <w:r>
              <w:rPr>
                <w:rFonts w:ascii="Times New Roman" w:cs="Times New Roman" w:eastAsia="Times New Roman" w:hAnsi="Times New Roman"/>
                <w:sz w:val="16"/>
                <w:szCs w:val="16"/>
                <w:color w:val="auto"/>
              </w:rPr>
              <w:t>F - 41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16:</w:t>
            </w:r>
          </w:p>
        </w:tc>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8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211,136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Government authorities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51,705</w:t>
            </w:r>
          </w:p>
        </w:tc>
        <w:tc>
          <w:tcPr>
            <w:tcW w:w="0" w:type="dxa"/>
            <w:vAlign w:val="bottom"/>
          </w:tcPr>
          <w:p>
            <w:pPr>
              <w:spacing w:after="0"/>
              <w:rPr>
                <w:sz w:val="1"/>
                <w:szCs w:val="1"/>
                <w:color w:val="auto"/>
              </w:rPr>
            </w:pP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11,861</w:t>
            </w:r>
          </w:p>
        </w:tc>
        <w:tc>
          <w:tcPr>
            <w:tcW w:w="0" w:type="dxa"/>
            <w:vAlign w:val="bottom"/>
          </w:tcPr>
          <w:p>
            <w:pPr>
              <w:spacing w:after="0"/>
              <w:rPr>
                <w:sz w:val="1"/>
                <w:szCs w:val="1"/>
                <w:color w:val="auto"/>
              </w:rPr>
            </w:pPr>
          </w:p>
        </w:tc>
      </w:tr>
      <w:tr>
        <w:trPr>
          <w:trHeight w:val="199"/>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Accrual for sales incentives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11,671</w:t>
            </w:r>
          </w:p>
        </w:tc>
        <w:tc>
          <w:tcPr>
            <w:tcW w:w="0" w:type="dxa"/>
            <w:vAlign w:val="bottom"/>
          </w:tcPr>
          <w:p>
            <w:pPr>
              <w:spacing w:after="0"/>
              <w:rPr>
                <w:sz w:val="1"/>
                <w:szCs w:val="1"/>
                <w:color w:val="auto"/>
              </w:rPr>
            </w:pPr>
          </w:p>
        </w:tc>
      </w:tr>
      <w:tr>
        <w:trPr>
          <w:trHeight w:val="20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legal claims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84"/>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3,792</w:t>
            </w:r>
          </w:p>
        </w:tc>
        <w:tc>
          <w:tcPr>
            <w:tcW w:w="0" w:type="dxa"/>
            <w:vAlign w:val="bottom"/>
          </w:tcPr>
          <w:p>
            <w:pPr>
              <w:spacing w:after="0"/>
              <w:rPr>
                <w:sz w:val="1"/>
                <w:szCs w:val="1"/>
                <w:color w:val="auto"/>
              </w:rPr>
            </w:pPr>
          </w:p>
        </w:tc>
      </w:tr>
      <w:tr>
        <w:trPr>
          <w:trHeight w:val="24"/>
        </w:trPr>
        <w:tc>
          <w:tcPr>
            <w:tcW w:w="84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297,819</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246,078</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17:</w:t>
            </w: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CONVERTIBLE SENIOR NOTES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40" w:type="dxa"/>
            <w:vAlign w:val="bottom"/>
            <w:vMerge w:val="continue"/>
          </w:tcPr>
          <w:p>
            <w:pPr>
              <w:spacing w:after="0"/>
              <w:rPr>
                <w:sz w:val="24"/>
                <w:szCs w:val="24"/>
                <w:color w:val="auto"/>
              </w:rPr>
            </w:pPr>
          </w:p>
        </w:tc>
        <w:tc>
          <w:tcPr>
            <w:tcW w:w="7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September 25, 2020, the Company sold an aggregate principal amount of $632,500 of its 0.00% convertible senior notes, due 2025 (the “Notes 2025”). The Notes 2025 were sold pursuant to an indenture, dated September 25, 2020 (the “Indenture”), between the Company and U.S. Bank National Association, as trustee. The Notes 2025 did not bear regular interest and matured on September 15, 2025. The Notes 2025 were general senior unsecured obligations of the Company. The initial conversion rate for the Notes 2025 was 3.5997 shares of common stock per $1,000 principal amount of Notes 2025, which was equivalent to an initial conversion price of approximately $277.80 per share of common stock, subject to adjustment upon the occurrence of certain specified events as set forth in the Indenture. In March 2025 the Company repurchased $5,250 principal amount of its Notes 2025. The Company recorded a net gain of $146, under other income, net, from the repurchase. The Company settled all of its remaining Notes 2025 on September 15, 2025. As part of the settlement, the Company paid $342,250 in cash towards principal amount of the Notes 2025 and no shares were issued in connection with the settlement as the conversion value was less than the principal amount of the Notes 2025. Following the settlement, there were no Notes 2025 outstanding as of December 31, 2025.</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June 28, 2024, the Company sold an aggregate principal amount of $300,000 of its 2.25% convertible senior notes, due in 2029 (the “Notes 2029”). The Notes 2029 were sold pursuant to an indenture, dated June 28, 2024 (the “Indenture 2029”), between the Company and U.S. Bank National Association, as trustee. The Notes 2029 will bear interest at a rate of 2.25% per year, payable semiannually in arrears on January 1 and July 1 of each year, beginning on January 1, 2025. The Notes 2029 mature on July 1, 2029, unless repurchased, redeemed or converted in accordance with their terms prior to such date. The Notes 2029 are general senior unsecured obligations of the Company. Holders may convert their Notes 2029 at any time prior to the close of business on the business day immediately preceding April 1, 2029 in multiples of $1,000 principal amount,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in which the trading price per $1,000 principal amount of the Notes 2029 for each trading day of that five consecutive trading day period was less than 98% of the product of the last reported sale price of the common stock and the conversion rate on each such trading day; or (3) upon the occurrence of specified corporate events or if the Company provides a notice of redemption as described in the Indenture 2029. In addition, holders may convert their Notes 2029, in multiples of $1,000 principal amount, at their option at any time beginning on or after April 1, 2029, and prior to the close of business on the second scheduled trading day immediately preceding the stated maturity date of the Notes 2029, without regard to the foregoing circumstances. The initial conversion rate for the Notes 2029 is 29.1375 shares of common stock per $1,000 principal amount of Notes 2029, which is equivalent to an initial conversion price of approximately $34.32 per share of common stock, subject to adjustment upon the occurrence of certain specified events as set forth in the Indenture 2029.</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Upon conversion, the Company may choose to pay or deliver, as the case may be, cash, shares of common stock or a combination of cash and shares of common stock.</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addition, upon the occurrence of a fundamental change (as defined in the Indenture 2029), holders of the Notes 2029 may require the Company to repurchase all or a portion of their Notes 2029, in multiples of $1,000 principal amounts, at a repurchase price of 100% of the principal amount of the Notes 2029, plus any accrued and unpaid interest, if any, up to, but not including, the repurchase date. If certain fundamental changes referred to as make-whole fundamental changes occur, the conversion rate for the Notes 2029 may be increased.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Notes 2029 are not redeemable prior to July 6, 2027. On or after July 6, 2027, the Company may redeem the Notes 2029 at its option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2029 to be redeemed, plus accrued and unpaid interest, if any, up to, but excluding, the redemption date.</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net proceeds from the offering of the Notes 2029 were approximately $293,200, after deducting fees and estimated expenses. Congruently, the Company has entered into capped call transactions (as detailed below). The Company used approximately $25,230 of the net proceeds from this offering to pay the cost of the capped call transactions. The Company also used approximately $267,900 of the net proceeds, from this offering, to repurchase $285,000 principal amount of its Notes 2025. In June 2024, the Company recorded under other income (loss), net a gain of $15,456 from the repurchase of Notes 2025.</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Company accounts for the Notes 2029 at amortized cost, as a single unit of account on the balance sheet. The carrying value of the liability is represented by the face amount of the Notes 2029, less debt issuance costs, adjusted for any amortization of issuance costs. Issuance costs are being amortized as interest expense over the term of the Notes 2029, using the effective interest rate method.</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capped call transactions are expected generally to reduce the potential dilution to the common stock upon any conversion of the Notes 2029 and/or offset any cash payments the Company is required to make in excess of the principal amount of converted Notes 2029, as the case may be, in the event that the market price per share of common stock, as measured under the terms of the capped call transactions, is greater than the strike price of the capped call transactions. The strike price initially corresponds to the conversion price of the Notes and is subject to customary anti-dilution adjustments. If, however, the market price per share of common stock exceeds $ 48.84, the initial cap price of the capped call transactions, there would nevertheless be unmitigated dilution and/or no offset of any cash payments, in each case, attributable to the amount by which the market price of the common stock exceeds the cap price. The cap price is subject to certain customary adjustments under the terms of the capped call transactions.</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capped call transactions are considered a freestanding instrument as they were entered into separately and apart from Notes 2029. In addition, the conversion or redemption of the Notes 2029 would not automatically result in the exercise of the capped call.</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As the capped call transactions are indexed to the Company's common stock, they were recorded as a reduction of additional paid-in capital in the consolidated balance sheets.</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July 8, 2024 the Company sold to Goldman Sachs &amp; Co. LLC, as representative of the several initial purchasers (the “Initial Purchasers”), and the Initial Purchasers purchased from the Company, $37,000 aggregate principal amount of additional Notes 2029. The additional Notes 2029 were sold pursuant to the Initial Purchasers’ exercise of the option granted by the Company to the Initial Purchasers to purchase additional Notes 2029, solely to cover over-allotments, under the purchase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1999pt"/>
            </w:pict>
          </mc:Fallback>
        </mc:AlternateContent>
      </w:r>
    </w:p>
    <w:p>
      <w:pPr>
        <w:sectPr>
          <w:pgSz w:w="11900" w:h="16840" w:orient="portrait"/>
          <w:cols w:equalWidth="0" w:num="1">
            <w:col w:w="10280"/>
          </w:cols>
          <w:pgMar w:left="820" w:top="699" w:right="804"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net proceeds from the exercise of the option granted by the Company to the Initial Purchasers of the Notes 2029 were approximately $36,237, after deducting fees and estimated expenses. Congruently, the Company has entered into additional capped call transactions. The Company used approximately $3,111 of the net proceeds from this offering to pay the cost of the additional capped call transactions. The Company intends to use the remainder of the net proceeds from the offering for general corporate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Convertible Senior Notes consisted of the following as of December 31, 2025 and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2025</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347,500</w:t>
            </w:r>
          </w:p>
        </w:tc>
        <w:tc>
          <w:tcPr>
            <w:tcW w:w="0" w:type="dxa"/>
            <w:vAlign w:val="bottom"/>
          </w:tcPr>
          <w:p>
            <w:pPr>
              <w:spacing w:after="0"/>
              <w:rPr>
                <w:sz w:val="1"/>
                <w:szCs w:val="1"/>
                <w:color w:val="auto"/>
              </w:rPr>
            </w:pPr>
          </w:p>
        </w:tc>
      </w:tr>
      <w:tr>
        <w:trPr>
          <w:trHeight w:val="20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4"/>
        </w:trPr>
        <w:tc>
          <w:tcPr>
            <w:tcW w:w="5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carrying amount Notes 2025</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346,305</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2029</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337,000</w:t>
            </w:r>
          </w:p>
        </w:tc>
        <w:tc>
          <w:tcPr>
            <w:tcW w:w="0" w:type="dxa"/>
            <w:vAlign w:val="bottom"/>
          </w:tcPr>
          <w:p>
            <w:pPr>
              <w:spacing w:after="0"/>
              <w:rPr>
                <w:sz w:val="1"/>
                <w:szCs w:val="1"/>
                <w:color w:val="auto"/>
              </w:rPr>
            </w:pPr>
          </w:p>
        </w:tc>
      </w:tr>
      <w:tr>
        <w:trPr>
          <w:trHeight w:val="20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(5,439)</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(6,994)</w:t>
            </w:r>
          </w:p>
        </w:tc>
        <w:tc>
          <w:tcPr>
            <w:tcW w:w="0" w:type="dxa"/>
            <w:vAlign w:val="bottom"/>
          </w:tcPr>
          <w:p>
            <w:pPr>
              <w:spacing w:after="0"/>
              <w:rPr>
                <w:sz w:val="1"/>
                <w:szCs w:val="1"/>
                <w:color w:val="auto"/>
              </w:rPr>
            </w:pPr>
          </w:p>
        </w:tc>
      </w:tr>
      <w:tr>
        <w:trPr>
          <w:trHeight w:val="24"/>
        </w:trPr>
        <w:tc>
          <w:tcPr>
            <w:tcW w:w="5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carrying amount Notes 2029</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330,006</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notes carrying amount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331,561</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676,311</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Costs related to the Notes 2025 and the Notes 2029 were as follows:</w:t>
            </w: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Notes 2025</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issuance cost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1,183</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2,930</w:t>
            </w:r>
          </w:p>
        </w:tc>
        <w:tc>
          <w:tcPr>
            <w:tcW w:w="0" w:type="dxa"/>
            <w:vAlign w:val="bottom"/>
          </w:tcPr>
          <w:p>
            <w:pPr>
              <w:spacing w:after="0"/>
              <w:rPr>
                <w:sz w:val="1"/>
                <w:szCs w:val="1"/>
                <w:color w:val="auto"/>
              </w:rPr>
            </w:pPr>
          </w:p>
        </w:tc>
      </w:tr>
      <w:tr>
        <w:trPr>
          <w:trHeight w:val="20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Notes 2029</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issuance cost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1,555</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7,583</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unamortized issuance costs of the Notes 2029 will be amortized over the remaining term of approximately 3.5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annual effective interest rate of the Notes 2029 is 2.75%.</w:t>
      </w:r>
    </w:p>
    <w:p>
      <w:pPr>
        <w:spacing w:after="0" w:line="2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As of December 31, 2025, the estimated fair value of the Notes 2029, which the Company has classified as Level 2 financial instruments, is $401,084. The estimated fair value was determined based on the quoted bid price of the Convertible Senior Notes in an over-the-counter market on the last trading day of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if-converted value of the Notes 2029 did not exceed the principal amount.</w:t>
      </w:r>
    </w:p>
    <w:p>
      <w:pPr>
        <w:spacing w:after="0" w:line="1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F - 44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653224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pt" to="514.15pt,3.8pt" o:allowincell="f" strokecolor="#000000" strokeweight="1.2pt"/>
            </w:pict>
          </mc:Fallback>
        </mc:AlternateContent>
      </w:r>
    </w:p>
    <w:p>
      <w:pPr>
        <w:sectPr>
          <w:pgSz w:w="11900" w:h="16840" w:orient="portrait"/>
          <w:cols w:equalWidth="0" w:num="1">
            <w:col w:w="10280"/>
          </w:cols>
          <w:pgMar w:left="820" w:top="699" w:right="804"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18:   OTHER LONG TERM LIABILITIES</w:t>
            </w: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4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4"/>
        </w:trPr>
        <w:tc>
          <w:tcPr>
            <w:tcW w:w="42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severance pay</w:t>
            </w:r>
          </w:p>
        </w:tc>
        <w:tc>
          <w:tcPr>
            <w:tcW w:w="3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100" w:type="dxa"/>
            <w:vAlign w:val="bottom"/>
            <w:shd w:val="clear" w:color="auto" w:fill="CCEEFF"/>
          </w:tcPr>
          <w:p>
            <w:pPr>
              <w:spacing w:after="0"/>
              <w:rPr>
                <w:sz w:val="17"/>
                <w:szCs w:val="17"/>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2,347</w:t>
            </w:r>
          </w:p>
        </w:tc>
      </w:tr>
      <w:tr>
        <w:trPr>
          <w:trHeight w:val="240"/>
        </w:trPr>
        <w:tc>
          <w:tcPr>
            <w:tcW w:w="428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68"/>
        </w:trPr>
        <w:tc>
          <w:tcPr>
            <w:tcW w:w="4280" w:type="dxa"/>
            <w:vAlign w:val="bottom"/>
          </w:tcPr>
          <w:p>
            <w:pPr>
              <w:spacing w:after="0"/>
              <w:rPr>
                <w:sz w:val="24"/>
                <w:szCs w:val="24"/>
                <w:color w:val="auto"/>
              </w:rPr>
            </w:pPr>
          </w:p>
        </w:tc>
        <w:tc>
          <w:tcPr>
            <w:tcW w:w="3860" w:type="dxa"/>
            <w:vAlign w:val="bottom"/>
            <w:gridSpan w:val="2"/>
          </w:tcPr>
          <w:p>
            <w:pPr>
              <w:jc w:val="right"/>
              <w:ind w:right="2720"/>
              <w:spacing w:after="0"/>
              <w:rPr>
                <w:sz w:val="20"/>
                <w:szCs w:val="20"/>
                <w:color w:val="auto"/>
              </w:rPr>
            </w:pPr>
            <w:r>
              <w:rPr>
                <w:rFonts w:ascii="Times New Roman" w:cs="Times New Roman" w:eastAsia="Times New Roman" w:hAnsi="Times New Roman"/>
                <w:sz w:val="16"/>
                <w:szCs w:val="16"/>
                <w:color w:val="auto"/>
              </w:rPr>
              <w:t>F - 45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428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15" w:name="page116"/>
    <w:bookmarkEnd w:id="115"/>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6"/>
          <w:szCs w:val="16"/>
          <w:b w:val="1"/>
          <w:bCs w:val="1"/>
          <w:color w:val="auto"/>
        </w:rPr>
        <w:t>NOTE 19:</w:t>
      </w:r>
      <w:r>
        <w:rPr>
          <w:sz w:val="20"/>
          <w:szCs w:val="20"/>
          <w:color w:val="auto"/>
        </w:rPr>
        <w:tab/>
      </w:r>
      <w:r>
        <w:rPr>
          <w:rFonts w:ascii="Times New Roman" w:cs="Times New Roman" w:eastAsia="Times New Roman" w:hAnsi="Times New Roman"/>
          <w:sz w:val="15"/>
          <w:szCs w:val="15"/>
          <w:b w:val="1"/>
          <w:bCs w:val="1"/>
          <w:color w:val="auto"/>
        </w:rPr>
        <w:t>STOCK CAPITAL</w:t>
      </w:r>
    </w:p>
    <w:p>
      <w:pPr>
        <w:spacing w:after="0" w:line="210" w:lineRule="exact"/>
        <w:rPr>
          <w:sz w:val="20"/>
          <w:szCs w:val="20"/>
          <w:color w:val="auto"/>
        </w:rPr>
      </w:pPr>
    </w:p>
    <w:p>
      <w:pPr>
        <w:ind w:left="584" w:hanging="584"/>
        <w:spacing w:after="0"/>
        <w:tabs>
          <w:tab w:leader="none" w:pos="5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rights:</w:t>
      </w:r>
    </w:p>
    <w:p>
      <w:pPr>
        <w:spacing w:after="0" w:line="208"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confers upon its holders the right to receive notice of, and to participate in, all general meetings of the Company, where each share of common stock shall have one vote for all purposes, to share equally, on a per share basis, in bonuses, profits, or distributions out of fund legally available therefor, and to participate in the distribution of the surplus assets of the Company in the event of liquidation of the Company.</w:t>
      </w:r>
    </w:p>
    <w:p>
      <w:pPr>
        <w:spacing w:after="0" w:line="157"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Incentive Plans:</w:t>
      </w:r>
    </w:p>
    <w:p>
      <w:pPr>
        <w:spacing w:after="0" w:line="216" w:lineRule="exact"/>
        <w:rPr>
          <w:rFonts w:ascii="Times New Roman" w:cs="Times New Roman" w:eastAsia="Times New Roman" w:hAnsi="Times New Roman"/>
          <w:sz w:val="16"/>
          <w:szCs w:val="16"/>
          <w:color w:val="auto"/>
        </w:rPr>
      </w:pPr>
    </w:p>
    <w:p>
      <w:pPr>
        <w:jc w:val="both"/>
        <w:ind w:left="584"/>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Amended and Restated 2015 Global Incentive Plan (the “2015 Plan”) became effective upon the consummation of the Company's IPO and expired on March 25, 2025. The 2015 Plan provides for the grant of options, RSU, PSU, and other stock-based awards to directors, employees, officers, and non-employees of the Company and its subsidiaries. As of December 31, 2025, a total of 26,648,950 shares of common stock were reserved for issuance pursuant to stock awards under the 2015 Plan (the “Share Reserve”), an aggregate of 12,097,577 shares are still available for future grants.</w:t>
      </w:r>
    </w:p>
    <w:p>
      <w:pPr>
        <w:spacing w:after="0" w:line="165" w:lineRule="exact"/>
        <w:rPr>
          <w:rFonts w:ascii="Times New Roman" w:cs="Times New Roman" w:eastAsia="Times New Roman" w:hAnsi="Times New Roman"/>
          <w:sz w:val="16"/>
          <w:szCs w:val="16"/>
          <w:color w:val="auto"/>
        </w:rPr>
      </w:pPr>
    </w:p>
    <w:p>
      <w:pPr>
        <w:ind w:left="584"/>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its 2015 Plan, the Company granted PSU awards to certain employees and officers which vest upon the achievement of certain performance or market conditions subject to their continued employment with the Company.</w:t>
      </w:r>
    </w:p>
    <w:p>
      <w:pPr>
        <w:spacing w:after="0" w:line="143" w:lineRule="exact"/>
        <w:rPr>
          <w:rFonts w:ascii="Times New Roman" w:cs="Times New Roman" w:eastAsia="Times New Roman" w:hAnsi="Times New Roman"/>
          <w:sz w:val="16"/>
          <w:szCs w:val="16"/>
          <w:color w:val="auto"/>
        </w:rPr>
      </w:pPr>
    </w:p>
    <w:p>
      <w:pPr>
        <w:jc w:val="both"/>
        <w:ind w:left="584"/>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condition for the PSUs is based on the Company’s TSR compared to the TSR of companies listed in the S&amp;P 500 index over a one to three year performance period. Additionally, the Company granted PSUs, based on the average trading price of the Company’s common stock based on the 30-Day Price, over a three year performance period, which are expected to vest if certain 30-Day Price levels are met.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vesting method.</w:t>
      </w:r>
    </w:p>
    <w:p>
      <w:pPr>
        <w:spacing w:after="0" w:line="166" w:lineRule="exact"/>
        <w:rPr>
          <w:sz w:val="20"/>
          <w:szCs w:val="20"/>
          <w:color w:val="auto"/>
        </w:rPr>
      </w:pPr>
    </w:p>
    <w:p>
      <w:pPr>
        <w:ind w:left="584"/>
        <w:spacing w:after="0" w:line="300" w:lineRule="auto"/>
        <w:rPr>
          <w:sz w:val="20"/>
          <w:szCs w:val="20"/>
          <w:color w:val="auto"/>
        </w:rPr>
      </w:pPr>
      <w:r>
        <w:rPr>
          <w:rFonts w:ascii="Times New Roman" w:cs="Times New Roman" w:eastAsia="Times New Roman" w:hAnsi="Times New Roman"/>
          <w:sz w:val="16"/>
          <w:szCs w:val="16"/>
          <w:color w:val="auto"/>
        </w:rPr>
        <w:t>The aggregate maximum number of shares of common stock that may be issued on the exercise of incentive stock options is 10,000,000. As of March 25, 2025, the tenth anniversary of our 2015 Plan, we are no longer able to grant incentive stock options.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53224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514.35pt,3.8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16" w:name="page117"/>
    <w:bookmarkEnd w:id="116"/>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58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summary of the activity in stock options and related information is as follows: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4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99"/>
        </w:trPr>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 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339,029</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5"/>
              </w:rPr>
              <w:t>4.86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(21,613)</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10.48</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3,572</w:t>
            </w:r>
          </w:p>
        </w:tc>
        <w:tc>
          <w:tcPr>
            <w:tcW w:w="0" w:type="dxa"/>
            <w:vAlign w:val="bottom"/>
          </w:tcPr>
          <w:p>
            <w:pPr>
              <w:spacing w:after="0"/>
              <w:rPr>
                <w:sz w:val="1"/>
                <w:szCs w:val="1"/>
                <w:color w:val="auto"/>
              </w:rPr>
            </w:pPr>
          </w:p>
        </w:tc>
      </w:tr>
      <w:tr>
        <w:trPr>
          <w:trHeight w:val="239"/>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317,416</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5"/>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as of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317,166</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8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4.05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as of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307,719</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5"/>
              </w:rPr>
              <w:t>3.97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9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317,416</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53.38</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4.05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17,366</w:t>
            </w:r>
          </w:p>
        </w:tc>
        <w:tc>
          <w:tcPr>
            <w:tcW w:w="0" w:type="dxa"/>
            <w:vAlign w:val="bottom"/>
          </w:tcPr>
          <w:p>
            <w:pPr>
              <w:spacing w:after="0"/>
              <w:rPr>
                <w:sz w:val="1"/>
                <w:szCs w:val="1"/>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(33,331)</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5.18</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3.96</w:t>
            </w:r>
          </w:p>
        </w:tc>
        <w:tc>
          <w:tcPr>
            <w:tcW w:w="9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46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283,419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59.16</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as of December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283,382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2"/>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282,196</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58.07</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283,419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59.16</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(10,400)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21.23</w:t>
            </w:r>
          </w:p>
        </w:tc>
        <w:tc>
          <w:tcPr>
            <w:tcW w:w="9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(81,832)</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86.86</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191,187</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5"/>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as of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191,187</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8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2"/>
              </w:rPr>
              <w:t>1.40</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as of December 31, 2025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191,187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5"/>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color w:val="auto"/>
        </w:rPr>
        <w:t>The intrinsic value is the amount by which the closing price of the Company’s common stock on December 31, 2025 or the price on the day of exercise exceeds the exercise price of the stock options multiplied by the number of in-the-money options.</w:t>
      </w:r>
    </w:p>
    <w:p>
      <w:pPr>
        <w:spacing w:after="0" w:line="1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F - 47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-370840</wp:posOffset>
                </wp:positionH>
                <wp:positionV relativeFrom="paragraph">
                  <wp:posOffset>48260</wp:posOffset>
                </wp:positionV>
                <wp:extent cx="653224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999pt,3.8pt" to="485.15pt,3.8pt" o:allowincell="f" strokecolor="#000000" strokeweight="1.2pt"/>
            </w:pict>
          </mc:Fallback>
        </mc:AlternateContent>
      </w:r>
    </w:p>
    <w:p>
      <w:pPr>
        <w:sectPr>
          <w:pgSz w:w="11900" w:h="16840" w:orient="portrait"/>
          <w:cols w:equalWidth="0" w:num="1">
            <w:col w:w="9700"/>
          </w:cols>
          <w:pgMar w:left="1400" w:top="699" w:right="804" w:bottom="1440" w:gutter="0" w:footer="0" w:header="0"/>
        </w:sectPr>
      </w:pPr>
    </w:p>
    <w:bookmarkStart w:id="117" w:name="page118"/>
    <w:bookmarkEnd w:id="11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tbl>
      <w:tblPr>
        <w:tblLayout w:type="fixed"/>
        <w:tblInd w:w="584" w:type="dxa"/>
        <w:tblCellMar>
          <w:top w:w="0" w:type="dxa"/>
          <w:left w:w="0" w:type="dxa"/>
          <w:bottom w:w="0" w:type="dxa"/>
          <w:right w:w="0" w:type="dxa"/>
        </w:tblCellMar>
      </w:tblPr>
      <w:tr>
        <w:trPr>
          <w:trHeight w:val="214"/>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summary of the activity in the RSUs and PSUs and related information is as follows: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0"/>
        </w:trPr>
        <w:tc>
          <w:tcPr>
            <w:tcW w:w="460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RSU</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PSU</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r>
      <w:tr>
        <w:trPr>
          <w:trHeight w:val="200"/>
        </w:trPr>
        <w:tc>
          <w:tcPr>
            <w:tcW w:w="46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199"/>
        </w:trPr>
        <w:tc>
          <w:tcPr>
            <w:tcW w:w="46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grant date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grant date</w:t>
            </w:r>
          </w:p>
        </w:tc>
      </w:tr>
      <w:tr>
        <w:trPr>
          <w:trHeight w:val="216"/>
        </w:trPr>
        <w:tc>
          <w:tcPr>
            <w:tcW w:w="46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January 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1,488,515</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232.05</w:t>
            </w:r>
          </w:p>
        </w:tc>
        <w:tc>
          <w:tcPr>
            <w:tcW w:w="1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149,232</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295.88</w:t>
            </w:r>
          </w:p>
        </w:tc>
        <w:tc>
          <w:tcPr>
            <w:tcW w:w="100" w:type="dxa"/>
            <w:vAlign w:val="bottom"/>
            <w:shd w:val="clear" w:color="auto" w:fill="CCEEFF"/>
          </w:tcPr>
          <w:p>
            <w:pPr>
              <w:spacing w:after="0"/>
              <w:rPr>
                <w:sz w:val="17"/>
                <w:szCs w:val="17"/>
                <w:color w:val="auto"/>
              </w:rPr>
            </w:pPr>
          </w:p>
        </w:tc>
      </w:tr>
      <w:tr>
        <w:trPr>
          <w:trHeight w:val="20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1,138,764</w:t>
            </w: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134.44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32,348</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314.22</w:t>
            </w: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(661,967)</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198.16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(107,165)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296.76</w:t>
            </w: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(105,026)</w:t>
            </w: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253.80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1,860,286</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w:t>
            </w:r>
          </w:p>
        </w:tc>
        <w:tc>
          <w:tcPr>
            <w:tcW w:w="1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74,415</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302.58</w:t>
            </w:r>
          </w:p>
        </w:tc>
        <w:tc>
          <w:tcPr>
            <w:tcW w:w="100" w:type="dxa"/>
            <w:vAlign w:val="bottom"/>
            <w:shd w:val="clear" w:color="auto" w:fill="CCEEFF"/>
          </w:tcPr>
          <w:p>
            <w:pPr>
              <w:spacing w:after="0"/>
              <w:rPr>
                <w:sz w:val="17"/>
                <w:szCs w:val="17"/>
                <w:color w:val="auto"/>
              </w:rPr>
            </w:pPr>
          </w:p>
        </w:tc>
      </w:tr>
      <w:tr>
        <w:trPr>
          <w:trHeight w:val="20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2,737,530</w:t>
            </w: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34.62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292,932</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31.46</w:t>
            </w:r>
          </w:p>
        </w:tc>
      </w:tr>
      <w:tr>
        <w:trPr>
          <w:trHeight w:val="19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(749,031)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173.07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(14,543)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298.92</w:t>
            </w:r>
          </w:p>
        </w:tc>
      </w:tr>
      <w:tr>
        <w:trPr>
          <w:trHeight w:val="20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(453,438)</w:t>
            </w: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143.44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(18,550)</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259.59</w:t>
            </w: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3,395,347</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1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334,254</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shd w:val="clear" w:color="auto" w:fill="CCEEFF"/>
          </w:tcPr>
          <w:p>
            <w:pPr>
              <w:spacing w:after="0"/>
              <w:rPr>
                <w:sz w:val="17"/>
                <w:szCs w:val="17"/>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2,656,364</w:t>
            </w: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17.69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777,237</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6.39</w:t>
            </w:r>
          </w:p>
        </w:tc>
      </w:tr>
      <w:tr>
        <w:trPr>
          <w:trHeight w:val="20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(1,327,121)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75.13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(899,816)</w:t>
            </w: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(270,004)</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58.35</w:t>
            </w:r>
          </w:p>
        </w:tc>
      </w:tr>
      <w:tr>
        <w:trPr>
          <w:trHeight w:val="239"/>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3,824,774</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841,487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ind w:left="584" w:hanging="584"/>
        <w:spacing w:after="0"/>
        <w:tabs>
          <w:tab w:leader="none" w:pos="58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Stock Purchase Plan:</w:t>
      </w:r>
    </w:p>
    <w:p>
      <w:pPr>
        <w:spacing w:after="0" w:line="207"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adopted an ESPP effective upon the consummation of the IPO. As of December 31, 2025, a total of 5,125,666 shares were reserved for issuance under this plan.</w:t>
      </w:r>
    </w:p>
    <w:p>
      <w:pPr>
        <w:spacing w:after="0" w:line="140" w:lineRule="exact"/>
        <w:rPr>
          <w:rFonts w:ascii="Times New Roman" w:cs="Times New Roman" w:eastAsia="Times New Roman" w:hAnsi="Times New Roman"/>
          <w:sz w:val="16"/>
          <w:szCs w:val="16"/>
          <w:color w:val="auto"/>
        </w:rPr>
      </w:pPr>
    </w:p>
    <w:p>
      <w:pPr>
        <w:jc w:val="both"/>
        <w:ind w:left="584"/>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ESPP is implemented through an offering every six months. According to the ESPP, eligible employees may use up to 15% of their salaries to purchase common stock up to an aggregate limit of $15 per participant for every six months plan. The price of an ordinary share purchased under the ESPP is equal to 85% of the lower of the fair market value of the ordinary share on the subscription date of each offering period or on the purchase date.</w:t>
      </w:r>
    </w:p>
    <w:p>
      <w:pPr>
        <w:spacing w:after="0" w:line="164"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As of December 31, 2025, 2,793,819 shares of common stock had been purchased under the ESPP.</w:t>
      </w:r>
    </w:p>
    <w:p>
      <w:pPr>
        <w:spacing w:after="0" w:line="216"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As of December 31, 2025, 2,331,847 shares of common stock were available for future issuance under the ESPP.</w:t>
      </w:r>
    </w:p>
    <w:p>
      <w:pPr>
        <w:spacing w:after="0" w:line="216"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In accordance with ASC No. 718, the ESPP is compensatory and, as such, results in recognition of compensation cost.</w:t>
      </w:r>
    </w:p>
    <w:p>
      <w:pPr>
        <w:spacing w:after="0" w:line="2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53340</wp:posOffset>
                </wp:positionV>
                <wp:extent cx="653224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pt" to="514.35pt,4.2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18" w:name="page119"/>
    <w:bookmarkEnd w:id="118"/>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3" w:lineRule="exact"/>
        <w:rPr>
          <w:sz w:val="20"/>
          <w:szCs w:val="20"/>
          <w:color w:val="auto"/>
        </w:rPr>
      </w:pPr>
    </w:p>
    <w:p>
      <w:pPr>
        <w:ind w:left="584" w:hanging="584"/>
        <w:spacing w:after="0"/>
        <w:tabs>
          <w:tab w:leader="none" w:pos="58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expenses:</w:t>
      </w:r>
    </w:p>
    <w:p>
      <w:pPr>
        <w:spacing w:after="0" w:line="207"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recognized stock-based compensation expenses related to all stock-based awards in the consolidated statement of income (loss) for the years ended December 31, 2025, 2024 and 2023, as follows:</w:t>
      </w:r>
    </w:p>
    <w:p>
      <w:pPr>
        <w:spacing w:after="0" w:line="138" w:lineRule="exact"/>
        <w:rPr>
          <w:sz w:val="20"/>
          <w:szCs w:val="20"/>
          <w:color w:val="auto"/>
        </w:rPr>
      </w:pPr>
    </w:p>
    <w:tbl>
      <w:tblPr>
        <w:tblLayout w:type="fixed"/>
        <w:tblInd w:w="584"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7"/>
                <w:szCs w:val="17"/>
                <w:color w:val="auto"/>
              </w:rPr>
            </w:pPr>
          </w:p>
        </w:tc>
      </w:tr>
      <w:tr>
        <w:trPr>
          <w:trHeight w:val="20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revenues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16,022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21,952</w:t>
            </w:r>
          </w:p>
        </w:tc>
        <w:tc>
          <w:tcPr>
            <w:tcW w:w="18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23,200</w:t>
            </w:r>
          </w:p>
        </w:tc>
      </w:tr>
      <w:tr>
        <w:trPr>
          <w:trHeight w:val="19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44,890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62,546</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66,944</w:t>
            </w:r>
          </w:p>
        </w:tc>
      </w:tr>
      <w:tr>
        <w:trPr>
          <w:trHeight w:val="200"/>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17,730</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27,328</w:t>
            </w:r>
          </w:p>
        </w:tc>
        <w:tc>
          <w:tcPr>
            <w:tcW w:w="2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30,987</w:t>
            </w:r>
          </w:p>
        </w:tc>
      </w:tr>
      <w:tr>
        <w:trPr>
          <w:trHeight w:val="20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13,903</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25,425</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28,814</w:t>
            </w:r>
          </w:p>
        </w:tc>
      </w:tr>
      <w:tr>
        <w:trPr>
          <w:trHeight w:val="24"/>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92,545</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137,251</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149,945</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9"/>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1,693</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2,460</w:t>
            </w:r>
          </w:p>
        </w:tc>
      </w:tr>
      <w:tr>
        <w:trPr>
          <w:trHeight w:val="204"/>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1,356</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1,926</w:t>
            </w:r>
          </w:p>
        </w:tc>
        <w:tc>
          <w:tcPr>
            <w:tcW w:w="2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1,666</w:t>
            </w:r>
          </w:p>
        </w:tc>
      </w:tr>
      <w:tr>
        <w:trPr>
          <w:trHeight w:val="239"/>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capitalized</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1"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For the years ended December 31, 2025 and 2024, no amounts were recorded in regard to tax benefits associated with share-based compensation.</w:t>
      </w:r>
    </w:p>
    <w:p>
      <w:pPr>
        <w:spacing w:after="0" w:line="217" w:lineRule="exact"/>
        <w:rPr>
          <w:sz w:val="20"/>
          <w:szCs w:val="20"/>
          <w:color w:val="auto"/>
        </w:rPr>
      </w:pPr>
    </w:p>
    <w:p>
      <w:pPr>
        <w:jc w:val="both"/>
        <w:ind w:left="584"/>
        <w:spacing w:after="0" w:line="298" w:lineRule="auto"/>
        <w:rPr>
          <w:sz w:val="20"/>
          <w:szCs w:val="20"/>
          <w:color w:val="auto"/>
        </w:rPr>
      </w:pPr>
      <w:r>
        <w:rPr>
          <w:rFonts w:ascii="Times New Roman" w:cs="Times New Roman" w:eastAsia="Times New Roman" w:hAnsi="Times New Roman"/>
          <w:sz w:val="16"/>
          <w:szCs w:val="16"/>
          <w:color w:val="auto"/>
        </w:rPr>
        <w:t>The total tax benefits associated with share-based compensation for the year ended December 31, 2023 was $27,551. The tax benefit realized from share-based compensation for the year ended December 31, 2023 was $8,866.</w:t>
      </w:r>
    </w:p>
    <w:p>
      <w:pPr>
        <w:spacing w:after="0" w:line="143" w:lineRule="exact"/>
        <w:rPr>
          <w:sz w:val="20"/>
          <w:szCs w:val="20"/>
          <w:color w:val="auto"/>
        </w:rPr>
      </w:pPr>
    </w:p>
    <w:p>
      <w:pPr>
        <w:jc w:val="both"/>
        <w:ind w:left="584"/>
        <w:spacing w:after="0" w:line="279" w:lineRule="auto"/>
        <w:rPr>
          <w:sz w:val="20"/>
          <w:szCs w:val="20"/>
          <w:color w:val="auto"/>
        </w:rPr>
      </w:pPr>
      <w:r>
        <w:rPr>
          <w:rFonts w:ascii="Times New Roman" w:cs="Times New Roman" w:eastAsia="Times New Roman" w:hAnsi="Times New Roman"/>
          <w:sz w:val="16"/>
          <w:szCs w:val="16"/>
          <w:color w:val="auto"/>
        </w:rPr>
        <w:t>As of December 31, 2025, there were total unrecognized compensation expenses in the amount of $130,614 related to non-vested equity-based compensation arrangements granted. These expenses are expected to be recognized during the period from January 1, 2026 through December 31, 2029.</w:t>
      </w:r>
    </w:p>
    <w:p>
      <w:pPr>
        <w:spacing w:after="0" w:line="158" w:lineRule="exact"/>
        <w:rPr>
          <w:sz w:val="20"/>
          <w:szCs w:val="20"/>
          <w:color w:val="auto"/>
        </w:rPr>
      </w:pPr>
    </w:p>
    <w:p>
      <w:pPr>
        <w:ind w:left="564" w:hanging="564"/>
        <w:spacing w:after="0"/>
        <w:tabs>
          <w:tab w:leader="none" w:pos="56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of Common Stock:</w:t>
      </w:r>
    </w:p>
    <w:p>
      <w:pPr>
        <w:spacing w:after="0" w:line="216" w:lineRule="exact"/>
        <w:rPr>
          <w:rFonts w:ascii="Times New Roman" w:cs="Times New Roman" w:eastAsia="Times New Roman" w:hAnsi="Times New Roman"/>
          <w:sz w:val="16"/>
          <w:szCs w:val="16"/>
          <w:color w:val="auto"/>
        </w:rPr>
      </w:pPr>
    </w:p>
    <w:p>
      <w:pPr>
        <w:jc w:val="both"/>
        <w:ind w:left="584"/>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 2023, the Company announced that the Company's Board of Directors approved a share repurchase program which authorizes the repurchase of up to $300,000 of the Company’s common stock. Under the share repurchase program, repurchases can be made using a variety of methods, which may include open market purchases, block trades, privately negotiated transactions, accelerated share repurchase programs and/or a non-discretionary trading plan or other means, including through 10b5-1 trading plans, all in compliance with the rules of the SEC and other applicable legal requirements. The timing, manner, price and amount of any common share repurchases under the share repurchase program are determined by the Company in its discretion and depend on a variety of factors, including legal requirements, price and economic and market conditions.</w:t>
      </w:r>
    </w:p>
    <w:p>
      <w:pPr>
        <w:spacing w:after="0" w:line="166"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year ended December 31, 2024, the Company repurchased 753,364 shares of common stock from the open market at an average cost of $66.63 per share for a total of $50,194</w:t>
      </w:r>
    </w:p>
    <w:p>
      <w:pPr>
        <w:spacing w:after="0" w:line="140"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share repurchase program expired on December 31, 2024.</w:t>
      </w:r>
    </w:p>
    <w:p>
      <w:pPr>
        <w:spacing w:after="0" w:line="1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53224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514.35pt,3.8pt" o:allowincell="f" strokecolor="#000000" strokeweight="1.1999pt"/>
            </w:pict>
          </mc:Fallback>
        </mc:AlternateContent>
      </w:r>
    </w:p>
    <w:p>
      <w:pPr>
        <w:sectPr>
          <w:pgSz w:w="11900" w:h="16840" w:orient="portrait"/>
          <w:cols w:equalWidth="0" w:num="1">
            <w:col w:w="10284"/>
          </w:cols>
          <w:pgMar w:left="816" w:top="708" w:right="804" w:bottom="1440" w:gutter="0" w:footer="0" w:header="0"/>
        </w:sectPr>
      </w:pPr>
    </w:p>
    <w:bookmarkStart w:id="119" w:name="page120"/>
    <w:bookmarkEnd w:id="119"/>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6"/>
          <w:szCs w:val="16"/>
          <w:b w:val="1"/>
          <w:bCs w:val="1"/>
          <w:color w:val="auto"/>
        </w:rPr>
        <w:t>NOTE 20:</w:t>
      </w:r>
      <w:r>
        <w:rPr>
          <w:sz w:val="20"/>
          <w:szCs w:val="20"/>
          <w:color w:val="auto"/>
        </w:rPr>
        <w:tab/>
      </w:r>
      <w:r>
        <w:rPr>
          <w:rFonts w:ascii="Times New Roman" w:cs="Times New Roman" w:eastAsia="Times New Roman" w:hAnsi="Times New Roman"/>
          <w:sz w:val="15"/>
          <w:szCs w:val="15"/>
          <w:b w:val="1"/>
          <w:bCs w:val="1"/>
          <w:color w:val="auto"/>
        </w:rPr>
        <w:t>COMMITMENTS AND CONTINGENT LIABILITIES</w:t>
      </w:r>
    </w:p>
    <w:p>
      <w:pPr>
        <w:spacing w:after="0" w:line="210" w:lineRule="exact"/>
        <w:rPr>
          <w:sz w:val="20"/>
          <w:szCs w:val="20"/>
          <w:color w:val="auto"/>
        </w:rPr>
      </w:pPr>
    </w:p>
    <w:p>
      <w:pPr>
        <w:ind w:left="584" w:hanging="584"/>
        <w:spacing w:after="0"/>
        <w:tabs>
          <w:tab w:leader="none" w:pos="58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w:t>
      </w:r>
    </w:p>
    <w:p>
      <w:pPr>
        <w:spacing w:after="0" w:line="208" w:lineRule="exact"/>
        <w:rPr>
          <w:rFonts w:ascii="Times New Roman" w:cs="Times New Roman" w:eastAsia="Times New Roman" w:hAnsi="Times New Roman"/>
          <w:sz w:val="16"/>
          <w:szCs w:val="16"/>
          <w:color w:val="auto"/>
        </w:rPr>
      </w:pPr>
    </w:p>
    <w:p>
      <w:pPr>
        <w:ind w:left="584"/>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contingent liabilities exist regarding guarantees in the amounts of $50,496, $35,895 and $1,486 in respect of securing projects with customers and vendors, office rent lease agreements, and other transactions, respectively.</w:t>
      </w:r>
    </w:p>
    <w:p>
      <w:pPr>
        <w:spacing w:after="0" w:line="134"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Contractual purchase obligations:</w:t>
      </w:r>
    </w:p>
    <w:p>
      <w:pPr>
        <w:spacing w:after="0" w:line="208"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contractual obligations to purchase goods and raw materials. These contractual purchase obligations relate to inventories and other purchase orders, which cannot be canceled without penalty. In addition, the Company acquires raw materials or other goods and services, including product components, by issuing authorizations to its suppliers to purchase materials based on its projected demand and manufacturing needs.</w:t>
      </w:r>
    </w:p>
    <w:p>
      <w:pPr>
        <w:spacing w:after="0" w:line="157"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Company had non-cancelable purchase obligations totaling approximately $513,202, out of which the Company recorded a provision for loss in the amount of $24,324.</w:t>
      </w:r>
    </w:p>
    <w:p>
      <w:pPr>
        <w:spacing w:after="0" w:line="140"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Company had contractual obligations for capital expenditures totaling approximately $23,451. These commitments reflect purchases of automated assembly lines and other machinery related to the Company’s manufacturing process.</w:t>
      </w:r>
    </w:p>
    <w:p>
      <w:pPr>
        <w:spacing w:after="0" w:line="132"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claims:</w:t>
      </w:r>
    </w:p>
    <w:p>
      <w:pPr>
        <w:spacing w:after="0" w:line="207" w:lineRule="exact"/>
        <w:rPr>
          <w:rFonts w:ascii="Times New Roman" w:cs="Times New Roman" w:eastAsia="Times New Roman" w:hAnsi="Times New Roman"/>
          <w:sz w:val="16"/>
          <w:szCs w:val="16"/>
          <w:color w:val="auto"/>
        </w:rPr>
      </w:pPr>
    </w:p>
    <w:p>
      <w:pPr>
        <w:jc w:val="both"/>
        <w:ind w:left="584"/>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 to time, the Company may be involved in various claims and legal proceedings. The Company reviews the status of each matter and assesses its potential financial exposure. If the potential loss from any claim or legal proceeding is considered probable and the amount can be reasonably estimated, the Company accrues a liability for the estimated loss. These accruals are reviewed at least quarterly and adjusted to reflect the impact of negotiations, settlements, rulings, advice of legal counsel and other information and events pertaining to a particular matter.</w:t>
      </w:r>
    </w:p>
    <w:p>
      <w:pPr>
        <w:spacing w:after="0" w:line="163" w:lineRule="exact"/>
        <w:rPr>
          <w:rFonts w:ascii="Times New Roman" w:cs="Times New Roman" w:eastAsia="Times New Roman" w:hAnsi="Times New Roman"/>
          <w:sz w:val="16"/>
          <w:szCs w:val="16"/>
          <w:color w:val="auto"/>
        </w:rPr>
      </w:pPr>
    </w:p>
    <w:p>
      <w:pPr>
        <w:ind w:left="584"/>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Company recorded an accrual of $13,199 for legal claims which was recorded under accrued expenses and other current liabilities.</w:t>
      </w:r>
    </w:p>
    <w:p>
      <w:pPr>
        <w:spacing w:after="0" w:line="143" w:lineRule="exact"/>
        <w:rPr>
          <w:rFonts w:ascii="Times New Roman" w:cs="Times New Roman" w:eastAsia="Times New Roman" w:hAnsi="Times New Roman"/>
          <w:sz w:val="16"/>
          <w:szCs w:val="16"/>
          <w:color w:val="auto"/>
        </w:rPr>
      </w:pPr>
    </w:p>
    <w:p>
      <w:pPr>
        <w:jc w:val="both"/>
        <w:ind w:left="584"/>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CEO and the Company’s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spacing w:after="0" w:line="166" w:lineRule="exact"/>
        <w:rPr>
          <w:rFonts w:ascii="Times New Roman" w:cs="Times New Roman" w:eastAsia="Times New Roman" w:hAnsi="Times New Roman"/>
          <w:sz w:val="16"/>
          <w:szCs w:val="16"/>
          <w:color w:val="auto"/>
        </w:rPr>
      </w:pPr>
    </w:p>
    <w:p>
      <w:pPr>
        <w:jc w:val="both"/>
        <w:ind w:left="584"/>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7, 2024, the Court consolidated the two actions (the "Consolidated Securities Litigation"), and appointed co-lead plaintiffs (the “Plaintiffs”) and lead counsel. On April 22, 2024, Plaintiffs filed an amended complaint adding two additional officers. The amended complaint made substantially similar allegations and claims. Defendants moved to dismiss the amended complaint on July 15, 2024 (the “Motion”), and the motion was fully briefed as of September 17, 2024. On December 4, 2024, the Court issued an order granting in part the Motion, dismissing all allegations except those relating to two purported misstatements, characterizing inventory levels as low. The Court allowed Plaintiffs to again amend their complaint, and they filed a Second Amended Complaint on January 3, 2025. On February 10, 2025, Defendants moved to dismiss the Second Amended Complaint insofar as it attempts to resurrect any of the allegations dismissed in the Court’s December 4, 2024 order. On April 7, 2025, the Court issued an order granting in part the second motion to dismiss, dismissing all allegations except those characterizing inventory levels as “low” and those relating to demand in Europe. Lead Plaintiffs filed a motion for class certification on October 17, 2025, and Defendants filed their opposition on January 16, 2026. Plaintiffs’ reply is due on February 20, 2026. Fact discovery is ongoing.</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53224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514.35pt,3.8pt" o:allowincell="f" strokecolor="#000000" strokeweight="1.1999pt"/>
            </w:pict>
          </mc:Fallback>
        </mc:AlternateContent>
      </w:r>
    </w:p>
    <w:p>
      <w:pPr>
        <w:sectPr>
          <w:pgSz w:w="11900" w:h="16840" w:orient="portrait"/>
          <w:cols w:equalWidth="0" w:num="1">
            <w:col w:w="10284"/>
          </w:cols>
          <w:pgMar w:left="816" w:top="699" w:right="804" w:bottom="1440" w:gutter="0" w:footer="0" w:header="0"/>
        </w:sectPr>
      </w:pPr>
    </w:p>
    <w:bookmarkStart w:id="120" w:name="page121"/>
    <w:bookmarkEnd w:id="120"/>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572"/>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6"/>
          <w:szCs w:val="16"/>
          <w:color w:val="auto"/>
        </w:rPr>
        <w:t>On March 15, 2024, Abdul Hirani filed a purported derivative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The Hirani complaint brings claims for (i) breach of fiduciary duty, (ii) aiding and abetting breach of fiduciary duty, (iii) unjust enrichment, (iv) waste of corporate assets, and (v) securities fraud under Section 10(b) of the Exchange Act. The complaint seeks compensatory and punitive damages, interest, attorneys’ fees, and other relief.</w:t>
      </w:r>
    </w:p>
    <w:p>
      <w:pPr>
        <w:spacing w:after="0" w:line="16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6"/>
          <w:szCs w:val="16"/>
          <w:color w:val="auto"/>
        </w:rPr>
        <w:t>On June 10, 2024, Jonathan Blaufarb filed a second purported derivative complaint in the U.S. District Court for the Southern District of New York against the same defendants as those named in the Hirani complaint as well as Lior Danziger and J.B. Lowe. The Blaufarb complaint makes largely the same allegations as those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Defendants accepted service of the Hirani and Blaufarb complaints via stipulation that was so-ordered on July 12, 2024, and the two cases were consolidated with the Hirani matter designated as the lead case (the “Consolidated Derivative Action”). On September 9, 2024 the parties agreed to stay the Hirani and Blaufarb actions pending a decision on the motion to dismiss in the Consolidated Securities Litigation. Following the decision granting in part and denying in part the motion to dismiss the Second Amended Complaint in the Consolidated Securities Litigation, the parties entered into a new stipulation on June 20, 2025, staying this consolidated derivative action through the close of fact discovery in the Consolidated Securities Litigation.</w:t>
      </w:r>
    </w:p>
    <w:p>
      <w:pPr>
        <w:spacing w:after="0" w:line="168"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On August 7, 2024, Edwin Isaac filed a purported derivative complaint in the U.S. District Court for the District of Delaware against the same defendants as those named in the Consolidated Derivative Action. The Isaac complaint makes largely the same allegations as those in the Consolidated Securities Litigation. It also pleads the similar counts to the Consolidated Derivative Action, including (i) breach of fiduciary duty, (ii) contribution,</w:t>
      </w:r>
    </w:p>
    <w:p>
      <w:pPr>
        <w:spacing w:after="0" w:line="1" w:lineRule="exact"/>
        <w:rPr>
          <w:sz w:val="20"/>
          <w:szCs w:val="20"/>
          <w:color w:val="auto"/>
        </w:rPr>
      </w:pPr>
    </w:p>
    <w:p>
      <w:pPr>
        <w:jc w:val="both"/>
        <w:ind w:left="8" w:hanging="8"/>
        <w:spacing w:after="0" w:line="271" w:lineRule="auto"/>
        <w:tabs>
          <w:tab w:leader="none" w:pos="30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filed a stipulation on June 30, 2025 agreeing to stay the Isaac matter through the close of fact discovery in the Consolidated Securities Litigation.</w:t>
      </w:r>
    </w:p>
    <w:p>
      <w:pPr>
        <w:spacing w:after="0" w:line="164"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On May 22, 2025, Mike Maddox (“Maddox”) filed a purported derivative complaint in the U.S. District Court for the Southern District of New York against the same defendants as those named in the earlier-filed derivative actions. The Maddox complaint makes largely the same allegations as those in the Consolidated Securities Litigation and the other derivative actions. It also pleads similar counts to those in the other derivative actions, including</w:t>
      </w:r>
    </w:p>
    <w:p>
      <w:pPr>
        <w:spacing w:after="0" w:line="1" w:lineRule="exact"/>
        <w:rPr>
          <w:sz w:val="20"/>
          <w:szCs w:val="20"/>
          <w:color w:val="auto"/>
        </w:rPr>
      </w:pPr>
    </w:p>
    <w:p>
      <w:pPr>
        <w:jc w:val="both"/>
        <w:ind w:left="8" w:hanging="8"/>
        <w:spacing w:after="0" w:line="276" w:lineRule="auto"/>
        <w:tabs>
          <w:tab w:leader="none" w:pos="20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fiduciary duty, (ii) gross mismanagement, (iii) waste of corporate assets, (iv) unjust enrichment, and (v) violation of Section 14(a) of the Exchange Act. The parties filed a stipulation on July 21, 2025 agreeing to stay the Maddox matter through the close of fact discovery in the Consolidated Securities Litigation.</w:t>
      </w:r>
    </w:p>
    <w:p>
      <w:pPr>
        <w:spacing w:after="0" w:line="159"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6"/>
          <w:szCs w:val="16"/>
          <w:color w:val="auto"/>
        </w:rPr>
        <w:t>On September 9, 2025, Jerald Chauncey, Jr. (“Chauncey”) filed a complaint in the Delaware Court of Chancery against the same defendants as those named in the other derivative actions. The Chauncey complaint makes largely the same allegations as those in the Consolidated Securities Litigation and the other derivative actions. It also pleads similar counts to those in the other derivative actions, including (i) breach of fiduciary duty, (ii) unjust enrichment, and (iii) waste of corporate assets. The parties filed a stipulation on October 7, 2025 agreeing to stay the Chauncey matter through the close of fact discovery in the Consolidated Securities Litigation.</w:t>
      </w:r>
    </w:p>
    <w:p>
      <w:pPr>
        <w:spacing w:after="0" w:line="165"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6"/>
          <w:szCs w:val="16"/>
          <w:color w:val="auto"/>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order the Company to resume supply of spare parts and technical assistance activities in favor of Stellantis; and ii) to order the Company to pay a penalty of 100,000 Euro for each day of delay in fulfilling the order above. At a hearing on February 25, 2025 the parties discussed the case. On May 8, 2025, the court denied Stellantis’ request for injunction and on July 2, 2025, Stellantis appealed, and the next hearing is scheduled for March 13, 2026. The Company disputes the allegations of wrongdoing. On February 11, 2026, the Company completed the sale of SolarEdge e-Mobility.</w:t>
      </w:r>
    </w:p>
    <w:p>
      <w:pPr>
        <w:spacing w:after="0" w:line="168"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6"/>
          <w:szCs w:val="16"/>
          <w:color w:val="auto"/>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has filed an answer on December 1, 2025, and the court has ordered a disclosure schedule to begin January 2026. The case is scheduled for trial for November 1, 2027. On January 5, 2026, the parties met for mediation, which has been inconclusive. The Company disputes the allegations and intends to vigorously defend against them.</w:t>
      </w:r>
    </w:p>
    <w:p>
      <w:pPr>
        <w:spacing w:after="0" w:line="141" w:lineRule="exact"/>
        <w:rPr>
          <w:sz w:val="20"/>
          <w:szCs w:val="20"/>
          <w:color w:val="auto"/>
        </w:rPr>
      </w:pPr>
    </w:p>
    <w:p>
      <w:pPr>
        <w:ind w:left="4368"/>
        <w:spacing w:after="0"/>
        <w:rPr>
          <w:sz w:val="20"/>
          <w:szCs w:val="20"/>
          <w:color w:val="auto"/>
        </w:rPr>
      </w:pPr>
      <w:r>
        <w:rPr>
          <w:rFonts w:ascii="Times New Roman" w:cs="Times New Roman" w:eastAsia="Times New Roman" w:hAnsi="Times New Roman"/>
          <w:sz w:val="16"/>
          <w:szCs w:val="16"/>
          <w:color w:val="auto"/>
        </w:rPr>
        <w:t>F - 51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-365760</wp:posOffset>
                </wp:positionH>
                <wp:positionV relativeFrom="paragraph">
                  <wp:posOffset>48895</wp:posOffset>
                </wp:positionV>
                <wp:extent cx="653224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99pt,3.85pt" to="485.55pt,3.85pt" o:allowincell="f" strokecolor="#000000" strokeweight="1.2pt"/>
            </w:pict>
          </mc:Fallback>
        </mc:AlternateContent>
      </w:r>
    </w:p>
    <w:p>
      <w:pPr>
        <w:sectPr>
          <w:pgSz w:w="11900" w:h="16840" w:orient="portrait"/>
          <w:cols w:equalWidth="0" w:num="1">
            <w:col w:w="9708"/>
          </w:cols>
          <w:pgMar w:left="1392" w:top="699" w:right="804"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5700" w:type="dxa"/>
            <w:vAlign w:val="bottom"/>
            <w:gridSpan w:val="8"/>
          </w:tcPr>
          <w:p>
            <w:pPr>
              <w:jc w:val="center"/>
              <w:ind w:left="2540"/>
              <w:spacing w:after="0"/>
              <w:rPr>
                <w:sz w:val="20"/>
                <w:szCs w:val="20"/>
                <w:color w:val="auto"/>
              </w:rPr>
            </w:pPr>
            <w:r>
              <w:rPr>
                <w:rFonts w:ascii="Times New Roman" w:cs="Times New Roman" w:eastAsia="Times New Roman" w:hAnsi="Times New Roman"/>
                <w:sz w:val="16"/>
                <w:szCs w:val="16"/>
                <w:b w:val="1"/>
                <w:bCs w:val="1"/>
                <w:color w:val="auto"/>
                <w:w w:val="99"/>
              </w:rPr>
              <w:t>SOLAREDGE TECHNOLOGIES INC.</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6940" w:type="dxa"/>
            <w:vAlign w:val="bottom"/>
            <w:gridSpan w:val="11"/>
          </w:tcPr>
          <w:p>
            <w:pPr>
              <w:jc w:val="center"/>
              <w:ind w:left="1300"/>
              <w:spacing w:after="0"/>
              <w:rPr>
                <w:sz w:val="20"/>
                <w:szCs w:val="20"/>
                <w:color w:val="auto"/>
              </w:rPr>
            </w:pPr>
            <w:r>
              <w:rPr>
                <w:rFonts w:ascii="Times New Roman" w:cs="Times New Roman" w:eastAsia="Times New Roman" w:hAnsi="Times New Roman"/>
                <w:sz w:val="16"/>
                <w:szCs w:val="16"/>
                <w:b w:val="1"/>
                <w:bCs w:val="1"/>
                <w:color w:val="auto"/>
                <w:w w:val="99"/>
              </w:rPr>
              <w:t>NOTES TO CONSOLIDATED FINANCIAL STATEMENTS (Cont.)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color w:val="auto"/>
                <w:w w:val="99"/>
              </w:rPr>
              <w:t>(in thousands, except per share data)</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21:</w:t>
            </w:r>
          </w:p>
        </w:tc>
        <w:tc>
          <w:tcPr>
            <w:tcW w:w="5700" w:type="dxa"/>
            <w:vAlign w:val="bottom"/>
            <w:gridSpan w:val="8"/>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99"/>
              </w:rPr>
              <w:t>ACCUMULATED OTHER COMPREHENSIVE INCOME (LOSS)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on intra-entity</w:t>
            </w:r>
          </w:p>
        </w:tc>
        <w:tc>
          <w:tcPr>
            <w:tcW w:w="120" w:type="dxa"/>
            <w:vAlign w:val="bottom"/>
          </w:tcPr>
          <w:p>
            <w:pPr>
              <w:spacing w:after="0"/>
              <w:rPr>
                <w:sz w:val="17"/>
                <w:szCs w:val="17"/>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gains (losses)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transactions</w:t>
            </w: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on available-</w:t>
            </w: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that are of a</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gains (losses)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for-sale</w:t>
            </w: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gains (losses)</w:t>
            </w: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on foreign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marketable</w:t>
            </w: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on cash flow</w:t>
            </w: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investment in</w:t>
            </w: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nature</w:t>
            </w: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 as of January 1, 2023</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(25,449)</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(37,960)</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5"/>
              </w:rPr>
              <w:t>Revaluation</w:t>
            </w: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23,959</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on revaluation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(5,504)</w:t>
            </w:r>
          </w:p>
        </w:tc>
        <w:tc>
          <w:tcPr>
            <w:tcW w:w="0" w:type="dxa"/>
            <w:vAlign w:val="bottom"/>
          </w:tcPr>
          <w:p>
            <w:pPr>
              <w:spacing w:after="0"/>
              <w:rPr>
                <w:sz w:val="1"/>
                <w:szCs w:val="1"/>
                <w:color w:val="auto"/>
              </w:rPr>
            </w:pPr>
          </w:p>
        </w:tc>
      </w:tr>
      <w:tr>
        <w:trPr>
          <w:trHeight w:val="24"/>
        </w:trPr>
        <w:tc>
          <w:tcPr>
            <w:tcW w:w="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20,411</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(1,990)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18,455</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8,325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8,432</w:t>
            </w:r>
          </w:p>
        </w:tc>
        <w:tc>
          <w:tcPr>
            <w:tcW w:w="0" w:type="dxa"/>
            <w:vAlign w:val="bottom"/>
          </w:tcPr>
          <w:p>
            <w:pPr>
              <w:spacing w:after="0"/>
              <w:rPr>
                <w:sz w:val="1"/>
                <w:szCs w:val="1"/>
                <w:color w:val="auto"/>
              </w:rPr>
            </w:pPr>
          </w:p>
        </w:tc>
      </w:tr>
      <w:tr>
        <w:trPr>
          <w:trHeight w:val="204"/>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 on reclassification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reclassified from accumulated other comprehensive</w:t>
            </w: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7,769</w:t>
            </w:r>
          </w:p>
        </w:tc>
        <w:tc>
          <w:tcPr>
            <w:tcW w:w="0" w:type="dxa"/>
            <w:vAlign w:val="bottom"/>
          </w:tcPr>
          <w:p>
            <w:pPr>
              <w:spacing w:after="0"/>
              <w:rPr>
                <w:sz w:val="1"/>
                <w:szCs w:val="1"/>
                <w:color w:val="auto"/>
              </w:rPr>
            </w:pPr>
          </w:p>
        </w:tc>
      </w:tr>
      <w:tr>
        <w:trPr>
          <w:trHeight w:val="24"/>
        </w:trPr>
        <w:tc>
          <w:tcPr>
            <w:tcW w:w="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26,224</w:t>
            </w:r>
          </w:p>
        </w:tc>
        <w:tc>
          <w:tcPr>
            <w:tcW w:w="0" w:type="dxa"/>
            <w:vAlign w:val="bottom"/>
          </w:tcPr>
          <w:p>
            <w:pPr>
              <w:spacing w:after="0"/>
              <w:rPr>
                <w:sz w:val="1"/>
                <w:szCs w:val="1"/>
                <w:color w:val="auto"/>
              </w:rPr>
            </w:pPr>
          </w:p>
        </w:tc>
      </w:tr>
      <w:tr>
        <w:trPr>
          <w:trHeight w:val="240"/>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 as of December 31, 2023</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Revaluation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(35,379)</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(23,385)</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on revaluation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(1,762)</w:t>
            </w:r>
          </w:p>
        </w:tc>
        <w:tc>
          <w:tcPr>
            <w:tcW w:w="0" w:type="dxa"/>
            <w:vAlign w:val="bottom"/>
          </w:tcPr>
          <w:p>
            <w:pPr>
              <w:spacing w:after="0"/>
              <w:rPr>
                <w:sz w:val="1"/>
                <w:szCs w:val="1"/>
                <w:color w:val="auto"/>
              </w:rPr>
            </w:pPr>
          </w:p>
        </w:tc>
      </w:tr>
      <w:tr>
        <w:trPr>
          <w:trHeight w:val="24"/>
        </w:trPr>
        <w:tc>
          <w:tcPr>
            <w:tcW w:w="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6,787</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(35,379)</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(25,147)</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(2,966)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(5,504)</w:t>
            </w:r>
          </w:p>
        </w:tc>
        <w:tc>
          <w:tcPr>
            <w:tcW w:w="0" w:type="dxa"/>
            <w:vAlign w:val="bottom"/>
          </w:tcPr>
          <w:p>
            <w:pPr>
              <w:spacing w:after="0"/>
              <w:rPr>
                <w:sz w:val="1"/>
                <w:szCs w:val="1"/>
                <w:color w:val="auto"/>
              </w:rPr>
            </w:pPr>
          </w:p>
        </w:tc>
      </w:tr>
      <w:tr>
        <w:trPr>
          <w:trHeight w:val="204"/>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 on reclassification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reclassified from accumulated other comprehensive</w:t>
            </w: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(4,445)</w:t>
            </w:r>
          </w:p>
        </w:tc>
        <w:tc>
          <w:tcPr>
            <w:tcW w:w="0" w:type="dxa"/>
            <w:vAlign w:val="bottom"/>
          </w:tcPr>
          <w:p>
            <w:pPr>
              <w:spacing w:after="0"/>
              <w:rPr>
                <w:sz w:val="1"/>
                <w:szCs w:val="1"/>
                <w:color w:val="auto"/>
              </w:rPr>
            </w:pPr>
          </w:p>
        </w:tc>
      </w:tr>
      <w:tr>
        <w:trPr>
          <w:trHeight w:val="24"/>
        </w:trPr>
        <w:tc>
          <w:tcPr>
            <w:tcW w:w="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(35,379)</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(29,592)</w:t>
            </w:r>
          </w:p>
        </w:tc>
        <w:tc>
          <w:tcPr>
            <w:tcW w:w="0" w:type="dxa"/>
            <w:vAlign w:val="bottom"/>
          </w:tcPr>
          <w:p>
            <w:pPr>
              <w:spacing w:after="0"/>
              <w:rPr>
                <w:sz w:val="1"/>
                <w:szCs w:val="1"/>
                <w:color w:val="auto"/>
              </w:rPr>
            </w:pPr>
          </w:p>
        </w:tc>
      </w:tr>
      <w:tr>
        <w:trPr>
          <w:trHeight w:val="240"/>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 as of December 31, 2024</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(76,477)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5"/>
              </w:rPr>
              <w:t>Revaluation</w:t>
            </w:r>
          </w:p>
        </w:tc>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15,212</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on revaluation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4"/>
        </w:trPr>
        <w:tc>
          <w:tcPr>
            <w:tcW w:w="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7,641</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14,094</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(9,316)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65,667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49,602</w:t>
            </w:r>
          </w:p>
        </w:tc>
        <w:tc>
          <w:tcPr>
            <w:tcW w:w="0" w:type="dxa"/>
            <w:vAlign w:val="bottom"/>
          </w:tcPr>
          <w:p>
            <w:pPr>
              <w:spacing w:after="0"/>
              <w:rPr>
                <w:sz w:val="1"/>
                <w:szCs w:val="1"/>
                <w:color w:val="auto"/>
              </w:rPr>
            </w:pPr>
          </w:p>
        </w:tc>
      </w:tr>
      <w:tr>
        <w:trPr>
          <w:trHeight w:val="204"/>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 on reclassification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(gains) reclassified from accumulated other</w:t>
            </w: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(8,198)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65,667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50,720</w:t>
            </w:r>
          </w:p>
        </w:tc>
        <w:tc>
          <w:tcPr>
            <w:tcW w:w="0" w:type="dxa"/>
            <w:vAlign w:val="bottom"/>
          </w:tcPr>
          <w:p>
            <w:pPr>
              <w:spacing w:after="0"/>
              <w:rPr>
                <w:sz w:val="1"/>
                <w:szCs w:val="1"/>
                <w:color w:val="auto"/>
              </w:rPr>
            </w:pPr>
          </w:p>
        </w:tc>
      </w:tr>
      <w:tr>
        <w:trPr>
          <w:trHeight w:val="24"/>
        </w:trPr>
        <w:tc>
          <w:tcPr>
            <w:tcW w:w="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66,874</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64,814</w:t>
            </w:r>
          </w:p>
        </w:tc>
        <w:tc>
          <w:tcPr>
            <w:tcW w:w="0" w:type="dxa"/>
            <w:vAlign w:val="bottom"/>
          </w:tcPr>
          <w:p>
            <w:pPr>
              <w:spacing w:after="0"/>
              <w:rPr>
                <w:sz w:val="1"/>
                <w:szCs w:val="1"/>
                <w:color w:val="auto"/>
              </w:rPr>
            </w:pPr>
          </w:p>
        </w:tc>
      </w:tr>
      <w:tr>
        <w:trPr>
          <w:trHeight w:val="240"/>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 as of December 31, 2025</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left="440"/>
              <w:spacing w:after="0"/>
              <w:rPr>
                <w:sz w:val="20"/>
                <w:szCs w:val="20"/>
                <w:color w:val="auto"/>
              </w:rPr>
            </w:pPr>
            <w:r>
              <w:rPr>
                <w:rFonts w:ascii="Times New Roman" w:cs="Times New Roman" w:eastAsia="Times New Roman" w:hAnsi="Times New Roman"/>
                <w:sz w:val="16"/>
                <w:szCs w:val="16"/>
                <w:color w:val="auto"/>
              </w:rPr>
              <w:t>F - 52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9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40" w:orient="portrait"/>
          <w:cols w:equalWidth="0" w:num="1">
            <w:col w:w="10280"/>
          </w:cols>
          <w:pgMar w:left="820" w:top="699" w:right="804"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color w:val="auto"/>
        </w:rPr>
        <w:t>The following table provides details about reclassifications out of accumulated other comprehensive income (loss) for the years ended December 31,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 Reclassified from Accumulated Other</w:t>
            </w:r>
          </w:p>
        </w:tc>
        <w:tc>
          <w:tcPr>
            <w:tcW w:w="40" w:type="dxa"/>
            <w:vAlign w:val="bottom"/>
          </w:tcPr>
          <w:p>
            <w:pPr>
              <w:spacing w:after="0"/>
              <w:rPr>
                <w:sz w:val="17"/>
                <w:szCs w:val="17"/>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of Income</w:t>
            </w:r>
          </w:p>
        </w:tc>
      </w:tr>
      <w:tr>
        <w:trPr>
          <w:trHeight w:val="215"/>
        </w:trPr>
        <w:tc>
          <w:tcPr>
            <w:tcW w:w="3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Comprehensive Income (Loss) Components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04"/>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19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 (losses) on available-for-sale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200"/>
        </w:trPr>
        <w:tc>
          <w:tcPr>
            <w:tcW w:w="3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200" w:type="dxa"/>
            <w:vAlign w:val="bottom"/>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(expenses), net</w:t>
            </w:r>
          </w:p>
        </w:tc>
      </w:tr>
      <w:tr>
        <w:trPr>
          <w:trHeight w:val="200"/>
        </w:trPr>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(754)</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r>
      <w:tr>
        <w:trPr>
          <w:trHeight w:val="24"/>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r>
      <w:tr>
        <w:trPr>
          <w:trHeight w:val="203"/>
        </w:trPr>
        <w:tc>
          <w:tcPr>
            <w:tcW w:w="3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00" w:type="dxa"/>
            <w:vAlign w:val="bottom"/>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Total, net of income taxes</w:t>
            </w:r>
          </w:p>
        </w:tc>
      </w:tr>
      <w:tr>
        <w:trPr>
          <w:trHeight w:val="20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 (losses) on cash flow hedges</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r>
      <w:tr>
        <w:trPr>
          <w:trHeight w:val="200"/>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1,402</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296</w:t>
            </w: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(964)</w:t>
            </w:r>
          </w:p>
        </w:tc>
        <w:tc>
          <w:tcPr>
            <w:tcW w:w="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r>
      <w:tr>
        <w:trPr>
          <w:trHeight w:val="199"/>
        </w:trPr>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5,133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1,487</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(4,981)</w:t>
            </w:r>
          </w:p>
        </w:tc>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r>
      <w:tr>
        <w:trPr>
          <w:trHeight w:val="200"/>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1,128</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327</w:t>
            </w: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(1,057)</w:t>
            </w:r>
          </w:p>
        </w:tc>
        <w:tc>
          <w:tcPr>
            <w:tcW w:w="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r>
      <w:tr>
        <w:trPr>
          <w:trHeight w:val="200"/>
        </w:trPr>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1,653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w:t>
            </w:r>
          </w:p>
        </w:tc>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r>
      <w:tr>
        <w:trPr>
          <w:trHeight w:val="24"/>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r>
      <w:tr>
        <w:trPr>
          <w:trHeight w:val="199"/>
        </w:trPr>
        <w:tc>
          <w:tcPr>
            <w:tcW w:w="3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20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200" w:type="dxa"/>
            <w:vAlign w:val="bottom"/>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(8,325)</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before income taxes</w:t>
            </w:r>
          </w:p>
        </w:tc>
      </w:tr>
      <w:tr>
        <w:trPr>
          <w:trHeight w:val="200"/>
        </w:trPr>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(1,118)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r>
      <w:tr>
        <w:trPr>
          <w:trHeight w:val="24"/>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r>
      <w:tr>
        <w:trPr>
          <w:trHeight w:val="204"/>
        </w:trPr>
        <w:tc>
          <w:tcPr>
            <w:tcW w:w="3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20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200" w:type="dxa"/>
            <w:vAlign w:val="bottom"/>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(7,691)</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net of income taxes</w:t>
            </w:r>
          </w:p>
        </w:tc>
      </w:tr>
      <w:tr>
        <w:trPr>
          <w:trHeight w:val="19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substantial completion of</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liquidation of certain foreign subsidiaries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191"/>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 on intra-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20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entity transactions that are of a long-term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nature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(65,667)</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080" w:type="dxa"/>
            <w:vAlign w:val="bottom"/>
            <w:gridSpan w:val="4"/>
          </w:tcPr>
          <w:p>
            <w:pPr>
              <w:ind w:left="640"/>
              <w:spacing w:after="0"/>
              <w:rPr>
                <w:sz w:val="20"/>
                <w:szCs w:val="20"/>
                <w:color w:val="auto"/>
              </w:rPr>
            </w:pPr>
            <w:r>
              <w:rPr>
                <w:rFonts w:ascii="Times New Roman" w:cs="Times New Roman" w:eastAsia="Times New Roman" w:hAnsi="Times New Roman"/>
                <w:sz w:val="16"/>
                <w:szCs w:val="16"/>
                <w:color w:val="auto"/>
              </w:rPr>
              <w:t>- Financial income (expenses), net</w:t>
            </w:r>
          </w:p>
        </w:tc>
      </w:tr>
      <w:tr>
        <w:trPr>
          <w:trHeight w:val="20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8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Financial income (expenses), net</w:t>
            </w:r>
          </w:p>
        </w:tc>
      </w:tr>
      <w:tr>
        <w:trPr>
          <w:trHeight w:val="24"/>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(58,916)</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4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(50,720)</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spacing w:after="0"/>
              <w:rPr>
                <w:sz w:val="20"/>
                <w:szCs w:val="20"/>
                <w:color w:val="auto"/>
              </w:rPr>
            </w:pPr>
          </w:p>
        </w:tc>
      </w:tr>
      <w:tr>
        <w:trPr>
          <w:trHeight w:val="368"/>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F - 53</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0"/>
        </w:trPr>
        <w:tc>
          <w:tcPr>
            <w:tcW w:w="3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23" w:name="page124"/>
    <w:bookmarkEnd w:id="12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NOTE 22:</w:t>
            </w:r>
          </w:p>
        </w:tc>
        <w:tc>
          <w:tcPr>
            <w:tcW w:w="57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7"/>
        </w:trPr>
        <w:tc>
          <w:tcPr>
            <w:tcW w:w="66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following table presents the computation of basic and diluted earnings (loss) per share (“EPS”):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76"/>
        </w:trPr>
        <w:tc>
          <w:tcPr>
            <w:tcW w:w="900" w:type="dxa"/>
            <w:vAlign w:val="bottom"/>
            <w:tcBorders>
              <w:right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Basic EPS: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
        </w:trPr>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68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(1,806,357)</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34,329</w:t>
            </w:r>
          </w:p>
        </w:tc>
      </w:tr>
      <w:tr>
        <w:trPr>
          <w:trHeight w:val="200"/>
        </w:trPr>
        <w:tc>
          <w:tcPr>
            <w:tcW w:w="90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w w:val="96"/>
              </w:rPr>
              <w:t>Denominator:</w:t>
            </w: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9"/>
        </w:trPr>
        <w:tc>
          <w:tcPr>
            <w:tcW w:w="668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used in computing net earnings (loss) per share of common stock, basic</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58,954,380</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57,082,182</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56,557,106</w:t>
            </w:r>
          </w:p>
        </w:tc>
      </w:tr>
      <w:tr>
        <w:trPr>
          <w:trHeight w:val="168"/>
        </w:trPr>
        <w:tc>
          <w:tcPr>
            <w:tcW w:w="900" w:type="dxa"/>
            <w:vAlign w:val="bottom"/>
            <w:tcBorders>
              <w:top w:val="single" w:sz="8" w:color="CCEEFF"/>
              <w:bottom w:val="single" w:sz="8" w:color="auto"/>
            </w:tcBorders>
            <w:gridSpan w:val="4"/>
          </w:tcPr>
          <w:p>
            <w:pPr>
              <w:spacing w:after="0" w:line="165" w:lineRule="exact"/>
              <w:rPr>
                <w:sz w:val="20"/>
                <w:szCs w:val="20"/>
                <w:color w:val="auto"/>
              </w:rPr>
            </w:pPr>
            <w:r>
              <w:rPr>
                <w:rFonts w:ascii="Times New Roman" w:cs="Times New Roman" w:eastAsia="Times New Roman" w:hAnsi="Times New Roman"/>
                <w:sz w:val="16"/>
                <w:szCs w:val="16"/>
                <w:color w:val="auto"/>
              </w:rPr>
              <w:t>Diluted EPS:</w:t>
            </w:r>
          </w:p>
        </w:tc>
        <w:tc>
          <w:tcPr>
            <w:tcW w:w="1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50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0"/>
        </w:trPr>
        <w:tc>
          <w:tcPr>
            <w:tcW w:w="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Net income (loss) attributable to common stock, diluted</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(405,448)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(1,806,357)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34,329</w:t>
            </w:r>
          </w:p>
        </w:tc>
      </w:tr>
      <w:tr>
        <w:trPr>
          <w:trHeight w:val="200"/>
        </w:trPr>
        <w:tc>
          <w:tcPr>
            <w:tcW w:w="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Denominator:</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66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Shares used in computing net earnings (loss) per share of common stock, basic</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58,954,380</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57,082,182</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56,557,106</w:t>
            </w:r>
          </w:p>
        </w:tc>
      </w:tr>
      <w:tr>
        <w:trPr>
          <w:trHeight w:val="199"/>
        </w:trPr>
        <w:tc>
          <w:tcPr>
            <w:tcW w:w="668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stock-based awards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680,412</w:t>
            </w:r>
          </w:p>
        </w:tc>
      </w:tr>
      <w:tr>
        <w:trPr>
          <w:trHeight w:val="24"/>
        </w:trPr>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Shares used in computing net earnings (loss) per share of common stock, diluted</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58,954,380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57,082,182</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57,237,518</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4"/>
        </w:trPr>
        <w:tc>
          <w:tcPr>
            <w:tcW w:w="6680" w:type="dxa"/>
            <w:vAlign w:val="bottom"/>
            <w:gridSpan w:val="7"/>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Earnings (loss) per share:</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4"/>
        </w:trPr>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9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0.61</w:t>
            </w:r>
          </w:p>
        </w:tc>
      </w:tr>
      <w:tr>
        <w:trPr>
          <w:trHeight w:val="204"/>
        </w:trPr>
        <w:tc>
          <w:tcPr>
            <w:tcW w:w="900" w:type="dxa"/>
            <w:vAlign w:val="bottom"/>
            <w:tcBorders>
              <w:bottom w:val="single" w:sz="8" w:color="CCEEFF"/>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603885</wp:posOffset>
                </wp:positionH>
                <wp:positionV relativeFrom="paragraph">
                  <wp:posOffset>-297180</wp:posOffset>
                </wp:positionV>
                <wp:extent cx="3048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5pt,-23.3999pt" to="49.95pt,-23.3999pt" o:allowincell="f" strokecolor="#000000" strokeweight="0.36pt"/>
            </w:pict>
          </mc:Fallback>
        </mc:AlternateConten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outstanding shares of common stock equivalents were excluded from the calculation due to their antidilutive nature:</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27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6680" w:type="dxa"/>
            <w:vAlign w:val="bottom"/>
          </w:tcPr>
          <w:p>
            <w:pPr>
              <w:spacing w:after="0"/>
              <w:rPr>
                <w:sz w:val="17"/>
                <w:szCs w:val="17"/>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1,501,640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2,203,364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666,217</w:t>
            </w:r>
          </w:p>
        </w:tc>
        <w:tc>
          <w:tcPr>
            <w:tcW w:w="100" w:type="dxa"/>
            <w:vAlign w:val="bottom"/>
            <w:shd w:val="clear" w:color="auto" w:fill="CCEEFF"/>
          </w:tcPr>
          <w:p>
            <w:pPr>
              <w:spacing w:after="0"/>
              <w:rPr>
                <w:sz w:val="17"/>
                <w:szCs w:val="17"/>
                <w:color w:val="auto"/>
              </w:rPr>
            </w:pP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Notes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878,174</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2,056,978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2,276,818</w:t>
            </w:r>
          </w:p>
        </w:tc>
      </w:tr>
      <w:tr>
        <w:trPr>
          <w:trHeight w:val="200"/>
        </w:trPr>
        <w:tc>
          <w:tcPr>
            <w:tcW w:w="66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Notes 2029</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9,819,347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2,521,310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66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Total shares excluded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12,199,161</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6,781,652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2,943,035</w:t>
            </w:r>
          </w:p>
        </w:tc>
      </w:tr>
      <w:tr>
        <w:trPr>
          <w:trHeight w:val="20"/>
        </w:trPr>
        <w:tc>
          <w:tcPr>
            <w:tcW w:w="6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 w:hanging="4"/>
        <w:spacing w:after="0" w:line="232" w:lineRule="auto"/>
        <w:tabs>
          <w:tab w:leader="none" w:pos="117"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conjunction with the issuance of the Notes 2029 in June 2024, the Company used approximately $25,230 of the net proceeds from this offering to pay the cost of the capped call transactions. In July 2024, following a subsequent issuance of the Notes 2029, $3,111 of net proceeds were used to pay the cost of capped call transactions. In accordance with FASB ASC 260, antidilutive contracts, such as purchased call options are excluded from the computation of diluted net income (loss) per share. Accordingly, any potential impact resulting from capped call transaction is excluded from the Company's computation of diluted net income (loss) per share.</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653224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514.35pt,4.3pt" o:allowincell="f" strokecolor="#000000" strokeweight="1.1999pt"/>
            </w:pict>
          </mc:Fallback>
        </mc:AlternateContent>
      </w:r>
    </w:p>
    <w:p>
      <w:pPr>
        <w:sectPr>
          <w:pgSz w:w="11900" w:h="16840" w:orient="portrait"/>
          <w:cols w:equalWidth="0" w:num="1">
            <w:col w:w="10284"/>
          </w:cols>
          <w:pgMar w:left="816" w:top="699" w:right="804"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23:</w:t>
            </w:r>
          </w:p>
        </w:tc>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 OPERATING EXPENSES, NET</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8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9"/>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asset-held for sale</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00"/>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from business disposition</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from sale of property, plant and equipment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541</w:t>
            </w:r>
          </w:p>
        </w:tc>
      </w:tr>
      <w:tr>
        <w:trPr>
          <w:trHeight w:val="199"/>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of intangible assets and goodwill</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24,674</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5,622</w:t>
            </w:r>
          </w:p>
        </w:tc>
      </w:tr>
      <w:tr>
        <w:trPr>
          <w:trHeight w:val="20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and disposal by abandonment of property, plant and equipment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25,168</w:t>
            </w:r>
          </w:p>
        </w:tc>
      </w:tr>
      <w:tr>
        <w:trPr>
          <w:trHeight w:val="204"/>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4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(5,717)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r>
      <w:tr>
        <w:trPr>
          <w:trHeight w:val="239"/>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operating expense, net</w:t>
            </w:r>
          </w:p>
        </w:tc>
        <w:tc>
          <w:tcPr>
            <w:tcW w:w="1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259,527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77"/>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20" w:type="dxa"/>
            <w:vAlign w:val="bottom"/>
            <w:gridSpan w:val="2"/>
          </w:tcPr>
          <w:p>
            <w:pPr>
              <w:jc w:val="right"/>
              <w:ind w:right="1480"/>
              <w:spacing w:after="0"/>
              <w:rPr>
                <w:sz w:val="20"/>
                <w:szCs w:val="20"/>
                <w:color w:val="auto"/>
              </w:rPr>
            </w:pPr>
            <w:r>
              <w:rPr>
                <w:rFonts w:ascii="Times New Roman" w:cs="Times New Roman" w:eastAsia="Times New Roman" w:hAnsi="Times New Roman"/>
                <w:sz w:val="16"/>
                <w:szCs w:val="16"/>
                <w:color w:val="auto"/>
              </w:rPr>
              <w:t>F - 55</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
        </w:trPr>
        <w:tc>
          <w:tcPr>
            <w:tcW w:w="84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40" w:orient="portrait"/>
          <w:cols w:equalWidth="0" w:num="1">
            <w:col w:w="10280"/>
          </w:cols>
          <w:pgMar w:left="820" w:top="708" w:right="804"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24:</w:t>
      </w:r>
      <w:r>
        <w:rPr>
          <w:sz w:val="20"/>
          <w:szCs w:val="20"/>
          <w:color w:val="auto"/>
        </w:rPr>
        <w:tab/>
      </w:r>
      <w:r>
        <w:rPr>
          <w:rFonts w:ascii="Times New Roman" w:cs="Times New Roman" w:eastAsia="Times New Roman" w:hAnsi="Times New Roman"/>
          <w:sz w:val="15"/>
          <w:szCs w:val="15"/>
          <w:b w:val="1"/>
          <w:bCs w:val="1"/>
          <w:color w:val="auto"/>
        </w:rPr>
        <w:t>RESTRUCTURING AND OTHER EXIT ACTIVITIES</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 January 21, 2024, the Company announced the adoption of a restructuring plan in response to challenging industry conditions. Under this restructuring plan, the Company reduced its headcount by approximately 900 employees over the first half of 2024 in an involuntary workforce reduction. The adoption of this restructuring plan followed the Company’s previous measures taken to align with current market conditions, including termination of our manufacturing in Mexico and China, and discontinuation of the Company’s light commercial vehicle e-mobility activity. On July 15, 2024, the Company announced additional workforce reductions, resulting in the layoff of 400 employees.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On November 27, 2024, the Company announced the closure of its Energy Storage Division. In connection with the closure, the Company reduced its headcount by approximately 500 employees, primarily in manufacturing positions in South Korea. This closure and associated headcount reduction represented approximately 12% of the Company’s overall employee population, at the time, almost all of whom were dismissed over the first half of 2025. In January 2025, the Company announced the adoption of a restructuring plan, in response to challenging industry conditions, which included an additional reduction in workforce. In April 2025, we divested from our PV tracker business, as part of our effort to focus on our core activities. On September 4, 2025, as part of the decision to close its Energy Storage Division, the Company, sold its last battery cell manufacturing facility in South Korea. The Company has determined that the discontinuation of its Energy Storage activity does not represent a strategic shift that will have a major effect on the Company's operations and financial results and therefore it did not meet the criteria for discontinued operations classification.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and other exit charges for the year ended December 31, 2025 by type of cost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and other</w:t>
            </w: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100" w:type="dxa"/>
            <w:vAlign w:val="bottom"/>
            <w:shd w:val="clear" w:color="auto" w:fill="CCEEFF"/>
          </w:tcPr>
          <w:p>
            <w:pPr>
              <w:spacing w:after="0"/>
              <w:rPr>
                <w:sz w:val="17"/>
                <w:szCs w:val="17"/>
                <w:color w:val="auto"/>
              </w:rPr>
            </w:pPr>
          </w:p>
        </w:tc>
      </w:t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1,462</w:t>
            </w: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1,180</w:t>
            </w: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1,687</w:t>
            </w:r>
          </w:p>
        </w:tc>
      </w:tr>
      <w:tr>
        <w:trPr>
          <w:trHeight w:val="20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(3,137)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(3,137)</w:t>
            </w:r>
          </w:p>
        </w:tc>
      </w:tr>
      <w:tr>
        <w:trPr>
          <w:trHeight w:val="24"/>
        </w:trPr>
        <w:tc>
          <w:tcPr>
            <w:tcW w:w="6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(17,570)</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(12,425)</w:t>
            </w:r>
          </w:p>
        </w:tc>
      </w:tr>
      <w:tr>
        <w:trPr>
          <w:trHeight w:val="20"/>
        </w:trPr>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and other exit charges for the year ended December 31, 2024 by type of cost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Employee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and other</w:t>
            </w: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38,227</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40,248</w:t>
            </w:r>
          </w:p>
        </w:tc>
        <w:tc>
          <w:tcPr>
            <w:tcW w:w="100" w:type="dxa"/>
            <w:vAlign w:val="bottom"/>
            <w:shd w:val="clear" w:color="auto" w:fill="CCEEFF"/>
          </w:tcPr>
          <w:p>
            <w:pPr>
              <w:spacing w:after="0"/>
              <w:rPr>
                <w:sz w:val="17"/>
                <w:szCs w:val="17"/>
                <w:color w:val="auto"/>
              </w:rPr>
            </w:pPr>
          </w:p>
        </w:tc>
      </w:tr>
      <w:tr>
        <w:trPr>
          <w:trHeight w:val="200"/>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r>
      <w:tr>
        <w:trPr>
          <w:trHeight w:val="20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1,228</w:t>
            </w:r>
          </w:p>
        </w:tc>
      </w:tr>
      <w:tr>
        <w:trPr>
          <w:trHeight w:val="19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948</w:t>
            </w:r>
          </w:p>
        </w:tc>
      </w:tr>
      <w:tr>
        <w:trPr>
          <w:trHeight w:val="20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2,356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2,356</w:t>
            </w:r>
          </w:p>
        </w:tc>
      </w:tr>
      <w:tr>
        <w:trPr>
          <w:trHeight w:val="24"/>
        </w:trPr>
        <w:tc>
          <w:tcPr>
            <w:tcW w:w="6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40,949</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49,148</w:t>
            </w: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and other exit charges for the year ended December 31, 2023 by type of cost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Employee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and other</w:t>
            </w: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57,241</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59,802</w:t>
            </w:r>
          </w:p>
        </w:tc>
        <w:tc>
          <w:tcPr>
            <w:tcW w:w="100" w:type="dxa"/>
            <w:vAlign w:val="bottom"/>
            <w:shd w:val="clear" w:color="auto" w:fill="CCEEFF"/>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384</w:t>
            </w:r>
          </w:p>
        </w:tc>
      </w:tr>
      <w:tr>
        <w:trPr>
          <w:trHeight w:val="24"/>
        </w:trPr>
        <w:tc>
          <w:tcPr>
            <w:tcW w:w="33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57,328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60,190</w:t>
            </w:r>
          </w:p>
        </w:tc>
      </w:tr>
      <w:tr>
        <w:trPr>
          <w:trHeight w:val="20"/>
        </w:trPr>
        <w:tc>
          <w:tcPr>
            <w:tcW w:w="3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8"/>
        </w:trPr>
        <w:tc>
          <w:tcPr>
            <w:tcW w:w="3340" w:type="dxa"/>
            <w:vAlign w:val="bottom"/>
          </w:tcPr>
          <w:p>
            <w:pPr>
              <w:spacing w:after="0"/>
              <w:rPr>
                <w:sz w:val="24"/>
                <w:szCs w:val="24"/>
                <w:color w:val="auto"/>
              </w:rPr>
            </w:pPr>
          </w:p>
        </w:tc>
        <w:tc>
          <w:tcPr>
            <w:tcW w:w="3420" w:type="dxa"/>
            <w:vAlign w:val="bottom"/>
            <w:gridSpan w:val="2"/>
          </w:tcPr>
          <w:p>
            <w:pPr>
              <w:jc w:val="right"/>
              <w:ind w:right="1340"/>
              <w:spacing w:after="0"/>
              <w:rPr>
                <w:sz w:val="20"/>
                <w:szCs w:val="20"/>
                <w:color w:val="auto"/>
              </w:rPr>
            </w:pPr>
            <w:r>
              <w:rPr>
                <w:rFonts w:ascii="Times New Roman" w:cs="Times New Roman" w:eastAsia="Times New Roman" w:hAnsi="Times New Roman"/>
                <w:sz w:val="16"/>
                <w:szCs w:val="16"/>
                <w:color w:val="auto"/>
              </w:rPr>
              <w:t>F - 56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33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708" w:right="804"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The Company’s liability balance for the restructuring and other exit charges is as follows: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4"/>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Employee</w:t>
            </w:r>
          </w:p>
        </w:tc>
        <w:tc>
          <w:tcPr>
            <w:tcW w:w="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w:t>
            </w:r>
          </w:p>
        </w:tc>
      </w:tr>
      <w:tr>
        <w:trPr>
          <w:trHeight w:val="200"/>
        </w:trPr>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termination</w:t>
            </w:r>
          </w:p>
        </w:tc>
      </w:tr>
      <w:tr>
        <w:trPr>
          <w:trHeight w:val="215"/>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and other</w:t>
            </w:r>
          </w:p>
        </w:tc>
      </w:tr>
      <w:tr>
        <w:trPr>
          <w:trHeight w:val="20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23,933</w:t>
            </w:r>
          </w:p>
        </w:tc>
        <w:tc>
          <w:tcPr>
            <w:tcW w:w="100" w:type="dxa"/>
            <w:vAlign w:val="bottom"/>
            <w:shd w:val="clear" w:color="auto" w:fill="CCEEFF"/>
          </w:tcPr>
          <w:p>
            <w:pPr>
              <w:spacing w:after="0"/>
              <w:rPr>
                <w:sz w:val="17"/>
                <w:szCs w:val="17"/>
                <w:color w:val="auto"/>
              </w:rPr>
            </w:pPr>
          </w:p>
        </w:tc>
      </w:tr>
      <w:tr>
        <w:trPr>
          <w:trHeight w:val="20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(17,570)</w:t>
            </w:r>
          </w:p>
        </w:tc>
      </w:tr>
      <w:tr>
        <w:trPr>
          <w:trHeight w:val="19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(6,218)</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(6,315)</w:t>
            </w:r>
          </w:p>
        </w:tc>
      </w:tr>
      <w:tr>
        <w:trPr>
          <w:trHeight w:val="20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Non-cash utilization and other</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r>
      <w:tr>
        <w:trPr>
          <w:trHeight w:val="24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68"/>
        </w:trPr>
        <w:tc>
          <w:tcPr>
            <w:tcW w:w="7900" w:type="dxa"/>
            <w:vAlign w:val="bottom"/>
          </w:tcPr>
          <w:p>
            <w:pPr>
              <w:ind w:left="4940"/>
              <w:spacing w:after="0"/>
              <w:rPr>
                <w:sz w:val="20"/>
                <w:szCs w:val="20"/>
                <w:color w:val="auto"/>
              </w:rPr>
            </w:pPr>
            <w:r>
              <w:rPr>
                <w:rFonts w:ascii="Times New Roman" w:cs="Times New Roman" w:eastAsia="Times New Roman" w:hAnsi="Times New Roman"/>
                <w:sz w:val="16"/>
                <w:szCs w:val="16"/>
                <w:color w:val="auto"/>
              </w:rPr>
              <w:t>F - 57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7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27" w:name="page128"/>
    <w:bookmarkEnd w:id="12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6"/>
          <w:szCs w:val="16"/>
          <w:b w:val="1"/>
          <w:bCs w:val="1"/>
          <w:color w:val="auto"/>
        </w:rPr>
        <w:t>NOTE 25:</w:t>
      </w:r>
      <w:r>
        <w:rPr>
          <w:sz w:val="20"/>
          <w:szCs w:val="20"/>
          <w:color w:val="auto"/>
        </w:rPr>
        <w:tab/>
      </w:r>
      <w:r>
        <w:rPr>
          <w:rFonts w:ascii="Times New Roman" w:cs="Times New Roman" w:eastAsia="Times New Roman" w:hAnsi="Times New Roman"/>
          <w:sz w:val="15"/>
          <w:szCs w:val="15"/>
          <w:b w:val="1"/>
          <w:bCs w:val="1"/>
          <w:color w:val="auto"/>
        </w:rPr>
        <w:t>INCOME TAXES</w:t>
      </w:r>
    </w:p>
    <w:p>
      <w:pPr>
        <w:spacing w:after="0" w:line="210" w:lineRule="exact"/>
        <w:rPr>
          <w:sz w:val="20"/>
          <w:szCs w:val="20"/>
          <w:color w:val="auto"/>
        </w:rPr>
      </w:pPr>
    </w:p>
    <w:p>
      <w:pPr>
        <w:ind w:left="584" w:hanging="584"/>
        <w:spacing w:after="0"/>
        <w:tabs>
          <w:tab w:leader="none" w:pos="5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rates in the U.S:</w:t>
      </w:r>
    </w:p>
    <w:p>
      <w:pPr>
        <w:spacing w:after="0" w:line="208" w:lineRule="exact"/>
        <w:rPr>
          <w:rFonts w:ascii="Times New Roman" w:cs="Times New Roman" w:eastAsia="Times New Roman" w:hAnsi="Times New Roman"/>
          <w:sz w:val="16"/>
          <w:szCs w:val="16"/>
          <w:color w:val="auto"/>
        </w:rPr>
      </w:pPr>
    </w:p>
    <w:p>
      <w:pPr>
        <w:ind w:left="5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subject to U.S. federal tax at the rate of 21%.</w:t>
      </w:r>
    </w:p>
    <w:p>
      <w:pPr>
        <w:spacing w:after="0" w:line="215" w:lineRule="exact"/>
        <w:rPr>
          <w:rFonts w:ascii="Times New Roman" w:cs="Times New Roman" w:eastAsia="Times New Roman" w:hAnsi="Times New Roman"/>
          <w:sz w:val="16"/>
          <w:szCs w:val="16"/>
          <w:color w:val="auto"/>
        </w:rPr>
      </w:pPr>
    </w:p>
    <w:p>
      <w:pPr>
        <w:jc w:val="both"/>
        <w:ind w:left="584"/>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22, 2017, the Tax Cuts and Jobs Act (the "Tax Act") was signed into law making significant changes to U.S. income tax law. These changes include, but are not limited to, a corporate tax rate decrease from 35% to 21% effective for tax years 2018 onwards and created new taxes on certain foreign-sourced earnings and certain related-party payments - the Global Intangible Low Taxed Income (“GILTI”). Furthermore, changes introduced by the Tax Act to Section 174 of the Internal Revenue Code, that came into effect on January 1, 2022, require taxpayers to amortize research and development expenditures over five years (if incurred in the U.S.) or fifteen years (if incurred outside the U.S.), thereby increasing taxable income and payable tax.</w:t>
      </w:r>
    </w:p>
    <w:p>
      <w:pPr>
        <w:spacing w:after="0" w:line="167"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Act required the Company to pay U.S. income taxes on accumulated foreign subsidiaries earnings not previously subject to U.S. income tax at a rate of 15.5% to the extent of foreign cash and certain other net current assets and 8% on the remaining earnings. The total tax liability was calculated to approximately $8,500, which are paid over the eight-year period provided in the Tax Act (ended 2025).</w:t>
      </w:r>
    </w:p>
    <w:p>
      <w:pPr>
        <w:spacing w:after="0" w:line="150"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tax in Israel:</w:t>
      </w:r>
    </w:p>
    <w:p>
      <w:pPr>
        <w:spacing w:after="0" w:line="207"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taxable income of Israeli companies is subject to corporate tax at the rate of 23%. The Israeli Subsidiary is also eligible for tax benefits as further described in note 25k.</w:t>
      </w:r>
    </w:p>
    <w:p>
      <w:pPr>
        <w:spacing w:after="0" w:line="132"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Carryforward tax losses:</w:t>
      </w:r>
    </w:p>
    <w:p>
      <w:pPr>
        <w:spacing w:after="0" w:line="207" w:lineRule="exact"/>
        <w:rPr>
          <w:rFonts w:ascii="Times New Roman" w:cs="Times New Roman" w:eastAsia="Times New Roman" w:hAnsi="Times New Roman"/>
          <w:sz w:val="16"/>
          <w:szCs w:val="16"/>
          <w:color w:val="auto"/>
        </w:rPr>
      </w:pPr>
    </w:p>
    <w:p>
      <w:pPr>
        <w:jc w:val="both"/>
        <w:ind w:left="584"/>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Company has carryforward federal tax losses of $261,521 and carryforward state tax losses of $164,331. In addition, the foreign subsidiaries have carryforward tax losses of $2,056,156 (out of which an amount of $79,851 relates to carryforward capital losses of the Israeli Subsidiary). All carryforward tax losses do not have an expiration date.</w:t>
      </w:r>
    </w:p>
    <w:p>
      <w:pPr>
        <w:spacing w:after="0" w:line="148"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taxes:</w:t>
      </w:r>
    </w:p>
    <w:p>
      <w:pPr>
        <w:spacing w:after="0" w:line="208" w:lineRule="exact"/>
        <w:rPr>
          <w:sz w:val="20"/>
          <w:szCs w:val="20"/>
          <w:color w:val="auto"/>
        </w:rPr>
      </w:pPr>
    </w:p>
    <w:p>
      <w:pPr>
        <w:ind w:left="584"/>
        <w:spacing w:after="0" w:line="300" w:lineRule="auto"/>
        <w:rPr>
          <w:sz w:val="20"/>
          <w:szCs w:val="20"/>
          <w:color w:val="auto"/>
        </w:rPr>
      </w:pPr>
      <w:r>
        <w:rPr>
          <w:rFonts w:ascii="Times New Roman" w:cs="Times New Roman" w:eastAsia="Times New Roman" w:hAnsi="Times New Roman"/>
          <w:sz w:val="16"/>
          <w:szCs w:val="16"/>
          <w:color w:val="auto"/>
        </w:rPr>
        <w:t>Deferred taxes reflect the net tax effect of temporary differences between the carrying amounts of assets and liabilities for financial reporting purposes and the amounts used for income tax purposes.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53224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14.35pt,3.85pt" o:allowincell="f" strokecolor="#000000" strokeweight="1.1999pt"/>
            </w:pict>
          </mc:Fallback>
        </mc:AlternateContent>
      </w:r>
    </w:p>
    <w:p>
      <w:pPr>
        <w:sectPr>
          <w:pgSz w:w="11900" w:h="16840" w:orient="portrait"/>
          <w:cols w:equalWidth="0" w:num="1">
            <w:col w:w="10284"/>
          </w:cols>
          <w:pgMar w:left="816" w:top="699" w:right="804" w:bottom="1440" w:gutter="0" w:footer="0" w:header="0"/>
        </w:sectPr>
      </w:pPr>
    </w:p>
    <w:bookmarkStart w:id="128" w:name="page129"/>
    <w:bookmarkEnd w:id="128"/>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58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Significant components of the Company’s deferred tax liabilities and assets are as follows: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0"/>
        </w:trPr>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7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carryforward expenses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19,698</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15,857</w:t>
            </w: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Carryforward tax losses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341,977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219,341</w:t>
            </w:r>
          </w:p>
        </w:tc>
      </w:tr>
      <w:tr>
        <w:trPr>
          <w:trHeight w:val="19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 expenses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43,523</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38,499</w:t>
            </w: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12,999</w:t>
            </w:r>
          </w:p>
        </w:tc>
      </w:tr>
      <w:tr>
        <w:trPr>
          <w:trHeight w:val="200"/>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10,634</w:t>
            </w:r>
          </w:p>
        </w:tc>
      </w:tr>
      <w:tr>
        <w:trPr>
          <w:trHeight w:val="19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Impairment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10,833</w:t>
            </w:r>
          </w:p>
        </w:tc>
      </w:tr>
      <w:tr>
        <w:trPr>
          <w:trHeight w:val="200"/>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13,672</w:t>
            </w: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11,662</w:t>
            </w: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Allowance and other reserves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20,549</w:t>
            </w: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471,719</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354,046</w:t>
            </w:r>
          </w:p>
        </w:tc>
        <w:tc>
          <w:tcPr>
            <w:tcW w:w="100" w:type="dxa"/>
            <w:vAlign w:val="bottom"/>
            <w:shd w:val="clear" w:color="auto" w:fill="CCEEFF"/>
          </w:tcPr>
          <w:p>
            <w:pPr>
              <w:spacing w:after="0"/>
              <w:rPr>
                <w:sz w:val="17"/>
                <w:szCs w:val="17"/>
                <w:color w:val="auto"/>
              </w:rPr>
            </w:pPr>
          </w:p>
        </w:tc>
      </w:tr>
      <w:tr>
        <w:trPr>
          <w:trHeight w:val="200"/>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(455,884)</w:t>
            </w: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(331,816)</w:t>
            </w:r>
          </w:p>
        </w:tc>
      </w:tr>
      <w:tr>
        <w:trPr>
          <w:trHeight w:val="20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 net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22,230</w:t>
            </w:r>
          </w:p>
        </w:tc>
      </w:tr>
      <w:tr>
        <w:trPr>
          <w:trHeight w:val="200"/>
        </w:trPr>
        <w:tc>
          <w:tcPr>
            <w:tcW w:w="6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Intercompany transactions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(4,200)</w:t>
            </w:r>
          </w:p>
        </w:tc>
      </w:tr>
      <w:tr>
        <w:trPr>
          <w:trHeight w:val="19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(7,504)</w:t>
            </w: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(11,066)</w:t>
            </w: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(1,251)</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(3,149)</w:t>
            </w:r>
          </w:p>
        </w:tc>
      </w:tr>
      <w:tr>
        <w:trPr>
          <w:trHeight w:val="200"/>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(5,906)</w:t>
            </w: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(4,377)</w:t>
            </w:r>
          </w:p>
        </w:tc>
      </w:tr>
      <w:tr>
        <w:trPr>
          <w:trHeight w:val="19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(549)</w:t>
            </w:r>
          </w:p>
        </w:tc>
      </w:tr>
      <w:tr>
        <w:trPr>
          <w:trHeight w:val="24"/>
        </w:trPr>
        <w:tc>
          <w:tcPr>
            <w:tcW w:w="67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(16,020)</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(23,341)</w:t>
            </w: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Recorded as: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672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Deferred tax liabilities, net</w:t>
            </w:r>
            <w:r>
              <w:rPr>
                <w:rFonts w:ascii="Times New Roman" w:cs="Times New Roman" w:eastAsia="Times New Roman" w:hAnsi="Times New Roman"/>
                <w:sz w:val="23"/>
                <w:szCs w:val="23"/>
                <w:color w:val="auto"/>
                <w:vertAlign w:val="superscript"/>
              </w:rPr>
              <w:t>1</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(185)</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(1,111)</w:t>
            </w:r>
          </w:p>
        </w:tc>
      </w:tr>
      <w:tr>
        <w:trPr>
          <w:trHeight w:val="20"/>
        </w:trPr>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Presented under other long-term liabilities</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Company’s Israeli Subsidiary’s tax-exempt profit from Benefited Enterprises (as defined in note 25k) is permanently reinvested, Therefore, deferred taxes have not been provided for such tax-exempt income.</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may incur additional tax liability in the event of intercompany dividend distributions by some of its subsidiaries. Such additional tax liability in respect of these subsidiaries has not been provided for in the Financial Statements as the Company’s management and the Board of Directors has determined that the Company intends to reinvest earnings of its subsidiaries indefinitely.</w:t>
      </w:r>
    </w:p>
    <w:p>
      <w:pPr>
        <w:spacing w:after="0" w:line="1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F - 59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-370840</wp:posOffset>
                </wp:positionH>
                <wp:positionV relativeFrom="paragraph">
                  <wp:posOffset>48895</wp:posOffset>
                </wp:positionV>
                <wp:extent cx="653224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999pt,3.85pt" to="485.15pt,3.85pt" o:allowincell="f" strokecolor="#000000" strokeweight="1.1999pt"/>
            </w:pict>
          </mc:Fallback>
        </mc:AlternateContent>
      </w:r>
    </w:p>
    <w:p>
      <w:pPr>
        <w:sectPr>
          <w:pgSz w:w="11900" w:h="16840" w:orient="portrait"/>
          <w:cols w:equalWidth="0" w:num="1">
            <w:col w:w="9700"/>
          </w:cols>
          <w:pgMar w:left="1400" w:top="699" w:right="804" w:bottom="1440" w:gutter="0" w:footer="0" w:header="0"/>
        </w:sectPr>
      </w:pPr>
    </w:p>
    <w:bookmarkStart w:id="129" w:name="page130"/>
    <w:bookmarkEnd w:id="129"/>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54" w:lineRule="exact"/>
        <w:rPr>
          <w:sz w:val="20"/>
          <w:szCs w:val="20"/>
          <w:color w:val="auto"/>
        </w:rPr>
      </w:pPr>
    </w:p>
    <w:p>
      <w:pPr>
        <w:ind w:left="584" w:hanging="584"/>
        <w:spacing w:after="0"/>
        <w:tabs>
          <w:tab w:leader="none" w:pos="58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tax positions are comprised as follows:</w:t>
      </w:r>
    </w:p>
    <w:p>
      <w:pPr>
        <w:spacing w:after="0" w:line="190" w:lineRule="exact"/>
        <w:rPr>
          <w:sz w:val="20"/>
          <w:szCs w:val="20"/>
          <w:color w:val="auto"/>
        </w:rPr>
      </w:pPr>
    </w:p>
    <w:tbl>
      <w:tblPr>
        <w:tblLayout w:type="fixed"/>
        <w:tblInd w:w="584"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shd w:val="clear" w:color="auto" w:fill="CCEEFF"/>
          </w:tcPr>
          <w:p>
            <w:pPr>
              <w:spacing w:after="0"/>
              <w:rPr>
                <w:sz w:val="17"/>
                <w:szCs w:val="17"/>
                <w:color w:val="auto"/>
              </w:rPr>
            </w:pPr>
          </w:p>
        </w:tc>
      </w:tr>
      <w:tr>
        <w:trPr>
          <w:trHeight w:val="184"/>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Decrease related to tax settlements</w:t>
            </w:r>
          </w:p>
        </w:tc>
        <w:tc>
          <w:tcPr>
            <w:tcW w:w="1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1,502</w:t>
            </w:r>
          </w:p>
        </w:tc>
      </w:tr>
      <w:tr>
        <w:trPr>
          <w:trHeight w:val="199"/>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Increase for tax positions related to prior years</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16,418</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11,778</w:t>
            </w:r>
          </w:p>
        </w:tc>
      </w:tr>
      <w:tr>
        <w:trPr>
          <w:trHeight w:val="20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related to prior year tax positions</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w:t>
            </w:r>
          </w:p>
        </w:tc>
      </w:tr>
      <w:tr>
        <w:trPr>
          <w:trHeight w:val="24"/>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the period</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8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32,326</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15,908</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total amount of gross unrecognized tax benefits above would affect the Company's effective tax rate, if recognized.</w:t>
      </w:r>
    </w:p>
    <w:p>
      <w:pPr>
        <w:spacing w:after="0" w:line="216"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Company accrues interest and penalties related to unrecognized tax benefits in its provision for income taxes.</w:t>
      </w:r>
    </w:p>
    <w:p>
      <w:pPr>
        <w:spacing w:after="0" w:line="216"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As of December 31, 2025 and 2024, the Company accrued $1,415 and $9,165, respectively.</w:t>
      </w:r>
    </w:p>
    <w:p>
      <w:pPr>
        <w:spacing w:after="0" w:line="208" w:lineRule="exact"/>
        <w:rPr>
          <w:sz w:val="20"/>
          <w:szCs w:val="20"/>
          <w:color w:val="auto"/>
        </w:rPr>
      </w:pPr>
    </w:p>
    <w:p>
      <w:pPr>
        <w:ind w:left="584" w:hanging="584"/>
        <w:spacing w:after="0"/>
        <w:tabs>
          <w:tab w:leader="none" w:pos="5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(loss) before income taxes are comprised as follows:</w:t>
      </w:r>
    </w:p>
    <w:p>
      <w:pPr>
        <w:spacing w:after="0" w:line="206" w:lineRule="exact"/>
        <w:rPr>
          <w:sz w:val="20"/>
          <w:szCs w:val="20"/>
          <w:color w:val="auto"/>
        </w:rPr>
      </w:pPr>
    </w:p>
    <w:tbl>
      <w:tblPr>
        <w:tblLayout w:type="fixed"/>
        <w:tblInd w:w="584"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7"/>
                <w:szCs w:val="17"/>
                <w:color w:val="auto"/>
              </w:rPr>
            </w:pPr>
          </w:p>
        </w:tc>
      </w:tr>
      <w:tr>
        <w:trPr>
          <w:trHeight w:val="19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49,758</w:t>
            </w:r>
          </w:p>
        </w:tc>
        <w:tc>
          <w:tcPr>
            <w:tcW w:w="100" w:type="dxa"/>
            <w:vAlign w:val="bottom"/>
            <w:shd w:val="clear" w:color="auto" w:fill="CCEEFF"/>
          </w:tcPr>
          <w:p>
            <w:pPr>
              <w:spacing w:after="0"/>
              <w:rPr>
                <w:sz w:val="17"/>
                <w:szCs w:val="17"/>
                <w:color w:val="auto"/>
              </w:rPr>
            </w:pPr>
          </w:p>
        </w:tc>
      </w:tr>
      <w:tr>
        <w:trPr>
          <w:trHeight w:val="204"/>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(572,925)</w:t>
            </w: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(1,704,142)</w:t>
            </w:r>
          </w:p>
        </w:tc>
        <w:tc>
          <w:tcPr>
            <w:tcW w:w="2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31,341</w:t>
            </w:r>
          </w:p>
        </w:tc>
      </w:tr>
      <w:tr>
        <w:trPr>
          <w:trHeight w:val="22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(391,106</w:t>
            </w:r>
          </w:p>
        </w:tc>
        <w:tc>
          <w:tcPr>
            <w:tcW w:w="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(1,708,311</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81,099</w:t>
            </w:r>
          </w:p>
        </w:tc>
        <w:tc>
          <w:tcPr>
            <w:tcW w:w="100" w:type="dxa"/>
            <w:vAlign w:val="bottom"/>
            <w:shd w:val="clear" w:color="auto" w:fill="CCEEFF"/>
          </w:tcPr>
          <w:p>
            <w:pPr>
              <w:spacing w:after="0"/>
              <w:rPr>
                <w:sz w:val="19"/>
                <w:szCs w:val="19"/>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584" w:hanging="584"/>
        <w:spacing w:after="0"/>
        <w:tabs>
          <w:tab w:leader="none" w:pos="58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taxes are comprised as follows:</w:t>
      </w:r>
    </w:p>
    <w:p>
      <w:pPr>
        <w:spacing w:after="0" w:line="206" w:lineRule="exact"/>
        <w:rPr>
          <w:sz w:val="20"/>
          <w:szCs w:val="20"/>
          <w:color w:val="auto"/>
        </w:rPr>
      </w:pPr>
    </w:p>
    <w:tbl>
      <w:tblPr>
        <w:tblLayout w:type="fixed"/>
        <w:tblInd w:w="584"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7"/>
                <w:szCs w:val="17"/>
                <w:color w:val="auto"/>
              </w:rPr>
            </w:pPr>
          </w:p>
        </w:tc>
      </w:tr>
      <w:tr>
        <w:trPr>
          <w:trHeight w:val="19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2,601</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4,036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42,960</w:t>
            </w:r>
          </w:p>
        </w:tc>
      </w:tr>
      <w:tr>
        <w:trPr>
          <w:trHeight w:val="200"/>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46,531</w:t>
            </w:r>
          </w:p>
        </w:tc>
      </w:tr>
      <w:tr>
        <w:trPr>
          <w:trHeight w:val="24"/>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taxes</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14,143</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16,941</w:t>
            </w:r>
          </w:p>
        </w:tc>
        <w:tc>
          <w:tcPr>
            <w:tcW w:w="2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89,491</w:t>
            </w:r>
          </w:p>
        </w:tc>
      </w:tr>
      <w:tr>
        <w:trPr>
          <w:trHeight w:val="20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(2,244)</w:t>
            </w:r>
          </w:p>
        </w:tc>
      </w:tr>
      <w:tr>
        <w:trPr>
          <w:trHeight w:val="199"/>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(40,827)</w:t>
            </w:r>
          </w:p>
        </w:tc>
      </w:tr>
      <w:tr>
        <w:trPr>
          <w:trHeight w:val="24"/>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taxes</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(761)</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79,209</w:t>
            </w:r>
          </w:p>
        </w:tc>
        <w:tc>
          <w:tcPr>
            <w:tcW w:w="2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(43,071)</w:t>
            </w:r>
          </w:p>
        </w:tc>
      </w:tr>
      <w:tr>
        <w:trPr>
          <w:trHeight w:val="22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net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13,382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96,150</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46,420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584" w:hanging="584"/>
        <w:spacing w:after="0"/>
        <w:tabs>
          <w:tab w:leader="none" w:pos="58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Reconciliation of theoretical tax expense to actual tax expense:</w:t>
      </w:r>
    </w:p>
    <w:p>
      <w:pPr>
        <w:spacing w:after="0" w:line="208" w:lineRule="exact"/>
        <w:rPr>
          <w:sz w:val="20"/>
          <w:szCs w:val="20"/>
          <w:color w:val="auto"/>
        </w:rPr>
      </w:pPr>
    </w:p>
    <w:p>
      <w:pPr>
        <w:jc w:val="both"/>
        <w:ind w:left="584"/>
        <w:spacing w:after="0" w:line="279" w:lineRule="auto"/>
        <w:rPr>
          <w:sz w:val="20"/>
          <w:szCs w:val="20"/>
          <w:color w:val="auto"/>
        </w:rPr>
      </w:pPr>
      <w:r>
        <w:rPr>
          <w:rFonts w:ascii="Times New Roman" w:cs="Times New Roman" w:eastAsia="Times New Roman" w:hAnsi="Times New Roman"/>
          <w:sz w:val="16"/>
          <w:szCs w:val="16"/>
          <w:color w:val="auto"/>
        </w:rPr>
        <w:t>The differences between the statutory tax rate of the Company and the effective tax rate are result of a variety of factors, including different effective tax rates applicable to non-US subsidiaries that have tax rates different than the Company tax rate; valuation allowance on deferred tax assets related to losses and other deferred tax assets, where the Company does not foresee the realization of the same; and tax-exempt IRA credits.</w:t>
      </w:r>
    </w:p>
    <w:p>
      <w:pPr>
        <w:spacing w:after="0" w:line="1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53224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514.35pt,3.8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30" w:name="page131"/>
    <w:bookmarkEnd w:id="130"/>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572"/>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A reconciliation of the provision for income taxes to the amount computed by applying the 21% statutory U.S. federal income tax rate to income (loss)</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before income taxes after the adoption of ASU 2023</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09 is as follows:</w:t>
      </w:r>
    </w:p>
    <w:p>
      <w:pPr>
        <w:spacing w:after="0" w:line="20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4"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208"/>
        </w:trPr>
        <w:tc>
          <w:tcPr>
            <w:tcW w:w="6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8"/>
                <w:szCs w:val="18"/>
                <w:color w:val="auto"/>
              </w:rPr>
            </w:pPr>
          </w:p>
        </w:tc>
      </w:tr>
      <w:tr>
        <w:trPr>
          <w:trHeight w:val="20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(82,132)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r>
      <w:tr>
        <w:trPr>
          <w:trHeight w:val="19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0"/>
        </w:trPr>
        <w:tc>
          <w:tcPr>
            <w:tcW w:w="664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State tax</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Israel</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0"/>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Statutory tax rate difference between Israel and United States</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(11,516)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r>
      <w:tr>
        <w:trPr>
          <w:trHeight w:val="20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68,509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199"/>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enterprise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58,877</w:t>
            </w:r>
          </w:p>
        </w:tc>
        <w:tc>
          <w:tcPr>
            <w:tcW w:w="1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0"/>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Netherlands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taxable income resulting from reversal of bad debt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0"/>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r>
      <w:tr>
        <w:trPr>
          <w:trHeight w:val="20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9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0"/>
        </w:trPr>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Non-taxable and other (mainly government grants)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(73,734)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w:t>
            </w:r>
          </w:p>
        </w:tc>
      </w:tr>
      <w:tr>
        <w:trPr>
          <w:trHeight w:val="200"/>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Non-deductible capital loss</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23,360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4,573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
        </w:trPr>
        <w:tc>
          <w:tcPr>
            <w:tcW w:w="6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1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1" w:lineRule="exact"/>
        <w:rPr>
          <w:sz w:val="20"/>
          <w:szCs w:val="20"/>
          <w:color w:val="auto"/>
        </w:rPr>
      </w:pPr>
    </w:p>
    <w:p>
      <w:pPr>
        <w:ind w:left="4368" w:right="2700" w:hanging="4368"/>
        <w:spacing w:after="0" w:line="528" w:lineRule="auto"/>
        <w:tabs>
          <w:tab w:leader="none" w:pos="21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 that contributes to the majority (greater than 50%) of the tax effect in this category is California. F - 61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-365760</wp:posOffset>
                </wp:positionH>
                <wp:positionV relativeFrom="paragraph">
                  <wp:posOffset>-109220</wp:posOffset>
                </wp:positionV>
                <wp:extent cx="653224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99pt,-8.5999pt" to="485.55pt,-8.5999pt" o:allowincell="f" strokecolor="#000000" strokeweight="1.1999pt"/>
            </w:pict>
          </mc:Fallback>
        </mc:AlternateContent>
      </w:r>
    </w:p>
    <w:p>
      <w:pPr>
        <w:sectPr>
          <w:pgSz w:w="11900" w:h="16840" w:orient="portrait"/>
          <w:cols w:equalWidth="0" w:num="1">
            <w:col w:w="9708"/>
          </w:cols>
          <w:pgMar w:left="1392" w:top="699" w:right="804" w:bottom="1440" w:gutter="0" w:footer="0" w:header="0"/>
        </w:sectPr>
      </w:pPr>
    </w:p>
    <w:bookmarkStart w:id="131" w:name="page132"/>
    <w:bookmarkEnd w:id="131"/>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A reconciliation of the provision for income taxes to the amount computed by applying the 21% statutory U.S. federal income tax rate to income (loss)</w:t>
      </w:r>
    </w:p>
    <w:p>
      <w:pPr>
        <w:spacing w:after="0" w:line="22"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before income taxes for years prior to the adoption of ASU 2023</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09 is as follows:</w:t>
      </w:r>
    </w:p>
    <w:p>
      <w:pPr>
        <w:spacing w:after="0" w:line="208" w:lineRule="exact"/>
        <w:rPr>
          <w:sz w:val="20"/>
          <w:szCs w:val="20"/>
          <w:color w:val="auto"/>
        </w:rPr>
      </w:pPr>
    </w:p>
    <w:tbl>
      <w:tblPr>
        <w:tblLayout w:type="fixed"/>
        <w:tblInd w:w="584"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3"/>
        </w:trPr>
        <w:tc>
          <w:tcPr>
            <w:tcW w:w="65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r>
      <w:tr>
        <w:trPr>
          <w:trHeight w:val="20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tax rate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r>
      <w:tr>
        <w:trPr>
          <w:trHeight w:val="20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Effect of:</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at rate other than the U.S. statutory tax rate</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0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Losses and timing differences for which valuation allowance was provided</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w:t>
            </w:r>
          </w:p>
        </w:tc>
      </w:tr>
      <w:tr>
        <w:trPr>
          <w:trHeight w:val="20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year income taxes (benefit)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9"/>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R&amp;D Capitalization and other effects of TCJA</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42.5%</w:t>
            </w:r>
          </w:p>
        </w:tc>
      </w:tr>
      <w:tr>
        <w:trPr>
          <w:trHeight w:val="20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 -deductible expenses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r>
      <w:tr>
        <w:trPr>
          <w:trHeight w:val="20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IRA tax benefits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individually immaterial income tax items, net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
        </w:trPr>
        <w:tc>
          <w:tcPr>
            <w:tcW w:w="6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r>
    </w:tbl>
    <w:p>
      <w:pPr>
        <w:spacing w:after="0" w:line="154" w:lineRule="exact"/>
        <w:rPr>
          <w:sz w:val="20"/>
          <w:szCs w:val="20"/>
          <w:color w:val="auto"/>
        </w:rPr>
      </w:pPr>
    </w:p>
    <w:p>
      <w:pPr>
        <w:ind w:left="584" w:hanging="584"/>
        <w:spacing w:after="0"/>
        <w:tabs>
          <w:tab w:leader="none" w:pos="58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paid:</w:t>
      </w:r>
    </w:p>
    <w:p>
      <w:pPr>
        <w:spacing w:after="0" w:line="208" w:lineRule="exact"/>
        <w:rPr>
          <w:rFonts w:ascii="Times New Roman" w:cs="Times New Roman" w:eastAsia="Times New Roman" w:hAnsi="Times New Roman"/>
          <w:sz w:val="16"/>
          <w:szCs w:val="16"/>
          <w:color w:val="auto"/>
        </w:rPr>
      </w:pPr>
    </w:p>
    <w:p>
      <w:pPr>
        <w:ind w:left="584"/>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paid for income taxes, net of refunds received, by jurisdiction pursuant to the disclosure requirements of ASU 2023-09 for the year ended December 31, 2025 is as follows:</w:t>
      </w:r>
    </w:p>
    <w:p>
      <w:pPr>
        <w:spacing w:after="0" w:line="141" w:lineRule="exact"/>
        <w:rPr>
          <w:sz w:val="20"/>
          <w:szCs w:val="20"/>
          <w:color w:val="auto"/>
        </w:rPr>
      </w:pPr>
    </w:p>
    <w:tbl>
      <w:tblPr>
        <w:tblLayout w:type="fixed"/>
        <w:tblInd w:w="584" w:type="dxa"/>
        <w:tblCellMar>
          <w:top w:w="0" w:type="dxa"/>
          <w:left w:w="0" w:type="dxa"/>
          <w:bottom w:w="0" w:type="dxa"/>
          <w:right w:w="0" w:type="dxa"/>
        </w:tblCellMar>
      </w:tblPr>
      <w:tr>
        <w:trPr>
          <w:trHeight w:val="199"/>
        </w:trPr>
        <w:tc>
          <w:tcPr>
            <w:tcW w:w="772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0"/>
        </w:trPr>
        <w:tc>
          <w:tcPr>
            <w:tcW w:w="77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shd w:val="clear" w:color="auto" w:fill="CCEEFF"/>
          </w:tcPr>
          <w:p>
            <w:pPr>
              <w:spacing w:after="0"/>
              <w:rPr>
                <w:sz w:val="17"/>
                <w:szCs w:val="17"/>
                <w:color w:val="auto"/>
              </w:rPr>
            </w:pPr>
          </w:p>
        </w:tc>
      </w:tr>
      <w:tr>
        <w:trPr>
          <w:trHeight w:val="200"/>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US State and local: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California</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shd w:val="clear" w:color="auto" w:fill="CCEEFF"/>
          </w:tcPr>
          <w:p>
            <w:pPr>
              <w:spacing w:after="0"/>
              <w:rPr>
                <w:sz w:val="17"/>
                <w:szCs w:val="17"/>
                <w:color w:val="auto"/>
              </w:rPr>
            </w:pPr>
          </w:p>
        </w:tc>
      </w:tr>
      <w:tr>
        <w:trPr>
          <w:trHeight w:val="204"/>
        </w:trPr>
        <w:tc>
          <w:tcPr>
            <w:tcW w:w="7720" w:type="dxa"/>
            <w:vAlign w:val="bottom"/>
          </w:tcPr>
          <w:p>
            <w:pPr>
              <w:jc w:val="center"/>
              <w:ind w:right="71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w:t>
            </w:r>
          </w:p>
        </w:tc>
      </w:tr>
      <w:tr>
        <w:trPr>
          <w:trHeight w:val="200"/>
        </w:trPr>
        <w:tc>
          <w:tcPr>
            <w:tcW w:w="7720" w:type="dxa"/>
            <w:vAlign w:val="bottom"/>
            <w:shd w:val="clear" w:color="auto" w:fill="CCEEFF"/>
          </w:tcPr>
          <w:p>
            <w:pPr>
              <w:jc w:val="center"/>
              <w:ind w:right="7080"/>
              <w:spacing w:after="0"/>
              <w:rPr>
                <w:sz w:val="20"/>
                <w:szCs w:val="20"/>
                <w:color w:val="auto"/>
              </w:rPr>
            </w:pPr>
            <w:r>
              <w:rPr>
                <w:rFonts w:ascii="Times New Roman" w:cs="Times New Roman" w:eastAsia="Times New Roman" w:hAnsi="Times New Roman"/>
                <w:sz w:val="16"/>
                <w:szCs w:val="16"/>
                <w:color w:val="auto"/>
                <w:w w:val="96"/>
              </w:rPr>
              <w:t>Total US</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17"/>
                <w:szCs w:val="17"/>
                <w:color w:val="auto"/>
              </w:rPr>
            </w:pPr>
          </w:p>
        </w:tc>
      </w:tr>
      <w:tr>
        <w:trPr>
          <w:trHeight w:val="199"/>
        </w:trPr>
        <w:tc>
          <w:tcPr>
            <w:tcW w:w="7720" w:type="dxa"/>
            <w:vAlign w:val="bottom"/>
          </w:tcPr>
          <w:p>
            <w:pPr>
              <w:jc w:val="center"/>
              <w:ind w:right="7100"/>
              <w:spacing w:after="0"/>
              <w:rPr>
                <w:sz w:val="20"/>
                <w:szCs w:val="20"/>
                <w:color w:val="auto"/>
              </w:rPr>
            </w:pPr>
            <w:r>
              <w:rPr>
                <w:rFonts w:ascii="Times New Roman" w:cs="Times New Roman" w:eastAsia="Times New Roman" w:hAnsi="Times New Roman"/>
                <w:sz w:val="16"/>
                <w:szCs w:val="16"/>
                <w:color w:val="auto"/>
                <w:w w:val="99"/>
              </w:rPr>
              <w:t>Foreign:</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7720" w:type="dxa"/>
            <w:vAlign w:val="bottom"/>
            <w:shd w:val="clear" w:color="auto" w:fill="CCEEFF"/>
          </w:tcPr>
          <w:p>
            <w:pPr>
              <w:jc w:val="center"/>
              <w:ind w:right="7120"/>
              <w:spacing w:after="0"/>
              <w:rPr>
                <w:sz w:val="20"/>
                <w:szCs w:val="20"/>
                <w:color w:val="auto"/>
              </w:rPr>
            </w:pPr>
            <w:r>
              <w:rPr>
                <w:rFonts w:ascii="Times New Roman" w:cs="Times New Roman" w:eastAsia="Times New Roman" w:hAnsi="Times New Roman"/>
                <w:sz w:val="16"/>
                <w:szCs w:val="16"/>
                <w:color w:val="auto"/>
              </w:rPr>
              <w:t>Israel</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25,401</w:t>
            </w:r>
          </w:p>
        </w:tc>
        <w:tc>
          <w:tcPr>
            <w:tcW w:w="100" w:type="dxa"/>
            <w:vAlign w:val="bottom"/>
            <w:shd w:val="clear" w:color="auto" w:fill="CCEEFF"/>
          </w:tcPr>
          <w:p>
            <w:pPr>
              <w:spacing w:after="0"/>
              <w:rPr>
                <w:sz w:val="17"/>
                <w:szCs w:val="17"/>
                <w:color w:val="auto"/>
              </w:rPr>
            </w:pPr>
          </w:p>
        </w:tc>
      </w:tr>
      <w:tr>
        <w:trPr>
          <w:trHeight w:val="200"/>
        </w:trPr>
        <w:tc>
          <w:tcPr>
            <w:tcW w:w="7720" w:type="dxa"/>
            <w:vAlign w:val="bottom"/>
          </w:tcPr>
          <w:p>
            <w:pPr>
              <w:jc w:val="center"/>
              <w:ind w:right="7080"/>
              <w:spacing w:after="0"/>
              <w:rPr>
                <w:sz w:val="20"/>
                <w:szCs w:val="20"/>
                <w:color w:val="auto"/>
              </w:rPr>
            </w:pPr>
            <w:r>
              <w:rPr>
                <w:rFonts w:ascii="Times New Roman" w:cs="Times New Roman" w:eastAsia="Times New Roman" w:hAnsi="Times New Roman"/>
                <w:sz w:val="16"/>
                <w:szCs w:val="16"/>
                <w:color w:val="auto"/>
              </w:rPr>
              <w:t>Korea</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CEEFF"/>
            </w:tcBorders>
            <w:shd w:val="clear" w:color="auto" w:fill="CCEEFF"/>
          </w:tcPr>
          <w:p>
            <w:pPr>
              <w:jc w:val="center"/>
              <w:ind w:right="71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0"/>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tax paid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31,788</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ind w:left="584" w:hanging="584"/>
        <w:spacing w:after="0"/>
        <w:tabs>
          <w:tab w:leader="none" w:pos="58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assessments:</w:t>
      </w:r>
    </w:p>
    <w:p>
      <w:pPr>
        <w:spacing w:after="0" w:line="208" w:lineRule="exact"/>
        <w:rPr>
          <w:rFonts w:ascii="Times New Roman" w:cs="Times New Roman" w:eastAsia="Times New Roman" w:hAnsi="Times New Roman"/>
          <w:sz w:val="16"/>
          <w:szCs w:val="16"/>
          <w:color w:val="auto"/>
        </w:rPr>
      </w:pPr>
    </w:p>
    <w:p>
      <w:pPr>
        <w:ind w:left="5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Israeli Subsidiary reached a settlement with the Israeli Tax Authority for tax years 2016-2018.</w:t>
      </w: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53224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514.35pt,3.8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32" w:name="page133"/>
    <w:bookmarkEnd w:id="13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ind w:left="584"/>
        <w:spacing w:after="0" w:line="300" w:lineRule="auto"/>
        <w:rPr>
          <w:sz w:val="20"/>
          <w:szCs w:val="20"/>
          <w:color w:val="auto"/>
        </w:rPr>
      </w:pPr>
      <w:r>
        <w:rPr>
          <w:rFonts w:ascii="Times New Roman" w:cs="Times New Roman" w:eastAsia="Times New Roman" w:hAnsi="Times New Roman"/>
          <w:sz w:val="16"/>
          <w:szCs w:val="16"/>
          <w:color w:val="auto"/>
        </w:rPr>
        <w:t>As of December 31, 2025, the Company and certain of its subsidiaries filed U.S. federal and various state and foreign income tax returns. The statute of limitations relating to the consolidated U.S. federal income tax return is closed for all tax years up to and including 2020.</w:t>
      </w:r>
    </w:p>
    <w:p>
      <w:pPr>
        <w:spacing w:after="0" w:line="140"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statute of limitations related to tax returns of the Company’s Israeli Subsidiary for all tax years up to and including 2020 has lapsed.</w:t>
      </w:r>
    </w:p>
    <w:p>
      <w:pPr>
        <w:spacing w:after="0" w:line="217" w:lineRule="exact"/>
        <w:rPr>
          <w:sz w:val="20"/>
          <w:szCs w:val="20"/>
          <w:color w:val="auto"/>
        </w:rPr>
      </w:pPr>
    </w:p>
    <w:p>
      <w:pPr>
        <w:ind w:left="584"/>
        <w:spacing w:after="0" w:line="298" w:lineRule="auto"/>
        <w:rPr>
          <w:sz w:val="20"/>
          <w:szCs w:val="20"/>
          <w:color w:val="auto"/>
        </w:rPr>
      </w:pPr>
      <w:r>
        <w:rPr>
          <w:rFonts w:ascii="Times New Roman" w:cs="Times New Roman" w:eastAsia="Times New Roman" w:hAnsi="Times New Roman"/>
          <w:sz w:val="16"/>
          <w:szCs w:val="16"/>
          <w:color w:val="auto"/>
        </w:rPr>
        <w:t>The statute of limitations related to tax returns of the Company’s other subsidiaries has lapsed for part of the tax years, which differs between the different subsidiaries.</w:t>
      </w:r>
    </w:p>
    <w:p>
      <w:pPr>
        <w:spacing w:after="0" w:line="135" w:lineRule="exact"/>
        <w:rPr>
          <w:sz w:val="20"/>
          <w:szCs w:val="20"/>
          <w:color w:val="auto"/>
        </w:rPr>
      </w:pPr>
    </w:p>
    <w:p>
      <w:pPr>
        <w:ind w:left="584" w:hanging="584"/>
        <w:spacing w:after="0"/>
        <w:tabs>
          <w:tab w:leader="none" w:pos="58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benefits for Israeli companies under the Law for the Encouragement of Capital Investments, 1959 (the “Investments Law”):</w:t>
      </w:r>
    </w:p>
    <w:p>
      <w:pPr>
        <w:spacing w:after="0" w:line="208" w:lineRule="exact"/>
        <w:rPr>
          <w:rFonts w:ascii="Times New Roman" w:cs="Times New Roman" w:eastAsia="Times New Roman" w:hAnsi="Times New Roman"/>
          <w:sz w:val="16"/>
          <w:szCs w:val="16"/>
          <w:color w:val="auto"/>
        </w:rPr>
      </w:pPr>
    </w:p>
    <w:p>
      <w:pPr>
        <w:jc w:val="both"/>
        <w:ind w:left="584"/>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Israeli Subsidiary elected tax year 2012 as a "Year of Election" for “Benefited Enterprise” status under the Investments Law. According to the Investments Law, the Israeli Subsidiary elected to participate in the alternative benefits program which provides certain benefits, including tax exemptions and reduced tax rates (which depend on, inter alia, the geographic location in Israel). Income not eligible for Benefited Enterprise benefits is taxed at a regular corporate tax rate.</w:t>
      </w:r>
    </w:p>
    <w:p>
      <w:pPr>
        <w:spacing w:after="0" w:line="162"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meeting the requirements under the Investments Law, undistributed income derived from Benefited Enterprise from productive activity will be exempt from tax for two years from the year in which the Israeli Subsidiary first has taxable income (“exempt period”), provided that 12 years have not passed from the beginning of the year of election.</w:t>
      </w:r>
    </w:p>
    <w:p>
      <w:pPr>
        <w:spacing w:after="0" w:line="158" w:lineRule="exact"/>
        <w:rPr>
          <w:rFonts w:ascii="Times New Roman" w:cs="Times New Roman" w:eastAsia="Times New Roman" w:hAnsi="Times New Roman"/>
          <w:sz w:val="16"/>
          <w:szCs w:val="16"/>
          <w:color w:val="auto"/>
        </w:rPr>
      </w:pPr>
    </w:p>
    <w:p>
      <w:pPr>
        <w:jc w:val="both"/>
        <w:ind w:left="584"/>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24, 2018, the Company’s Israeli Subsidiary received an approval from the Israeli Tax Authorities confirming the applicability of the two-year tax exemption as provided in the Investments Law until December 31, 2018. The Company has determined that tax-exempt income earned by the Israeli Subsidiary “Benefited Enterprises” during the exemption period of 2017 - 2018 will not be distributed as dividends and intends to reinvest the amount of its tax-exempt income earned by the Israeli Subsidiary. Accordingly, no provision for deferred income taxes has been provided on income attributable to the Israeli Subsidiary “Benefited Enterprises” as such income is essentially permanently reinvested.</w:t>
      </w:r>
    </w:p>
    <w:p>
      <w:pPr>
        <w:spacing w:after="0" w:line="165" w:lineRule="exact"/>
        <w:rPr>
          <w:rFonts w:ascii="Times New Roman" w:cs="Times New Roman" w:eastAsia="Times New Roman" w:hAnsi="Times New Roman"/>
          <w:sz w:val="16"/>
          <w:szCs w:val="16"/>
          <w:color w:val="auto"/>
        </w:rPr>
      </w:pPr>
    </w:p>
    <w:p>
      <w:pPr>
        <w:ind w:left="584"/>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Israeli Subsidiary’s retained tax-exempt income is distributed, the income would be taxed at the applicable corporate tax rate which depends on the foreign ownership in each tax year.</w:t>
      </w:r>
    </w:p>
    <w:p>
      <w:pPr>
        <w:spacing w:after="0" w:line="143"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amendment 73 to the Investments Law (“2017 Amendment"), a preferred enterprise located in development area A will be subject to a tax rate of 7.5% instead of 9% effective from January 1, 2017 and thereafter (the tax rate applicable to preferred enterprises located in other areas remains at 16%).</w:t>
      </w:r>
    </w:p>
    <w:p>
      <w:pPr>
        <w:spacing w:after="0" w:line="157" w:lineRule="exact"/>
        <w:rPr>
          <w:rFonts w:ascii="Times New Roman" w:cs="Times New Roman" w:eastAsia="Times New Roman" w:hAnsi="Times New Roman"/>
          <w:sz w:val="16"/>
          <w:szCs w:val="16"/>
          <w:color w:val="auto"/>
        </w:rPr>
      </w:pPr>
    </w:p>
    <w:p>
      <w:pPr>
        <w:ind w:left="584"/>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2017 Amendment also prescribes special tax tracks for preferred technological enterprises (“PTE”), which are subject to rules that were issued by the Ministry of Finance.</w:t>
      </w:r>
    </w:p>
    <w:p>
      <w:pPr>
        <w:spacing w:after="0" w:line="140" w:lineRule="exact"/>
        <w:rPr>
          <w:sz w:val="20"/>
          <w:szCs w:val="20"/>
          <w:color w:val="auto"/>
        </w:rPr>
      </w:pPr>
    </w:p>
    <w:p>
      <w:pPr>
        <w:ind w:left="584"/>
        <w:spacing w:after="0" w:line="300" w:lineRule="auto"/>
        <w:rPr>
          <w:sz w:val="20"/>
          <w:szCs w:val="20"/>
          <w:color w:val="auto"/>
        </w:rPr>
      </w:pPr>
      <w:r>
        <w:rPr>
          <w:rFonts w:ascii="Times New Roman" w:cs="Times New Roman" w:eastAsia="Times New Roman" w:hAnsi="Times New Roman"/>
          <w:sz w:val="16"/>
          <w:szCs w:val="16"/>
          <w:color w:val="auto"/>
        </w:rPr>
        <w:t>On June 14, 2017, the Encouragement of Capital Investments Regulations (Preferred Technological Income and Capital Gain for Technological Enterprise), 2017 (“Regulations”) were published.</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 - 63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53224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514.35pt,3.8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33" w:name="page134"/>
    <w:bookmarkEnd w:id="133"/>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28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2" w:lineRule="exact"/>
        <w:rPr>
          <w:sz w:val="20"/>
          <w:szCs w:val="20"/>
          <w:color w:val="auto"/>
        </w:rPr>
      </w:pPr>
    </w:p>
    <w:p>
      <w:pPr>
        <w:jc w:val="both"/>
        <w:ind w:left="300"/>
        <w:spacing w:after="0" w:line="273" w:lineRule="auto"/>
        <w:rPr>
          <w:sz w:val="20"/>
          <w:szCs w:val="20"/>
          <w:color w:val="auto"/>
        </w:rPr>
      </w:pPr>
      <w:r>
        <w:rPr>
          <w:rFonts w:ascii="Times New Roman" w:cs="Times New Roman" w:eastAsia="Times New Roman" w:hAnsi="Times New Roman"/>
          <w:sz w:val="16"/>
          <w:szCs w:val="16"/>
          <w:color w:val="auto"/>
        </w:rPr>
        <w:t>The Regulations describe, inter alia, the mechanism used to determine the calculation of the benefits under the PTE regime. According to these regulations, a company that complies with the terms under the PTE regime may be entitled to certain tax benefits with respect to income generated during the company’s regular course of business and derived from the preferred intangible asset, excluding income derived from intangible assets used for marketing and income attributed to production activity.</w:t>
      </w:r>
    </w:p>
    <w:p>
      <w:pPr>
        <w:spacing w:after="0" w:line="164" w:lineRule="exact"/>
        <w:rPr>
          <w:sz w:val="20"/>
          <w:szCs w:val="20"/>
          <w:color w:val="auto"/>
        </w:rPr>
      </w:pPr>
    </w:p>
    <w:p>
      <w:pPr>
        <w:jc w:val="both"/>
        <w:ind w:left="300"/>
        <w:spacing w:after="0" w:line="273" w:lineRule="auto"/>
        <w:rPr>
          <w:sz w:val="20"/>
          <w:szCs w:val="20"/>
          <w:color w:val="auto"/>
        </w:rPr>
      </w:pPr>
      <w:r>
        <w:rPr>
          <w:rFonts w:ascii="Times New Roman" w:cs="Times New Roman" w:eastAsia="Times New Roman" w:hAnsi="Times New Roman"/>
          <w:sz w:val="16"/>
          <w:szCs w:val="16"/>
          <w:color w:val="auto"/>
        </w:rPr>
        <w:t>A PTE, which is located in the center of Israel will be subject to tax at a rate of 12% on profits deriving from intellectual property, or 6% if its annual revenues exceed NIS 10 billion ("Threshold"). The Israeli Subsidiary notified the ITA of its election to implement the PTE with effect from January 1, 2019, and its PTE income was subject to a 12% tax rate for the years 2019-2021, and in 2022-2023 to a 6% tax rate as the group surpassed the Threshold. In 2025 and 2024, the Company incurred losses for tax purposes.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Tax Benefits for Research and Development:</w:t>
      </w:r>
    </w:p>
    <w:p>
      <w:pPr>
        <w:spacing w:after="0" w:line="216" w:lineRule="exact"/>
        <w:rPr>
          <w:sz w:val="20"/>
          <w:szCs w:val="20"/>
          <w:color w:val="auto"/>
        </w:rPr>
      </w:pPr>
    </w:p>
    <w:p>
      <w:pPr>
        <w:jc w:val="both"/>
        <w:ind w:left="300"/>
        <w:spacing w:after="0" w:line="268" w:lineRule="auto"/>
        <w:rPr>
          <w:sz w:val="20"/>
          <w:szCs w:val="20"/>
          <w:color w:val="auto"/>
        </w:rPr>
      </w:pPr>
      <w:r>
        <w:rPr>
          <w:rFonts w:ascii="Times New Roman" w:cs="Times New Roman" w:eastAsia="Times New Roman" w:hAnsi="Times New Roman"/>
          <w:sz w:val="16"/>
          <w:szCs w:val="16"/>
          <w:color w:val="auto"/>
        </w:rPr>
        <w:t>Israeli tax law (section 20A to the Israeli Tax Ordinance (New Version), 1961) allows a tax deduction for research and development expenses, including capital expenses, in the year in which they are paid. Such expenses must relate to scientific research in industry, agriculture, transportation or energy, and must be approved by the relevant Israeli government ministry, determined by the field of research. Expenses incurred in scientific research that are not approved by the relevant government ministry are amortized over a three -year period starting from the tax year in which they are paid. The Company’s Israeli Subsidiary submitted a formal request to the relevant government ministry in order to obtain such approval for tax years 2019-2021 and intends to submit a similar request with respect to tax year 2023.</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Tax benefits under the Law for the Encouragement of Industry (Taxes), 1969:</w:t>
      </w:r>
    </w:p>
    <w:p>
      <w:pPr>
        <w:spacing w:after="0" w:line="208" w:lineRule="exact"/>
        <w:rPr>
          <w:sz w:val="20"/>
          <w:szCs w:val="20"/>
          <w:color w:val="auto"/>
        </w:rPr>
      </w:pPr>
    </w:p>
    <w:p>
      <w:pPr>
        <w:jc w:val="both"/>
        <w:ind w:left="300"/>
        <w:spacing w:after="0" w:line="279" w:lineRule="auto"/>
        <w:rPr>
          <w:sz w:val="20"/>
          <w:szCs w:val="20"/>
          <w:color w:val="auto"/>
        </w:rPr>
      </w:pPr>
      <w:r>
        <w:rPr>
          <w:rFonts w:ascii="Times New Roman" w:cs="Times New Roman" w:eastAsia="Times New Roman" w:hAnsi="Times New Roman"/>
          <w:sz w:val="16"/>
          <w:szCs w:val="16"/>
          <w:color w:val="auto"/>
        </w:rPr>
        <w:t>Some of the Company’s Israeli Subsidiaries claim tax benefits as ‘industrial companies’ under the Law for the Encouragement of Industry (Taxes), 1969, Such benefits consist mainly of accelerated depreciation and amortization of patents and certain other intangible property and the ability to file consolidated tax returns.</w:t>
      </w:r>
    </w:p>
    <w:p>
      <w:pPr>
        <w:spacing w:after="0" w:line="150" w:lineRule="exact"/>
        <w:rPr>
          <w:sz w:val="20"/>
          <w:szCs w:val="20"/>
          <w:color w:val="auto"/>
        </w:rPr>
      </w:pPr>
    </w:p>
    <w:p>
      <w:pPr>
        <w:jc w:val="both"/>
        <w:ind w:left="300" w:hanging="296"/>
        <w:spacing w:after="0" w:line="245" w:lineRule="auto"/>
        <w:tabs>
          <w:tab w:leader="none" w:pos="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2025, the OBBBA, or H.R.1 was enacted into law modifying clean energy tax credits contained in the IRA and imposing new eligibility criteria related thereto. The Company does not expect the H.R.1 to have a material effect on its financial position or results of operations. The Company will continue to monitor regulatory guidance and developments and will update its analysis as necessary. In addition, the H.R.1 makes permanent key elements of the Tax Cuts and Jobs Act, including 100 percent bonus depreciation, domestic research cost expensing, increases the AMIC credit rate to 35 percent from 25 percent for qualifying assets and makes modifications to the international tax framework. The H.R.1 includes multiple effective dates, with certain provisions effective in 2025 and others phased in through 2027. Given the Company’s current loss position for income tax purposes, the provisions of H.R.1 did not have an impact on the current period. The Company continues to evaluate the provisions of H.R.1 that become effective in future years.</w:t>
      </w:r>
    </w:p>
    <w:p>
      <w:pPr>
        <w:spacing w:after="0" w:line="169" w:lineRule="exact"/>
        <w:rPr>
          <w:rFonts w:ascii="Times New Roman" w:cs="Times New Roman" w:eastAsia="Times New Roman" w:hAnsi="Times New Roman"/>
          <w:sz w:val="16"/>
          <w:szCs w:val="16"/>
          <w:color w:val="auto"/>
        </w:rPr>
      </w:pPr>
    </w:p>
    <w:p>
      <w:pPr>
        <w:jc w:val="both"/>
        <w:ind w:left="300" w:hanging="296"/>
        <w:spacing w:after="0" w:line="252" w:lineRule="auto"/>
        <w:tabs>
          <w:tab w:leader="none" w:pos="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tax credits beginning tax years on or after January 1, 2026, and before January 1, 2031. The Company is currently evaluating the impact of SB 302 will have on its results of operations in future years.</w:t>
      </w:r>
    </w:p>
    <w:p>
      <w:pPr>
        <w:spacing w:after="0" w:line="16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F - 64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-180340</wp:posOffset>
                </wp:positionH>
                <wp:positionV relativeFrom="paragraph">
                  <wp:posOffset>48895</wp:posOffset>
                </wp:positionV>
                <wp:extent cx="653224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999pt,3.85pt" to="500.15pt,3.85pt" o:allowincell="f" strokecolor="#000000" strokeweight="1.2pt"/>
            </w:pict>
          </mc:Fallback>
        </mc:AlternateContent>
      </w:r>
    </w:p>
    <w:p>
      <w:pPr>
        <w:sectPr>
          <w:pgSz w:w="11900" w:h="16840" w:orient="portrait"/>
          <w:cols w:equalWidth="0" w:num="1">
            <w:col w:w="10000"/>
          </w:cols>
          <w:pgMar w:left="1100" w:top="699" w:right="804" w:bottom="1440" w:gutter="0" w:footer="0" w:header="0"/>
        </w:sectPr>
      </w:pPr>
    </w:p>
    <w:bookmarkStart w:id="134" w:name="page135"/>
    <w:bookmarkEnd w:id="134"/>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28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54" w:lineRule="exact"/>
        <w:rPr>
          <w:sz w:val="20"/>
          <w:szCs w:val="20"/>
          <w:color w:val="auto"/>
        </w:rPr>
      </w:pPr>
    </w:p>
    <w:p>
      <w:pPr>
        <w:jc w:val="both"/>
        <w:ind w:left="300" w:hanging="296"/>
        <w:spacing w:after="0" w:line="252" w:lineRule="auto"/>
        <w:tabs>
          <w:tab w:leader="none" w:pos="3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members of the OECD (Organization for Economic Co-operation and Development) over 140 countries have agreed in principle to a global minimum tax of 15% of reported profits (Pillar 2). The OECD have published model rules on Pillar 2. Many countries have now incorporated Pillar 2 model rule concepts into their domestic laws. Although the model rules provide a framework for applying the minimum tax, countries may enact Pillar 2 slightly differently than the model rules and on different timelines and may adjust domestic tax incentives in response to Pillar 2.</w:t>
      </w:r>
    </w:p>
    <w:p>
      <w:pPr>
        <w:spacing w:after="0" w:line="163" w:lineRule="exact"/>
        <w:rPr>
          <w:rFonts w:ascii="Times New Roman" w:cs="Times New Roman" w:eastAsia="Times New Roman" w:hAnsi="Times New Roman"/>
          <w:sz w:val="16"/>
          <w:szCs w:val="16"/>
          <w:color w:val="auto"/>
        </w:rPr>
      </w:pPr>
    </w:p>
    <w:p>
      <w:pPr>
        <w:jc w:val="both"/>
        <w:ind w:left="30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U.S. issued an executive order announcing opposition to aspects of these rules. In June 2025, the G7 countries agreed that U.S. Multi-National Entities (MNEs) should be excluded from certain aspects of the Pillar 2 global minimum tax rules (the G7 Statement) in exchange for the U.S. not imposing retaliatory taxes. On January 5, 2026, the OECD/G20 announced the Side-by-Side (SbS) package, implemented as administrative guidance and modifying the operation of Pillar 2 rules. The package introduces simplifications and new safe harbors for U.S. and other multinational companies where domestic and international tax systems meet robust requirements to coexist with Pillar 2 which would fully exempt U.S.-parented groups from the application of two of the three Pillar 2 top up taxes. The SbS package also extends the current Transitional Country-by-Country Reporting (CbCR) Safe Harbor by one year, through the end of fiscal year of 2027.</w:t>
      </w:r>
    </w:p>
    <w:p>
      <w:pPr>
        <w:spacing w:after="0" w:line="167" w:lineRule="exact"/>
        <w:rPr>
          <w:rFonts w:ascii="Times New Roman" w:cs="Times New Roman" w:eastAsia="Times New Roman" w:hAnsi="Times New Roman"/>
          <w:sz w:val="16"/>
          <w:szCs w:val="16"/>
          <w:color w:val="auto"/>
        </w:rPr>
      </w:pPr>
    </w:p>
    <w:p>
      <w:pPr>
        <w:jc w:val="both"/>
        <w:ind w:left="3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Israel, a law was enacted in December 2025 to implement the Qualified Domestic Minimum Top-Up Tax (the Israeli QDMTT), aligning with the OECD's Pillar 2 framework for a global minimum tax. This law ensures that profits of companies within multinational groups subject to these rules are taxed in Israel at a minimum Effective Tax Rate. The Israeli QDMTT law will impose a local top-up tax as necessary, with the legislation taking effect on January 1, 2026, and applying to income generated from that date onward.</w:t>
      </w:r>
    </w:p>
    <w:p>
      <w:pPr>
        <w:spacing w:after="0" w:line="163" w:lineRule="exact"/>
        <w:rPr>
          <w:rFonts w:ascii="Times New Roman" w:cs="Times New Roman" w:eastAsia="Times New Roman" w:hAnsi="Times New Roman"/>
          <w:sz w:val="16"/>
          <w:szCs w:val="16"/>
          <w:color w:val="auto"/>
        </w:rPr>
      </w:pPr>
    </w:p>
    <w:p>
      <w:pPr>
        <w:ind w:left="30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companies benefiting from tax incentives under the Encouragement of Capital Investments Law, 5719-1959, the Israeli QDMTT framework may affect how these incentives are utilized and presented in financial statements.</w:t>
      </w:r>
    </w:p>
    <w:p>
      <w:pPr>
        <w:spacing w:after="0" w:line="141" w:lineRule="exact"/>
        <w:rPr>
          <w:rFonts w:ascii="Times New Roman" w:cs="Times New Roman" w:eastAsia="Times New Roman" w:hAnsi="Times New Roman"/>
          <w:sz w:val="16"/>
          <w:szCs w:val="16"/>
          <w:color w:val="auto"/>
        </w:rPr>
      </w:pPr>
    </w:p>
    <w:p>
      <w:pPr>
        <w:ind w:left="30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Group's Pillar 2 assessment, the Pillar 2 rules did not materially impact the Group’s consolidated financial statements for the year ended December 31, 2025.</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continue to refine the effective tax rate and cash tax impact for Pillar 2 in light of legislative changes in multiple countries.</w:t>
      </w:r>
    </w:p>
    <w:p>
      <w:pPr>
        <w:spacing w:after="0" w:line="1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F - 65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-180340</wp:posOffset>
                </wp:positionH>
                <wp:positionV relativeFrom="paragraph">
                  <wp:posOffset>48895</wp:posOffset>
                </wp:positionV>
                <wp:extent cx="653224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999pt,3.85pt" to="500.15pt,3.85pt" o:allowincell="f" strokecolor="#000000" strokeweight="1.1999pt"/>
            </w:pict>
          </mc:Fallback>
        </mc:AlternateContent>
      </w:r>
    </w:p>
    <w:p>
      <w:pPr>
        <w:sectPr>
          <w:pgSz w:w="11900" w:h="16840" w:orient="portrait"/>
          <w:cols w:equalWidth="0" w:num="1">
            <w:col w:w="10000"/>
          </w:cols>
          <w:pgMar w:left="1100" w:top="699" w:right="804"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26:</w:t>
            </w:r>
          </w:p>
        </w:tc>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FINANCIAL INCOME (EXPENSE), NET</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0"/>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rate (loss) gain, net</w:t>
            </w: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24,181</w:t>
            </w:r>
          </w:p>
        </w:tc>
        <w:tc>
          <w:tcPr>
            <w:tcW w:w="100" w:type="dxa"/>
            <w:vAlign w:val="bottom"/>
            <w:shd w:val="clear" w:color="auto" w:fill="CCEEFF"/>
          </w:tcPr>
          <w:p>
            <w:pPr>
              <w:spacing w:after="0"/>
              <w:rPr>
                <w:sz w:val="17"/>
                <w:szCs w:val="17"/>
                <w:color w:val="auto"/>
              </w:rPr>
            </w:pPr>
          </w:p>
        </w:tc>
      </w:tr>
      <w:tr>
        <w:trPr>
          <w:trHeight w:val="200"/>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on marketable securities</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5,660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25,668</w:t>
            </w:r>
          </w:p>
        </w:tc>
      </w:tr>
      <w:tr>
        <w:trPr>
          <w:trHeight w:val="199"/>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 allocated to loan receivables</w:t>
            </w: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7,922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(17,528)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r>
      <w:tr>
        <w:trPr>
          <w:trHeight w:val="200"/>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(10,321)</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(6,926)</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(2,930)</w:t>
            </w:r>
          </w:p>
        </w:tc>
      </w:tr>
      <w:tr>
        <w:trPr>
          <w:trHeight w:val="20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Hedging</w:t>
            </w:r>
          </w:p>
        </w:tc>
        <w:tc>
          <w:tcPr>
            <w:tcW w:w="35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(2,967)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2,337</w:t>
            </w:r>
          </w:p>
        </w:tc>
      </w:tr>
      <w:tr>
        <w:trPr>
          <w:trHeight w:val="199"/>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component expenses related to ASC 606</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(14,522)</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(11,805)</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(9,773)</w:t>
            </w:r>
          </w:p>
        </w:tc>
      </w:tr>
      <w:tr>
        <w:trPr>
          <w:trHeight w:val="20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10,777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7,494</w:t>
            </w:r>
          </w:p>
        </w:tc>
      </w:tr>
      <w:tr>
        <w:trPr>
          <w:trHeight w:val="200"/>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(1,376)</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(1,156)</w:t>
            </w:r>
          </w:p>
        </w:tc>
        <w:tc>
          <w:tcPr>
            <w:tcW w:w="2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(1,269)</w:t>
            </w:r>
          </w:p>
        </w:tc>
      </w:tr>
      <w:tr>
        <w:trPr>
          <w:trHeight w:val="199"/>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35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(4,352)</w:t>
            </w:r>
          </w:p>
        </w:tc>
      </w:tr>
      <w:tr>
        <w:trPr>
          <w:trHeight w:val="24"/>
        </w:trPr>
        <w:tc>
          <w:tcPr>
            <w:tcW w:w="8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financial income (expenses), net</w:t>
            </w:r>
          </w:p>
        </w:tc>
        <w:tc>
          <w:tcPr>
            <w:tcW w:w="226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(71,999)</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(14,570)</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41,212</w:t>
            </w:r>
          </w:p>
        </w:tc>
      </w:tr>
      <w:tr>
        <w:trPr>
          <w:trHeight w:val="20"/>
        </w:trPr>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8"/>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80" w:type="dxa"/>
            <w:vAlign w:val="bottom"/>
            <w:gridSpan w:val="2"/>
          </w:tcPr>
          <w:p>
            <w:pPr>
              <w:jc w:val="right"/>
              <w:ind w:right="1480"/>
              <w:spacing w:after="0"/>
              <w:rPr>
                <w:sz w:val="20"/>
                <w:szCs w:val="20"/>
                <w:color w:val="auto"/>
              </w:rPr>
            </w:pPr>
            <w:r>
              <w:rPr>
                <w:rFonts w:ascii="Times New Roman" w:cs="Times New Roman" w:eastAsia="Times New Roman" w:hAnsi="Times New Roman"/>
                <w:sz w:val="16"/>
                <w:szCs w:val="16"/>
                <w:color w:val="auto"/>
              </w:rPr>
              <w:t>F - 66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8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40" w:orient="portrait"/>
          <w:cols w:equalWidth="0" w:num="1">
            <w:col w:w="10280"/>
          </w:cols>
          <w:pgMar w:left="820" w:top="699" w:right="804" w:bottom="1440" w:gutter="0" w:footer="0" w:header="0"/>
        </w:sectPr>
      </w:pPr>
    </w:p>
    <w:bookmarkStart w:id="136" w:name="page137"/>
    <w:bookmarkEnd w:id="136"/>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3"/>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6"/>
          <w:szCs w:val="16"/>
          <w:b w:val="1"/>
          <w:bCs w:val="1"/>
          <w:color w:val="auto"/>
        </w:rPr>
        <w:t>NOTE 27:</w:t>
      </w:r>
      <w:r>
        <w:rPr>
          <w:sz w:val="20"/>
          <w:szCs w:val="20"/>
          <w:color w:val="auto"/>
        </w:rPr>
        <w:tab/>
      </w:r>
      <w:r>
        <w:rPr>
          <w:rFonts w:ascii="Times New Roman" w:cs="Times New Roman" w:eastAsia="Times New Roman" w:hAnsi="Times New Roman"/>
          <w:sz w:val="15"/>
          <w:szCs w:val="15"/>
          <w:b w:val="1"/>
          <w:bCs w:val="1"/>
          <w:color w:val="auto"/>
        </w:rPr>
        <w:t>SEGMENT, GEOGRAPHIC AND PRODUCT INFORMATION</w:t>
      </w:r>
    </w:p>
    <w:p>
      <w:pPr>
        <w:spacing w:after="0" w:line="210" w:lineRule="exact"/>
        <w:rPr>
          <w:sz w:val="20"/>
          <w:szCs w:val="20"/>
          <w:color w:val="auto"/>
        </w:rPr>
      </w:pPr>
    </w:p>
    <w:p>
      <w:pPr>
        <w:ind w:left="584" w:hanging="584"/>
        <w:spacing w:after="0"/>
        <w:tabs>
          <w:tab w:leader="none" w:pos="584"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Information:</w:t>
      </w:r>
    </w:p>
    <w:p>
      <w:pPr>
        <w:spacing w:after="0" w:line="208" w:lineRule="exact"/>
        <w:rPr>
          <w:rFonts w:ascii="Times New Roman" w:cs="Times New Roman" w:eastAsia="Times New Roman" w:hAnsi="Times New Roman"/>
          <w:sz w:val="16"/>
          <w:szCs w:val="16"/>
          <w:color w:val="auto"/>
        </w:rPr>
      </w:pPr>
    </w:p>
    <w:p>
      <w:pPr>
        <w:ind w:left="584"/>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sale of Automation Machines and the discontinuation of the Company's Energy Storage activity in 2024, the Company operates as one operating segment that constitutes consolidated results. The Company recast its comparative numbers to conform to current period presentation.</w:t>
      </w:r>
    </w:p>
    <w:p>
      <w:pPr>
        <w:spacing w:after="0" w:line="143"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Chief Executive Officer, who is the chief operating decision maker (“CODM”), makes resource allocation decisions and assesses performance based on financial information presented on a consolidated net loss, accompanied by disaggregated information about significant expenses.</w:t>
      </w:r>
    </w:p>
    <w:p>
      <w:pPr>
        <w:spacing w:after="0" w:line="157" w:lineRule="exact"/>
        <w:rPr>
          <w:rFonts w:ascii="Times New Roman" w:cs="Times New Roman" w:eastAsia="Times New Roman" w:hAnsi="Times New Roman"/>
          <w:sz w:val="16"/>
          <w:szCs w:val="16"/>
          <w:color w:val="auto"/>
        </w:rPr>
      </w:pPr>
    </w:p>
    <w:p>
      <w:pPr>
        <w:ind w:left="5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CODM does not regularly review asset information and, therefore, the Company does not report asset information.</w:t>
      </w:r>
    </w:p>
    <w:p>
      <w:pPr>
        <w:spacing w:after="0" w:line="216" w:lineRule="exact"/>
        <w:rPr>
          <w:rFonts w:ascii="Times New Roman" w:cs="Times New Roman" w:eastAsia="Times New Roman" w:hAnsi="Times New Roman"/>
          <w:sz w:val="16"/>
          <w:szCs w:val="16"/>
          <w:color w:val="auto"/>
        </w:rPr>
      </w:pPr>
    </w:p>
    <w:p>
      <w:pPr>
        <w:jc w:val="both"/>
        <w:ind w:left="584"/>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segment includes the design, development, manufacturing, and sales of an intelligent inverter solution designed to maximize power generation at the individual PV module level and batteries. The segment solution consists mainly of the Company’s power optimizers, inverters, batteries and cloud</w:t>
      </w:r>
      <w:r>
        <w:rPr>
          <w:rFonts w:ascii="MS PMincho" w:cs="MS PMincho" w:eastAsia="MS PMincho" w:hAnsi="MS PMincho"/>
          <w:sz w:val="16"/>
          <w:szCs w:val="16"/>
          <w:color w:val="auto"/>
        </w:rPr>
        <w:t>‑</w:t>
      </w:r>
      <w:r>
        <w:rPr>
          <w:rFonts w:ascii="Times New Roman" w:cs="Times New Roman" w:eastAsia="Times New Roman" w:hAnsi="Times New Roman"/>
          <w:sz w:val="16"/>
          <w:szCs w:val="16"/>
          <w:color w:val="auto"/>
        </w:rPr>
        <w:t>based monitoring platform.</w:t>
      </w:r>
    </w:p>
    <w:p>
      <w:pPr>
        <w:spacing w:after="0" w:line="157" w:lineRule="exact"/>
        <w:rPr>
          <w:rFonts w:ascii="Times New Roman" w:cs="Times New Roman" w:eastAsia="Times New Roman" w:hAnsi="Times New Roman"/>
          <w:sz w:val="16"/>
          <w:szCs w:val="16"/>
          <w:color w:val="auto"/>
        </w:rPr>
      </w:pPr>
    </w:p>
    <w:p>
      <w:pPr>
        <w:ind w:left="5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tables present information on reportable income (loss) for the period presented:</w:t>
      </w:r>
    </w:p>
    <w:p>
      <w:pPr>
        <w:spacing w:after="0" w:line="215" w:lineRule="exact"/>
        <w:rPr>
          <w:sz w:val="20"/>
          <w:szCs w:val="20"/>
          <w:color w:val="auto"/>
        </w:rPr>
      </w:pPr>
    </w:p>
    <w:tbl>
      <w:tblPr>
        <w:tblLayout w:type="fixed"/>
        <w:tblInd w:w="584"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8"/>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56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1,184,444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901,456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2,976,528</w:t>
            </w:r>
          </w:p>
        </w:tc>
        <w:tc>
          <w:tcPr>
            <w:tcW w:w="100" w:type="dxa"/>
            <w:vAlign w:val="bottom"/>
            <w:shd w:val="clear" w:color="auto" w:fill="CCEEFF"/>
          </w:tcPr>
          <w:p>
            <w:pPr>
              <w:spacing w:after="0"/>
              <w:rPr>
                <w:sz w:val="17"/>
                <w:szCs w:val="17"/>
                <w:color w:val="auto"/>
              </w:rPr>
            </w:pPr>
          </w:p>
        </w:tc>
      </w:tr>
      <w:tr>
        <w:trPr>
          <w:trHeight w:val="20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 costs of goods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825,718</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658,737</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1,600,660</w:t>
            </w:r>
          </w:p>
        </w:tc>
      </w:tr>
      <w:tr>
        <w:trPr>
          <w:trHeight w:val="199"/>
        </w:trPr>
        <w:tc>
          <w:tcPr>
            <w:tcW w:w="5680" w:type="dxa"/>
            <w:vAlign w:val="bottom"/>
          </w:tcPr>
          <w:p>
            <w:pPr>
              <w:ind w:left="80"/>
              <w:spacing w:after="0" w:line="199" w:lineRule="exact"/>
              <w:rPr>
                <w:sz w:val="20"/>
                <w:szCs w:val="20"/>
                <w:color w:val="auto"/>
              </w:rPr>
            </w:pPr>
            <w:r>
              <w:rPr>
                <w:rFonts w:ascii="Times New Roman" w:cs="Times New Roman" w:eastAsia="Times New Roman" w:hAnsi="Times New Roman"/>
                <w:sz w:val="14"/>
                <w:szCs w:val="14"/>
                <w:color w:val="auto"/>
              </w:rPr>
              <w:t>Salaries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560,401</w:t>
            </w:r>
          </w:p>
        </w:tc>
      </w:tr>
      <w:tr>
        <w:trPr>
          <w:trHeight w:val="200"/>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Inventory costs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5"/>
              </w:rPr>
              <w:t>28,027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785,616</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61,861</w:t>
            </w:r>
          </w:p>
        </w:tc>
      </w:tr>
      <w:tr>
        <w:trPr>
          <w:trHeight w:val="200"/>
        </w:trPr>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Shipment and logistics</w:t>
            </w:r>
          </w:p>
        </w:tc>
        <w:tc>
          <w:tcPr>
            <w:tcW w:w="16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41,446</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35,515</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76,096</w:t>
            </w:r>
          </w:p>
        </w:tc>
      </w:tr>
      <w:tr>
        <w:trPr>
          <w:trHeight w:val="199"/>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Warranty</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5"/>
              </w:rPr>
              <w:t>32,448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68,442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310,186</w:t>
            </w:r>
          </w:p>
        </w:tc>
      </w:tr>
      <w:tr>
        <w:trPr>
          <w:trHeight w:val="200"/>
        </w:trPr>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30,511</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59,865</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57,196</w:t>
            </w:r>
          </w:p>
        </w:tc>
      </w:tr>
      <w:tr>
        <w:trPr>
          <w:trHeight w:val="200"/>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Directly related overhead costs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60,013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54,252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50,795</w:t>
            </w:r>
          </w:p>
        </w:tc>
      </w:tr>
      <w:tr>
        <w:trPr>
          <w:trHeight w:val="199"/>
        </w:trPr>
        <w:tc>
          <w:tcPr>
            <w:tcW w:w="5680" w:type="dxa"/>
            <w:vAlign w:val="bottom"/>
          </w:tcPr>
          <w:p>
            <w:pPr>
              <w:ind w:left="80"/>
              <w:spacing w:after="0" w:line="199"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5"/>
              </w:rPr>
              <w:t>46,183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423,059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219,446</w:t>
            </w:r>
          </w:p>
        </w:tc>
      </w:tr>
      <w:tr>
        <w:trPr>
          <w:trHeight w:val="200"/>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Financial (income) expense, net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71,999</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14,570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(41,212)</w:t>
            </w:r>
          </w:p>
        </w:tc>
      </w:tr>
      <w:tr>
        <w:trPr>
          <w:trHeight w:val="200"/>
        </w:trPr>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5"/>
              </w:rPr>
              <w:t>13,382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46,420</w:t>
            </w:r>
          </w:p>
        </w:tc>
      </w:tr>
      <w:tr>
        <w:trPr>
          <w:trHeight w:val="199"/>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from equity method investments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960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1,896</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r>
      <w:tr>
        <w:trPr>
          <w:trHeight w:val="24"/>
        </w:trPr>
        <w:tc>
          <w:tcPr>
            <w:tcW w:w="5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(405,448)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(1,806,357)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34,329</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744" w:hanging="168"/>
        <w:spacing w:after="0"/>
        <w:tabs>
          <w:tab w:leader="none" w:pos="744"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Including stock-based compensation expenses.</w:t>
      </w:r>
    </w:p>
    <w:p>
      <w:pPr>
        <w:spacing w:after="0" w:line="186" w:lineRule="exact"/>
        <w:rPr>
          <w:rFonts w:ascii="Times New Roman" w:cs="Times New Roman" w:eastAsia="Times New Roman" w:hAnsi="Times New Roman"/>
          <w:sz w:val="27"/>
          <w:szCs w:val="27"/>
          <w:color w:val="auto"/>
          <w:vertAlign w:val="superscript"/>
        </w:rPr>
      </w:pPr>
    </w:p>
    <w:p>
      <w:pPr>
        <w:ind w:left="4944" w:right="1680" w:hanging="4368"/>
        <w:spacing w:after="0" w:line="365" w:lineRule="auto"/>
        <w:tabs>
          <w:tab w:leader="none" w:pos="734"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indirect costs of goods, consultants and sub-contractors, marketing, bad debt and impairments and dispositions. F - 67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-72390</wp:posOffset>
                </wp:positionV>
                <wp:extent cx="653224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999pt" to="514.35pt,-5.6999pt" o:allowincell="f" strokecolor="#000000" strokeweight="1.2pt"/>
            </w:pict>
          </mc:Fallback>
        </mc:AlternateContent>
      </w:r>
    </w:p>
    <w:p>
      <w:pPr>
        <w:sectPr>
          <w:pgSz w:w="11900" w:h="16840" w:orient="portrait"/>
          <w:cols w:equalWidth="0" w:num="1">
            <w:col w:w="10284"/>
          </w:cols>
          <w:pgMar w:left="816" w:top="699" w:right="804" w:bottom="1440" w:gutter="0" w:footer="0" w:header="0"/>
        </w:sectPr>
      </w:pPr>
    </w:p>
    <w:bookmarkStart w:id="137" w:name="page138"/>
    <w:bookmarkEnd w:id="137"/>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8"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jc w:val="center"/>
        <w:ind w:right="-639"/>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54" w:lineRule="exact"/>
        <w:rPr>
          <w:sz w:val="20"/>
          <w:szCs w:val="20"/>
          <w:color w:val="auto"/>
        </w:rPr>
      </w:pPr>
    </w:p>
    <w:p>
      <w:pPr>
        <w:ind w:left="584" w:hanging="584"/>
        <w:spacing w:after="0"/>
        <w:tabs>
          <w:tab w:leader="none" w:pos="58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by geographic, based on customers’ location:</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718,227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1,903,846</w:t>
            </w: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markets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148,622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199,199</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313,071</w:t>
            </w: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1,184,444</w:t>
            </w:r>
          </w:p>
        </w:tc>
        <w:tc>
          <w:tcPr>
            <w:tcW w:w="180" w:type="dxa"/>
            <w:vAlign w:val="bottom"/>
          </w:tcPr>
          <w:p>
            <w:pPr>
              <w:spacing w:after="0"/>
              <w:rPr>
                <w:sz w:val="17"/>
                <w:szCs w:val="17"/>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901,456</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2,976,528</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w:t>
            </w:r>
          </w:p>
        </w:tc>
        <w:tc>
          <w:tcPr>
            <w:tcW w:w="5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 by type: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80" w:type="dxa"/>
            <w:vAlign w:val="bottom"/>
            <w:vMerge w:val="continue"/>
          </w:tcPr>
          <w:p>
            <w:pPr>
              <w:spacing w:after="0"/>
              <w:rPr>
                <w:sz w:val="24"/>
                <w:szCs w:val="24"/>
                <w:color w:val="auto"/>
              </w:rPr>
            </w:pPr>
          </w:p>
        </w:tc>
        <w:tc>
          <w:tcPr>
            <w:tcW w:w="5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Inverters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333,806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1,374,026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Optimizers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489,852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902,411</w:t>
            </w: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Batteries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285,399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378,275</w:t>
            </w: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Energy storage systems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49,913</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83,717</w:t>
            </w: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e-Mobility components and telematics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Communication</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32,945</w:t>
            </w: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136,729</w:t>
            </w: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1,184,444</w:t>
            </w:r>
          </w:p>
        </w:tc>
        <w:tc>
          <w:tcPr>
            <w:tcW w:w="180" w:type="dxa"/>
            <w:vAlign w:val="bottom"/>
          </w:tcPr>
          <w:p>
            <w:pPr>
              <w:spacing w:after="0"/>
              <w:rPr>
                <w:sz w:val="17"/>
                <w:szCs w:val="17"/>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901,456</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2,976,528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4" w:hanging="584"/>
        <w:spacing w:after="0"/>
        <w:tabs>
          <w:tab w:leader="none" w:pos="58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by geographic location:</w:t>
      </w:r>
    </w:p>
    <w:p>
      <w:pPr>
        <w:spacing w:after="0" w:line="205" w:lineRule="exact"/>
        <w:rPr>
          <w:sz w:val="20"/>
          <w:szCs w:val="20"/>
          <w:color w:val="auto"/>
        </w:rPr>
      </w:pPr>
    </w:p>
    <w:tbl>
      <w:tblPr>
        <w:tblLayout w:type="fixed"/>
        <w:tblInd w:w="584"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3"/>
        </w:trPr>
        <w:tc>
          <w:tcPr>
            <w:tcW w:w="67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Israel</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224,276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266,254</w:t>
            </w:r>
          </w:p>
        </w:tc>
        <w:tc>
          <w:tcPr>
            <w:tcW w:w="100" w:type="dxa"/>
            <w:vAlign w:val="bottom"/>
            <w:shd w:val="clear" w:color="auto" w:fill="CCEEFF"/>
          </w:tcPr>
          <w:p>
            <w:pPr>
              <w:spacing w:after="0"/>
              <w:rPr>
                <w:sz w:val="17"/>
                <w:szCs w:val="17"/>
                <w:color w:val="auto"/>
              </w:rPr>
            </w:pPr>
          </w:p>
        </w:tc>
      </w:tr>
      <w:tr>
        <w:trPr>
          <w:trHeight w:val="200"/>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76,510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87,715</w:t>
            </w:r>
          </w:p>
        </w:tc>
      </w:tr>
      <w:tr>
        <w:trPr>
          <w:trHeight w:val="19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19,741</w:t>
            </w:r>
          </w:p>
        </w:tc>
      </w:tr>
      <w:tr>
        <w:trPr>
          <w:trHeight w:val="20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11,121</w:t>
            </w:r>
          </w:p>
        </w:tc>
      </w:tr>
      <w:tr>
        <w:trPr>
          <w:trHeight w:val="240"/>
        </w:trPr>
        <w:tc>
          <w:tcPr>
            <w:tcW w:w="672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Total long-lived assets</w:t>
            </w:r>
            <w:r>
              <w:rPr>
                <w:rFonts w:ascii="Times New Roman" w:cs="Times New Roman" w:eastAsia="Times New Roman" w:hAnsi="Times New Roman"/>
                <w:sz w:val="23"/>
                <w:szCs w:val="23"/>
                <w:color w:val="auto"/>
                <w:vertAlign w:val="superscript"/>
              </w:rPr>
              <w:t>(*)</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317,529</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384,831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1" w:lineRule="exact"/>
        <w:rPr>
          <w:sz w:val="20"/>
          <w:szCs w:val="20"/>
          <w:color w:val="auto"/>
        </w:rPr>
      </w:pPr>
    </w:p>
    <w:p>
      <w:pPr>
        <w:ind w:left="4944" w:right="1924" w:hanging="4368"/>
        <w:spacing w:after="0" w:line="559" w:lineRule="auto"/>
        <w:tabs>
          <w:tab w:leader="none" w:pos="79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are comprised of property and equipment, net and Operating lease right-of-use assets, net. F - 68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-119380</wp:posOffset>
                </wp:positionV>
                <wp:extent cx="653224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999pt" to="514.35pt,-9.3999pt" o:allowincell="f" strokecolor="#000000" strokeweight="1.2pt"/>
            </w:pict>
          </mc:Fallback>
        </mc:AlternateContent>
      </w:r>
    </w:p>
    <w:p>
      <w:pPr>
        <w:sectPr>
          <w:pgSz w:w="11900" w:h="16840" w:orient="portrait"/>
          <w:cols w:equalWidth="0" w:num="1">
            <w:col w:w="9648"/>
          </w:cols>
          <w:pgMar w:left="816" w:top="699" w:right="1440"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SOLAREDGE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28:</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219" w:lineRule="exact"/>
        <w:rPr>
          <w:sz w:val="20"/>
          <w:szCs w:val="20"/>
          <w:color w:val="auto"/>
        </w:rPr>
      </w:pPr>
    </w:p>
    <w:p>
      <w:pPr>
        <w:ind w:left="580"/>
        <w:spacing w:after="0" w:line="298" w:lineRule="auto"/>
        <w:rPr>
          <w:sz w:val="20"/>
          <w:szCs w:val="20"/>
          <w:color w:val="auto"/>
        </w:rPr>
      </w:pPr>
      <w:r>
        <w:rPr>
          <w:rFonts w:ascii="Times New Roman" w:cs="Times New Roman" w:eastAsia="Times New Roman" w:hAnsi="Times New Roman"/>
          <w:sz w:val="16"/>
          <w:szCs w:val="16"/>
          <w:color w:val="auto"/>
        </w:rPr>
        <w:t>On February 11, 2026, as part of the decision to discontinue its LCV e-Mobility activity, the Company completed the sale of its remaining e-Mobility activity for an amount of $12,000.</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2pt"/>
            </w:pict>
          </mc:Fallback>
        </mc:AlternateContent>
      </w:r>
    </w:p>
    <w:p>
      <w:pPr>
        <w:sectPr>
          <w:pgSz w:w="11900" w:h="16840" w:orient="portrait"/>
          <w:cols w:equalWidth="0" w:num="1">
            <w:col w:w="10280"/>
          </w:cols>
          <w:pgMar w:left="820" w:top="708" w:right="804"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10"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6"/>
          <w:szCs w:val="16"/>
          <w:color w:val="auto"/>
        </w:rPr>
        <w:t>The information required by Item 10 will be included under the captions “Directors and Corporate Governance”, “Board Committees”, “Code of Conduct and Ethical Business Conduct”, “Compensation Committee Report”, and “Deliquent Section 16(a) Reports” in our definitive Proxy Statement for the 2026 Annual Meeting of Stockholders to be filed with the SEC within 120 days of the year ending December 31, 2025 (the "2026 Proxy Statement")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19" w:lineRule="exact"/>
        <w:rPr>
          <w:sz w:val="20"/>
          <w:szCs w:val="20"/>
          <w:color w:val="auto"/>
        </w:rPr>
      </w:pPr>
    </w:p>
    <w:p>
      <w:pPr>
        <w:ind w:right="100" w:firstLine="576"/>
        <w:spacing w:after="0" w:line="298" w:lineRule="auto"/>
        <w:rPr>
          <w:sz w:val="20"/>
          <w:szCs w:val="20"/>
          <w:color w:val="auto"/>
        </w:rPr>
      </w:pPr>
      <w:r>
        <w:rPr>
          <w:rFonts w:ascii="Times New Roman" w:cs="Times New Roman" w:eastAsia="Times New Roman" w:hAnsi="Times New Roman"/>
          <w:sz w:val="16"/>
          <w:szCs w:val="16"/>
          <w:color w:val="auto"/>
        </w:rPr>
        <w:t>The information required by Item 11 will be included under the captions “Board Committees”, “Director Compensation”, “Executive Compensation”, and “Compensation Risk” in our 2026 Proxy Statement and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18" w:lineRule="exact"/>
        <w:rPr>
          <w:sz w:val="20"/>
          <w:szCs w:val="20"/>
          <w:color w:val="auto"/>
        </w:rPr>
      </w:pPr>
    </w:p>
    <w:p>
      <w:pPr>
        <w:ind w:firstLine="576"/>
        <w:spacing w:after="0" w:line="300" w:lineRule="auto"/>
        <w:rPr>
          <w:sz w:val="20"/>
          <w:szCs w:val="20"/>
          <w:color w:val="auto"/>
        </w:rPr>
      </w:pPr>
      <w:r>
        <w:rPr>
          <w:rFonts w:ascii="Times New Roman" w:cs="Times New Roman" w:eastAsia="Times New Roman" w:hAnsi="Times New Roman"/>
          <w:sz w:val="16"/>
          <w:szCs w:val="16"/>
          <w:color w:val="auto"/>
        </w:rPr>
        <w:t>The information required by Item 12 will be included under the captions “Security Ownership of Certain Beneficial Owners and Management” in our 2026 Proxy Statement and is incorporated herein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Plan Information</w:t>
      </w:r>
    </w:p>
    <w:p>
      <w:pPr>
        <w:spacing w:after="0" w:line="218" w:lineRule="exact"/>
        <w:rPr>
          <w:sz w:val="20"/>
          <w:szCs w:val="20"/>
          <w:color w:val="auto"/>
        </w:rPr>
      </w:pPr>
    </w:p>
    <w:p>
      <w:pPr>
        <w:ind w:firstLine="576"/>
        <w:spacing w:after="0" w:line="300" w:lineRule="auto"/>
        <w:rPr>
          <w:sz w:val="20"/>
          <w:szCs w:val="20"/>
          <w:color w:val="auto"/>
        </w:rPr>
      </w:pPr>
      <w:r>
        <w:rPr>
          <w:rFonts w:ascii="Times New Roman" w:cs="Times New Roman" w:eastAsia="Times New Roman" w:hAnsi="Times New Roman"/>
          <w:sz w:val="16"/>
          <w:szCs w:val="16"/>
          <w:color w:val="auto"/>
        </w:rPr>
        <w:t>The information required regarding securities authorized for issuance under our equity compensation plans is incorporated by reference from the information contained in the section entitled “Equity Compensation Plan Information” in our 2026 Proxy Statement.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19" w:lineRule="exact"/>
        <w:rPr>
          <w:sz w:val="20"/>
          <w:szCs w:val="20"/>
          <w:color w:val="auto"/>
        </w:rPr>
      </w:pPr>
    </w:p>
    <w:p>
      <w:pPr>
        <w:ind w:firstLine="576"/>
        <w:spacing w:after="0" w:line="298" w:lineRule="auto"/>
        <w:rPr>
          <w:sz w:val="20"/>
          <w:szCs w:val="20"/>
          <w:color w:val="auto"/>
        </w:rPr>
      </w:pPr>
      <w:r>
        <w:rPr>
          <w:rFonts w:ascii="Times New Roman" w:cs="Times New Roman" w:eastAsia="Times New Roman" w:hAnsi="Times New Roman"/>
          <w:sz w:val="16"/>
          <w:szCs w:val="16"/>
          <w:color w:val="auto"/>
        </w:rPr>
        <w:t>The information required by Item 13 will be included under the captions “Transactions with Related Persons” and “Directors and Corporate Governance” in our 2026 Proxy Statement and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18" w:lineRule="exact"/>
        <w:rPr>
          <w:sz w:val="20"/>
          <w:szCs w:val="20"/>
          <w:color w:val="auto"/>
        </w:rPr>
      </w:pPr>
    </w:p>
    <w:p>
      <w:pPr>
        <w:ind w:firstLine="576"/>
        <w:spacing w:after="0" w:line="300" w:lineRule="auto"/>
        <w:rPr>
          <w:sz w:val="20"/>
          <w:szCs w:val="20"/>
          <w:color w:val="auto"/>
        </w:rPr>
      </w:pPr>
      <w:r>
        <w:rPr>
          <w:rFonts w:ascii="Times New Roman" w:cs="Times New Roman" w:eastAsia="Times New Roman" w:hAnsi="Times New Roman"/>
          <w:sz w:val="16"/>
          <w:szCs w:val="16"/>
          <w:color w:val="auto"/>
        </w:rPr>
        <w:t>The information required by Item 13 will be included under the captions “Proposal No. 2 Ratification of Appointment of Independent Registered Public Accounting Firm for 2026” in our 2025 Proxy Statement and is incorporated herein by reference.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48895</wp:posOffset>
                </wp:positionV>
                <wp:extent cx="653224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85pt" to="514.15pt,3.85pt" o:allowincell="f" strokecolor="#000000" strokeweight="1.1999pt"/>
            </w:pict>
          </mc:Fallback>
        </mc:AlternateContent>
      </w:r>
    </w:p>
    <w:p>
      <w:pPr>
        <w:sectPr>
          <w:pgSz w:w="11900" w:h="16840" w:orient="portrait"/>
          <w:cols w:equalWidth="0" w:num="1">
            <w:col w:w="10280"/>
          </w:cols>
          <w:pgMar w:left="820" w:top="708" w:right="804"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Consolidated Financial Statements and Notes thereto are included in Item 8 of this Annual Report on Form 10-K. See Index to Item 8 for more detail.</w:t>
      </w:r>
    </w:p>
    <w:p>
      <w:pPr>
        <w:spacing w:after="0" w:line="217" w:lineRule="exact"/>
        <w:rPr>
          <w:sz w:val="20"/>
          <w:szCs w:val="20"/>
          <w:color w:val="auto"/>
        </w:rPr>
      </w:pPr>
    </w:p>
    <w:p>
      <w:pPr>
        <w:ind w:left="280" w:hanging="287"/>
        <w:spacing w:after="0" w:line="298" w:lineRule="auto"/>
        <w:rPr>
          <w:sz w:val="20"/>
          <w:szCs w:val="20"/>
          <w:color w:val="auto"/>
        </w:rPr>
      </w:pPr>
      <w:r>
        <w:rPr>
          <w:rFonts w:ascii="Times New Roman" w:cs="Times New Roman" w:eastAsia="Times New Roman" w:hAnsi="Times New Roman"/>
          <w:sz w:val="16"/>
          <w:szCs w:val="16"/>
          <w:color w:val="auto"/>
        </w:rPr>
        <w:t>All financial schedules have been omitted either because they are not applicable or because the required information is provided in our Consolidated Financial Statements and Notes thereto, included in Item 8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Index to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280" w:type="dxa"/>
            <w:vAlign w:val="bottom"/>
            <w:gridSpan w:val="70"/>
          </w:tcPr>
          <w:p>
            <w:pPr>
              <w:jc w:val="center"/>
              <w:ind w:right="95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0" w:type="dxa"/>
            <w:vAlign w:val="bottom"/>
          </w:tcPr>
          <w:p>
            <w:pPr>
              <w:spacing w:after="0"/>
              <w:rPr>
                <w:sz w:val="1"/>
                <w:szCs w:val="1"/>
                <w:color w:val="auto"/>
              </w:rPr>
            </w:pPr>
          </w:p>
        </w:tc>
      </w:tr>
      <w:tr>
        <w:trPr>
          <w:trHeight w:val="215"/>
        </w:trPr>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3"/>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8"/>
                <w:szCs w:val="18"/>
                <w:color w:val="auto"/>
              </w:rPr>
            </w:pPr>
          </w:p>
        </w:tc>
        <w:tc>
          <w:tcPr>
            <w:tcW w:w="46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176"/>
        </w:trPr>
        <w:tc>
          <w:tcPr>
            <w:tcW w:w="2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551A8B"/>
                <w:w w:val="89"/>
              </w:rPr>
              <w:t>3.</w:t>
            </w:r>
            <w:r>
              <w:rPr>
                <w:rFonts w:ascii="Times New Roman" w:cs="Times New Roman" w:eastAsia="Times New Roman" w:hAnsi="Times New Roman"/>
                <w:sz w:val="16"/>
                <w:szCs w:val="16"/>
                <w:u w:val="single" w:color="auto"/>
                <w:color w:val="551A8B"/>
                <w:w w:val="89"/>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77" w:lineRule="exact"/>
              <w:rPr>
                <w:sz w:val="20"/>
                <w:szCs w:val="20"/>
                <w:color w:val="auto"/>
              </w:rPr>
            </w:pPr>
            <w:r>
              <w:rPr>
                <w:rFonts w:ascii="Times New Roman" w:cs="Times New Roman" w:eastAsia="Times New Roman" w:hAnsi="Times New Roman"/>
                <w:sz w:val="16"/>
                <w:szCs w:val="16"/>
                <w:color w:val="551A8B"/>
              </w:rPr>
              <w:t>Restated Certificate of Incorporation</w:t>
            </w:r>
          </w:p>
        </w:tc>
        <w:tc>
          <w:tcPr>
            <w:tcW w:w="140" w:type="dxa"/>
            <w:vAlign w:val="bottom"/>
          </w:tcPr>
          <w:p>
            <w:pPr>
              <w:spacing w:after="0"/>
              <w:rPr>
                <w:sz w:val="15"/>
                <w:szCs w:val="15"/>
                <w:color w:val="auto"/>
              </w:rPr>
            </w:pPr>
          </w:p>
        </w:tc>
        <w:tc>
          <w:tcPr>
            <w:tcW w:w="46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Incorporated by reference to Exhibit 3.2 to Form 8-K filed with the</w:t>
            </w:r>
          </w:p>
        </w:tc>
        <w:tc>
          <w:tcPr>
            <w:tcW w:w="0" w:type="dxa"/>
            <w:vAlign w:val="bottom"/>
          </w:tcPr>
          <w:p>
            <w:pPr>
              <w:spacing w:after="0"/>
              <w:rPr>
                <w:sz w:val="1"/>
                <w:szCs w:val="1"/>
                <w:color w:val="auto"/>
              </w:rPr>
            </w:pPr>
          </w:p>
        </w:tc>
      </w:tr>
      <w:tr>
        <w:trPr>
          <w:trHeight w:val="195"/>
        </w:trPr>
        <w:tc>
          <w:tcPr>
            <w:tcW w:w="200" w:type="dxa"/>
            <w:vAlign w:val="bottom"/>
            <w:tcBorders>
              <w:top w:val="single" w:sz="8" w:color="551A8B"/>
            </w:tcBorders>
          </w:tcPr>
          <w:p>
            <w:pPr>
              <w:spacing w:after="0"/>
              <w:rPr>
                <w:sz w:val="16"/>
                <w:szCs w:val="16"/>
                <w:color w:val="auto"/>
              </w:rPr>
            </w:pPr>
          </w:p>
        </w:tc>
        <w:tc>
          <w:tcPr>
            <w:tcW w:w="780" w:type="dxa"/>
            <w:vAlign w:val="bottom"/>
            <w:gridSpan w:val="3"/>
          </w:tcPr>
          <w:p>
            <w:pPr>
              <w:spacing w:after="0"/>
              <w:rPr>
                <w:sz w:val="16"/>
                <w:szCs w:val="16"/>
                <w:color w:val="auto"/>
              </w:rPr>
            </w:pPr>
          </w:p>
        </w:tc>
        <w:tc>
          <w:tcPr>
            <w:tcW w:w="1680" w:type="dxa"/>
            <w:vAlign w:val="bottom"/>
            <w:tcBorders>
              <w:top w:val="single" w:sz="8" w:color="551A8B"/>
            </w:tcBorders>
            <w:gridSpan w:val="20"/>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top w:val="single" w:sz="8" w:color="551A8B"/>
            </w:tcBorders>
            <w:gridSpan w:val="9"/>
          </w:tcPr>
          <w:p>
            <w:pPr>
              <w:spacing w:after="0"/>
              <w:rPr>
                <w:sz w:val="16"/>
                <w:szCs w:val="16"/>
                <w:color w:val="auto"/>
              </w:rPr>
            </w:pPr>
          </w:p>
        </w:tc>
        <w:tc>
          <w:tcPr>
            <w:tcW w:w="7080" w:type="dxa"/>
            <w:vAlign w:val="bottom"/>
            <w:gridSpan w:val="36"/>
          </w:tcPr>
          <w:p>
            <w:pPr>
              <w:spacing w:after="0"/>
              <w:rPr>
                <w:sz w:val="20"/>
                <w:szCs w:val="20"/>
                <w:color w:val="auto"/>
              </w:rPr>
            </w:pPr>
            <w:r>
              <w:rPr>
                <w:rFonts w:ascii="Times New Roman" w:cs="Times New Roman" w:eastAsia="Times New Roman" w:hAnsi="Times New Roman"/>
                <w:sz w:val="16"/>
                <w:szCs w:val="16"/>
                <w:color w:val="auto"/>
              </w:rPr>
              <w:t>SEC on June 2, 2023</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551A8B"/>
                <w:w w:val="89"/>
              </w:rPr>
              <w:t>3.</w:t>
            </w:r>
            <w:r>
              <w:rPr>
                <w:rFonts w:ascii="Times New Roman" w:cs="Times New Roman" w:eastAsia="Times New Roman" w:hAnsi="Times New Roman"/>
                <w:sz w:val="16"/>
                <w:szCs w:val="16"/>
                <w:u w:val="single" w:color="auto"/>
                <w:color w:val="551A8B"/>
                <w:w w:val="89"/>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20" w:type="dxa"/>
            <w:vAlign w:val="bottom"/>
            <w:gridSpan w:val="64"/>
          </w:tcPr>
          <w:p>
            <w:pPr>
              <w:spacing w:after="0"/>
              <w:rPr>
                <w:sz w:val="20"/>
                <w:szCs w:val="20"/>
                <w:color w:val="auto"/>
              </w:rPr>
            </w:pPr>
            <w:r>
              <w:rPr>
                <w:rFonts w:ascii="Times New Roman" w:cs="Times New Roman" w:eastAsia="Times New Roman" w:hAnsi="Times New Roman"/>
                <w:sz w:val="16"/>
                <w:szCs w:val="16"/>
                <w:color w:val="551A8B"/>
              </w:rPr>
              <w:t>Amended and Restated By-Laws</w:t>
            </w:r>
          </w:p>
        </w:tc>
        <w:tc>
          <w:tcPr>
            <w:tcW w:w="14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w w:val="99"/>
              </w:rPr>
              <w:t>Incorporated by reference to Exhibit 3.1 to Form 8-K filed with the SEC</w:t>
            </w:r>
          </w:p>
        </w:tc>
        <w:tc>
          <w:tcPr>
            <w:tcW w:w="0" w:type="dxa"/>
            <w:vAlign w:val="bottom"/>
          </w:tcPr>
          <w:p>
            <w:pPr>
              <w:spacing w:after="0"/>
              <w:rPr>
                <w:sz w:val="1"/>
                <w:szCs w:val="1"/>
                <w:color w:val="auto"/>
              </w:rPr>
            </w:pPr>
          </w:p>
        </w:tc>
      </w:tr>
      <w:tr>
        <w:trPr>
          <w:trHeight w:val="195"/>
        </w:trPr>
        <w:tc>
          <w:tcPr>
            <w:tcW w:w="200" w:type="dxa"/>
            <w:vAlign w:val="bottom"/>
            <w:tcBorders>
              <w:top w:val="single" w:sz="8" w:color="551A8B"/>
            </w:tcBorders>
          </w:tcPr>
          <w:p>
            <w:pPr>
              <w:spacing w:after="0"/>
              <w:rPr>
                <w:sz w:val="16"/>
                <w:szCs w:val="16"/>
                <w:color w:val="auto"/>
              </w:rPr>
            </w:pPr>
          </w:p>
        </w:tc>
        <w:tc>
          <w:tcPr>
            <w:tcW w:w="780" w:type="dxa"/>
            <w:vAlign w:val="bottom"/>
            <w:gridSpan w:val="3"/>
          </w:tcPr>
          <w:p>
            <w:pPr>
              <w:spacing w:after="0"/>
              <w:rPr>
                <w:sz w:val="16"/>
                <w:szCs w:val="16"/>
                <w:color w:val="auto"/>
              </w:rPr>
            </w:pPr>
          </w:p>
        </w:tc>
        <w:tc>
          <w:tcPr>
            <w:tcW w:w="1980" w:type="dxa"/>
            <w:vAlign w:val="bottom"/>
            <w:tcBorders>
              <w:top w:val="single" w:sz="8" w:color="551A8B"/>
            </w:tcBorders>
            <w:gridSpan w:val="26"/>
          </w:tcPr>
          <w:p>
            <w:pPr>
              <w:spacing w:after="0"/>
              <w:rPr>
                <w:sz w:val="16"/>
                <w:szCs w:val="16"/>
                <w:color w:val="auto"/>
              </w:rPr>
            </w:pPr>
          </w:p>
        </w:tc>
        <w:tc>
          <w:tcPr>
            <w:tcW w:w="7320" w:type="dxa"/>
            <w:vAlign w:val="bottom"/>
            <w:gridSpan w:val="40"/>
          </w:tcPr>
          <w:p>
            <w:pPr>
              <w:spacing w:after="0"/>
              <w:rPr>
                <w:sz w:val="20"/>
                <w:szCs w:val="20"/>
                <w:color w:val="auto"/>
              </w:rPr>
            </w:pPr>
            <w:r>
              <w:rPr>
                <w:rFonts w:ascii="Times New Roman" w:cs="Times New Roman" w:eastAsia="Times New Roman" w:hAnsi="Times New Roman"/>
                <w:sz w:val="16"/>
                <w:szCs w:val="16"/>
                <w:color w:val="auto"/>
              </w:rPr>
              <w:t>on December 1, 2022</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20" w:type="dxa"/>
            <w:vAlign w:val="bottom"/>
            <w:gridSpan w:val="64"/>
          </w:tcPr>
          <w:p>
            <w:pPr>
              <w:spacing w:after="0"/>
              <w:rPr>
                <w:sz w:val="20"/>
                <w:szCs w:val="20"/>
                <w:color w:val="auto"/>
              </w:rPr>
            </w:pPr>
            <w:r>
              <w:rPr>
                <w:rFonts w:ascii="Times New Roman" w:cs="Times New Roman" w:eastAsia="Times New Roman" w:hAnsi="Times New Roman"/>
                <w:sz w:val="16"/>
                <w:szCs w:val="16"/>
                <w:color w:val="551A8B"/>
              </w:rPr>
              <w:t>Description of Common Stock</w:t>
            </w:r>
          </w:p>
        </w:tc>
        <w:tc>
          <w:tcPr>
            <w:tcW w:w="14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Filed with this report</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shd w:val="clear" w:color="auto" w:fill="551A8B"/>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7700" w:type="dxa"/>
            <w:vAlign w:val="bottom"/>
            <w:gridSpan w:val="48"/>
            <w:shd w:val="clear" w:color="auto" w:fill="551A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79" w:lineRule="exact"/>
              <w:rPr>
                <w:sz w:val="20"/>
                <w:szCs w:val="20"/>
                <w:color w:val="auto"/>
              </w:rPr>
            </w:pPr>
            <w:r>
              <w:rPr>
                <w:rFonts w:ascii="Times New Roman" w:cs="Times New Roman" w:eastAsia="Times New Roman" w:hAnsi="Times New Roman"/>
                <w:sz w:val="16"/>
                <w:szCs w:val="16"/>
                <w:color w:val="551A8B"/>
              </w:rPr>
              <w:t>Specimen Common Stock Certificate of the Registrant</w:t>
            </w:r>
          </w:p>
        </w:tc>
        <w:tc>
          <w:tcPr>
            <w:tcW w:w="140" w:type="dxa"/>
            <w:vAlign w:val="bottom"/>
          </w:tcPr>
          <w:p>
            <w:pPr>
              <w:spacing w:after="0"/>
              <w:rPr>
                <w:sz w:val="15"/>
                <w:szCs w:val="15"/>
                <w:color w:val="auto"/>
              </w:rPr>
            </w:pP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Incorporated by reference to Exhibit 4.1 of Amendment No. 1 to Form</w:t>
            </w:r>
          </w:p>
        </w:tc>
        <w:tc>
          <w:tcPr>
            <w:tcW w:w="0" w:type="dxa"/>
            <w:vAlign w:val="bottom"/>
          </w:tcPr>
          <w:p>
            <w:pPr>
              <w:spacing w:after="0"/>
              <w:rPr>
                <w:sz w:val="1"/>
                <w:szCs w:val="1"/>
                <w:color w:val="auto"/>
              </w:rPr>
            </w:pPr>
          </w:p>
        </w:tc>
      </w:tr>
      <w:tr>
        <w:trPr>
          <w:trHeight w:val="195"/>
        </w:trPr>
        <w:tc>
          <w:tcPr>
            <w:tcW w:w="200" w:type="dxa"/>
            <w:vAlign w:val="bottom"/>
            <w:tcBorders>
              <w:top w:val="single" w:sz="8" w:color="551A8B"/>
            </w:tcBorders>
          </w:tcPr>
          <w:p>
            <w:pPr>
              <w:spacing w:after="0"/>
              <w:rPr>
                <w:sz w:val="16"/>
                <w:szCs w:val="16"/>
                <w:color w:val="auto"/>
              </w:rPr>
            </w:pPr>
          </w:p>
        </w:tc>
        <w:tc>
          <w:tcPr>
            <w:tcW w:w="780" w:type="dxa"/>
            <w:vAlign w:val="bottom"/>
            <w:gridSpan w:val="3"/>
          </w:tcPr>
          <w:p>
            <w:pPr>
              <w:spacing w:after="0"/>
              <w:rPr>
                <w:sz w:val="16"/>
                <w:szCs w:val="16"/>
                <w:color w:val="auto"/>
              </w:rPr>
            </w:pPr>
          </w:p>
        </w:tc>
        <w:tc>
          <w:tcPr>
            <w:tcW w:w="2880" w:type="dxa"/>
            <w:vAlign w:val="bottom"/>
            <w:tcBorders>
              <w:top w:val="single" w:sz="8" w:color="551A8B"/>
            </w:tcBorders>
            <w:gridSpan w:val="41"/>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551A8B"/>
            </w:tcBorders>
            <w:gridSpan w:val="7"/>
          </w:tcPr>
          <w:p>
            <w:pPr>
              <w:spacing w:after="0"/>
              <w:rPr>
                <w:sz w:val="16"/>
                <w:szCs w:val="16"/>
                <w:color w:val="auto"/>
              </w:rPr>
            </w:pPr>
          </w:p>
        </w:tc>
        <w:tc>
          <w:tcPr>
            <w:tcW w:w="59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S-1 (Registration No. 333-202159) filed with the SEC on March 11,</w:t>
            </w:r>
          </w:p>
        </w:tc>
        <w:tc>
          <w:tcPr>
            <w:tcW w:w="0" w:type="dxa"/>
            <w:vAlign w:val="bottom"/>
          </w:tcPr>
          <w:p>
            <w:pPr>
              <w:spacing w:after="0"/>
              <w:rPr>
                <w:sz w:val="1"/>
                <w:szCs w:val="1"/>
                <w:color w:val="auto"/>
              </w:rPr>
            </w:pPr>
          </w:p>
        </w:tc>
      </w:tr>
      <w:tr>
        <w:trPr>
          <w:trHeight w:val="200"/>
        </w:trPr>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20" w:type="dxa"/>
            <w:vAlign w:val="bottom"/>
            <w:gridSpan w:val="64"/>
            <w:vMerge w:val="restart"/>
          </w:tcPr>
          <w:p>
            <w:pPr>
              <w:spacing w:after="0"/>
              <w:rPr>
                <w:sz w:val="20"/>
                <w:szCs w:val="20"/>
                <w:color w:val="auto"/>
              </w:rPr>
            </w:pPr>
            <w:r>
              <w:rPr>
                <w:rFonts w:ascii="Times New Roman" w:cs="Times New Roman" w:eastAsia="Times New Roman" w:hAnsi="Times New Roman"/>
                <w:sz w:val="16"/>
                <w:szCs w:val="16"/>
                <w:color w:val="551A8B"/>
              </w:rPr>
              <w:t>Indenture, dated September 25, 2020, between the Company and U.S.</w:t>
            </w: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185"/>
        </w:trPr>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20" w:type="dxa"/>
            <w:vAlign w:val="bottom"/>
            <w:gridSpan w:val="64"/>
            <w:vMerge w:val="continue"/>
          </w:tcPr>
          <w:p>
            <w:pPr>
              <w:spacing w:after="0"/>
              <w:rPr>
                <w:sz w:val="16"/>
                <w:szCs w:val="16"/>
                <w:color w:val="auto"/>
              </w:rPr>
            </w:pPr>
          </w:p>
        </w:tc>
        <w:tc>
          <w:tcPr>
            <w:tcW w:w="14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w w:val="99"/>
              </w:rPr>
              <w:t>Incorporated by reference to Exhibit 4.1 to Form 8-K filed with the SEC</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shd w:val="clear" w:color="auto" w:fill="551A8B"/>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300" w:type="dxa"/>
            <w:vAlign w:val="bottom"/>
            <w:tcBorders>
              <w:right w:val="single" w:sz="8" w:color="551A8B"/>
            </w:tcBorders>
            <w:gridSpan w:val="5"/>
            <w:shd w:val="clear" w:color="auto" w:fill="551A8B"/>
          </w:tcPr>
          <w:p>
            <w:pPr>
              <w:spacing w:after="0" w:line="20" w:lineRule="exact"/>
              <w:rPr>
                <w:sz w:val="1"/>
                <w:szCs w:val="1"/>
                <w:color w:val="auto"/>
              </w:rPr>
            </w:pPr>
          </w:p>
        </w:tc>
        <w:tc>
          <w:tcPr>
            <w:tcW w:w="100" w:type="dxa"/>
            <w:vAlign w:val="bottom"/>
            <w:gridSpan w:val="4"/>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2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10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280" w:type="dxa"/>
            <w:vAlign w:val="bottom"/>
            <w:gridSpan w:val="5"/>
            <w:shd w:val="clear" w:color="auto" w:fill="551A8B"/>
          </w:tcPr>
          <w:p>
            <w:pPr>
              <w:spacing w:after="0" w:line="20" w:lineRule="exact"/>
              <w:rPr>
                <w:sz w:val="1"/>
                <w:szCs w:val="1"/>
                <w:color w:val="auto"/>
              </w:rPr>
            </w:pPr>
          </w:p>
        </w:tc>
        <w:tc>
          <w:tcPr>
            <w:tcW w:w="14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80" w:type="dxa"/>
            <w:vAlign w:val="bottom"/>
            <w:tcBorders>
              <w:right w:val="single" w:sz="8" w:color="551A8B"/>
            </w:tcBorders>
            <w:gridSpan w:val="3"/>
            <w:shd w:val="clear" w:color="auto" w:fill="551A8B"/>
          </w:tcPr>
          <w:p>
            <w:pPr>
              <w:spacing w:after="0" w:line="20" w:lineRule="exact"/>
              <w:rPr>
                <w:sz w:val="1"/>
                <w:szCs w:val="1"/>
                <w:color w:val="auto"/>
              </w:rPr>
            </w:pPr>
          </w:p>
        </w:tc>
        <w:tc>
          <w:tcPr>
            <w:tcW w:w="160" w:type="dxa"/>
            <w:vAlign w:val="bottom"/>
            <w:tcBorders>
              <w:right w:val="single" w:sz="8" w:color="551A8B"/>
            </w:tcBorders>
            <w:gridSpan w:val="3"/>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460" w:type="dxa"/>
            <w:vAlign w:val="bottom"/>
            <w:tcBorders>
              <w:left w:val="single" w:sz="8" w:color="551A8B"/>
            </w:tcBorders>
            <w:gridSpan w:val="4"/>
          </w:tcPr>
          <w:p>
            <w:pPr>
              <w:spacing w:after="0" w:line="20" w:lineRule="exact"/>
              <w:rPr>
                <w:sz w:val="1"/>
                <w:szCs w:val="1"/>
                <w:color w:val="auto"/>
              </w:rPr>
            </w:pPr>
          </w:p>
        </w:tc>
        <w:tc>
          <w:tcPr>
            <w:tcW w:w="16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5080" w:type="dxa"/>
            <w:vAlign w:val="bottom"/>
            <w:tcBorders>
              <w:left w:val="single" w:sz="8" w:color="551A8B"/>
            </w:tcBorders>
            <w:gridSpan w:val="7"/>
            <w:shd w:val="clear" w:color="auto" w:fill="551A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Bank National Association, as trustee</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on September 25,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300" w:type="dxa"/>
            <w:vAlign w:val="bottom"/>
            <w:tcBorders>
              <w:right w:val="single" w:sz="8" w:color="551A8B"/>
            </w:tcBorders>
            <w:gridSpan w:val="5"/>
          </w:tcPr>
          <w:p>
            <w:pPr>
              <w:spacing w:after="0" w:line="20" w:lineRule="exact"/>
              <w:rPr>
                <w:sz w:val="1"/>
                <w:szCs w:val="1"/>
                <w:color w:val="auto"/>
              </w:rPr>
            </w:pPr>
          </w:p>
        </w:tc>
        <w:tc>
          <w:tcPr>
            <w:tcW w:w="100" w:type="dxa"/>
            <w:vAlign w:val="bottom"/>
            <w:gridSpan w:val="4"/>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2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700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w w:val="97"/>
              </w:rPr>
              <w:t>Form of 0.000% Convertible Senior Note due 2025 (included in Exhibit</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9"/>
              </w:rPr>
              <w:t>Incorporated by reference to Exhibit 4.2 to Form 8-K filed with the SEC</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shd w:val="clear" w:color="auto" w:fill="551A8B"/>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300" w:type="dxa"/>
            <w:vAlign w:val="bottom"/>
            <w:tcBorders>
              <w:right w:val="single" w:sz="8" w:color="551A8B"/>
            </w:tcBorders>
            <w:gridSpan w:val="5"/>
            <w:shd w:val="clear" w:color="auto" w:fill="551A8B"/>
          </w:tcPr>
          <w:p>
            <w:pPr>
              <w:spacing w:after="0" w:line="20" w:lineRule="exact"/>
              <w:rPr>
                <w:sz w:val="1"/>
                <w:szCs w:val="1"/>
                <w:color w:val="auto"/>
              </w:rPr>
            </w:pPr>
          </w:p>
        </w:tc>
        <w:tc>
          <w:tcPr>
            <w:tcW w:w="100" w:type="dxa"/>
            <w:vAlign w:val="bottom"/>
            <w:gridSpan w:val="4"/>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2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10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280" w:type="dxa"/>
            <w:vAlign w:val="bottom"/>
            <w:gridSpan w:val="5"/>
            <w:shd w:val="clear" w:color="auto" w:fill="551A8B"/>
          </w:tcPr>
          <w:p>
            <w:pPr>
              <w:spacing w:after="0" w:line="20" w:lineRule="exact"/>
              <w:rPr>
                <w:sz w:val="1"/>
                <w:szCs w:val="1"/>
                <w:color w:val="auto"/>
              </w:rPr>
            </w:pPr>
          </w:p>
        </w:tc>
        <w:tc>
          <w:tcPr>
            <w:tcW w:w="14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80" w:type="dxa"/>
            <w:vAlign w:val="bottom"/>
            <w:tcBorders>
              <w:right w:val="single" w:sz="8" w:color="551A8B"/>
            </w:tcBorders>
            <w:gridSpan w:val="3"/>
            <w:shd w:val="clear" w:color="auto" w:fill="551A8B"/>
          </w:tcPr>
          <w:p>
            <w:pPr>
              <w:spacing w:after="0" w:line="20" w:lineRule="exact"/>
              <w:rPr>
                <w:sz w:val="1"/>
                <w:szCs w:val="1"/>
                <w:color w:val="auto"/>
              </w:rPr>
            </w:pPr>
          </w:p>
        </w:tc>
        <w:tc>
          <w:tcPr>
            <w:tcW w:w="160" w:type="dxa"/>
            <w:vAlign w:val="bottom"/>
            <w:tcBorders>
              <w:right w:val="single" w:sz="8" w:color="551A8B"/>
            </w:tcBorders>
            <w:gridSpan w:val="3"/>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460" w:type="dxa"/>
            <w:vAlign w:val="bottom"/>
            <w:tcBorders>
              <w:left w:val="single" w:sz="8" w:color="551A8B"/>
            </w:tcBorders>
            <w:gridSpan w:val="4"/>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200" w:type="dxa"/>
            <w:vAlign w:val="bottom"/>
            <w:tcBorders>
              <w:left w:val="single" w:sz="8" w:color="551A8B"/>
            </w:tcBorders>
            <w:gridSpan w:val="3"/>
            <w:shd w:val="clear" w:color="auto" w:fill="551A8B"/>
          </w:tcPr>
          <w:p>
            <w:pPr>
              <w:spacing w:after="0" w:line="20" w:lineRule="exact"/>
              <w:rPr>
                <w:sz w:val="1"/>
                <w:szCs w:val="1"/>
                <w:color w:val="auto"/>
              </w:rPr>
            </w:pPr>
          </w:p>
        </w:tc>
        <w:tc>
          <w:tcPr>
            <w:tcW w:w="4880" w:type="dxa"/>
            <w:vAlign w:val="bottom"/>
            <w:tcBorders>
              <w:left w:val="single" w:sz="8" w:color="551A8B"/>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40" w:type="dxa"/>
            <w:vAlign w:val="bottom"/>
            <w:gridSpan w:val="69"/>
          </w:tcPr>
          <w:p>
            <w:pPr>
              <w:jc w:val="right"/>
              <w:ind w:right="5560"/>
              <w:spacing w:after="0"/>
              <w:rPr>
                <w:sz w:val="20"/>
                <w:szCs w:val="20"/>
                <w:color w:val="auto"/>
              </w:rPr>
            </w:pPr>
            <w:r>
              <w:rPr>
                <w:rFonts w:ascii="Times New Roman" w:cs="Times New Roman" w:eastAsia="Times New Roman" w:hAnsi="Times New Roman"/>
                <w:sz w:val="16"/>
                <w:szCs w:val="16"/>
                <w:color w:val="551A8B"/>
              </w:rPr>
              <w:t>4.3)</w:t>
            </w: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on September 25,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tcPr>
          <w:p>
            <w:pPr>
              <w:spacing w:after="0" w:line="20" w:lineRule="exact"/>
              <w:rPr>
                <w:sz w:val="1"/>
                <w:szCs w:val="1"/>
                <w:color w:val="auto"/>
              </w:rPr>
            </w:pPr>
          </w:p>
        </w:tc>
        <w:tc>
          <w:tcPr>
            <w:tcW w:w="9300" w:type="dxa"/>
            <w:vAlign w:val="bottom"/>
            <w:gridSpan w:val="66"/>
            <w:shd w:val="clear" w:color="auto" w:fill="551A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Indenture, dated June 28, 2024, between the Company and U.S. Bank</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9"/>
              </w:rPr>
              <w:t>Incorporated by reference to Exhibit 4.1 to Form 8-K filed with the SEC</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shd w:val="clear" w:color="auto" w:fill="551A8B"/>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tcPr>
          <w:p>
            <w:pPr>
              <w:spacing w:after="0" w:line="20" w:lineRule="exact"/>
              <w:rPr>
                <w:sz w:val="1"/>
                <w:szCs w:val="1"/>
                <w:color w:val="auto"/>
              </w:rPr>
            </w:pPr>
          </w:p>
        </w:tc>
        <w:tc>
          <w:tcPr>
            <w:tcW w:w="400" w:type="dxa"/>
            <w:vAlign w:val="bottom"/>
            <w:gridSpan w:val="9"/>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2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10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280" w:type="dxa"/>
            <w:vAlign w:val="bottom"/>
            <w:gridSpan w:val="5"/>
            <w:shd w:val="clear" w:color="auto" w:fill="551A8B"/>
          </w:tcPr>
          <w:p>
            <w:pPr>
              <w:spacing w:after="0" w:line="20" w:lineRule="exact"/>
              <w:rPr>
                <w:sz w:val="1"/>
                <w:szCs w:val="1"/>
                <w:color w:val="auto"/>
              </w:rPr>
            </w:pPr>
          </w:p>
        </w:tc>
        <w:tc>
          <w:tcPr>
            <w:tcW w:w="14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80" w:type="dxa"/>
            <w:vAlign w:val="bottom"/>
            <w:tcBorders>
              <w:right w:val="single" w:sz="8" w:color="551A8B"/>
            </w:tcBorders>
            <w:gridSpan w:val="3"/>
            <w:shd w:val="clear" w:color="auto" w:fill="551A8B"/>
          </w:tcPr>
          <w:p>
            <w:pPr>
              <w:spacing w:after="0" w:line="20" w:lineRule="exact"/>
              <w:rPr>
                <w:sz w:val="1"/>
                <w:szCs w:val="1"/>
                <w:color w:val="auto"/>
              </w:rPr>
            </w:pPr>
          </w:p>
        </w:tc>
        <w:tc>
          <w:tcPr>
            <w:tcW w:w="160" w:type="dxa"/>
            <w:vAlign w:val="bottom"/>
            <w:tcBorders>
              <w:right w:val="single" w:sz="8" w:color="551A8B"/>
            </w:tcBorders>
            <w:gridSpan w:val="3"/>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460" w:type="dxa"/>
            <w:vAlign w:val="bottom"/>
            <w:tcBorders>
              <w:left w:val="single" w:sz="8" w:color="551A8B"/>
            </w:tcBorders>
            <w:gridSpan w:val="4"/>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5080" w:type="dxa"/>
            <w:vAlign w:val="bottom"/>
            <w:tcBorders>
              <w:left w:val="single" w:sz="8" w:color="551A8B"/>
            </w:tcBorders>
            <w:gridSpan w:val="7"/>
            <w:shd w:val="clear" w:color="auto" w:fill="551A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Trust Company, National Association, as trustee</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on June 28, 2024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40" w:type="dxa"/>
            <w:vAlign w:val="bottom"/>
            <w:tcBorders>
              <w:lef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60" w:type="dxa"/>
            <w:vAlign w:val="bottom"/>
            <w:tcBorders>
              <w:right w:val="single" w:sz="8" w:color="551A8B"/>
            </w:tcBorders>
          </w:tcPr>
          <w:p>
            <w:pPr>
              <w:spacing w:after="0" w:line="20" w:lineRule="exact"/>
              <w:rPr>
                <w:sz w:val="1"/>
                <w:szCs w:val="1"/>
                <w:color w:val="auto"/>
              </w:rPr>
            </w:pPr>
          </w:p>
        </w:tc>
        <w:tc>
          <w:tcPr>
            <w:tcW w:w="14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320" w:type="dxa"/>
            <w:vAlign w:val="bottom"/>
            <w:gridSpan w:val="6"/>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60" w:type="dxa"/>
            <w:vAlign w:val="bottom"/>
            <w:gridSpan w:val="2"/>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40" w:type="dxa"/>
            <w:vAlign w:val="bottom"/>
            <w:gridSpan w:val="2"/>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gridSpan w:val="2"/>
            <w:shd w:val="clear" w:color="auto" w:fill="551A8B"/>
          </w:tcPr>
          <w:p>
            <w:pPr>
              <w:spacing w:after="0" w:line="20" w:lineRule="exact"/>
              <w:rPr>
                <w:sz w:val="1"/>
                <w:szCs w:val="1"/>
                <w:color w:val="auto"/>
              </w:rPr>
            </w:pPr>
          </w:p>
        </w:tc>
        <w:tc>
          <w:tcPr>
            <w:tcW w:w="140" w:type="dxa"/>
            <w:vAlign w:val="bottom"/>
            <w:tcBorders>
              <w:left w:val="single" w:sz="8" w:color="551A8B"/>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79" w:lineRule="exact"/>
              <w:rPr>
                <w:sz w:val="20"/>
                <w:szCs w:val="20"/>
                <w:color w:val="auto"/>
              </w:rPr>
            </w:pPr>
            <w:r>
              <w:rPr>
                <w:rFonts w:ascii="Times New Roman" w:cs="Times New Roman" w:eastAsia="Times New Roman" w:hAnsi="Times New Roman"/>
                <w:sz w:val="16"/>
                <w:szCs w:val="16"/>
                <w:color w:val="551A8B"/>
              </w:rPr>
              <w:t>Form of 2.250% Convertible Senior Note due 2029 (included in</w:t>
            </w:r>
          </w:p>
        </w:tc>
        <w:tc>
          <w:tcPr>
            <w:tcW w:w="140" w:type="dxa"/>
            <w:vAlign w:val="bottom"/>
          </w:tcPr>
          <w:p>
            <w:pPr>
              <w:spacing w:after="0"/>
              <w:rPr>
                <w:sz w:val="15"/>
                <w:szCs w:val="15"/>
                <w:color w:val="auto"/>
              </w:rPr>
            </w:pP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Incorporated by reference to Exhibit 4.2 to Form 8-K filed with the SEC</w:t>
            </w:r>
          </w:p>
        </w:tc>
        <w:tc>
          <w:tcPr>
            <w:tcW w:w="0" w:type="dxa"/>
            <w:vAlign w:val="bottom"/>
          </w:tcPr>
          <w:p>
            <w:pPr>
              <w:spacing w:after="0"/>
              <w:rPr>
                <w:sz w:val="1"/>
                <w:szCs w:val="1"/>
                <w:color w:val="auto"/>
              </w:rPr>
            </w:pPr>
          </w:p>
        </w:tc>
      </w:tr>
      <w:tr>
        <w:trPr>
          <w:trHeight w:val="180"/>
        </w:trPr>
        <w:tc>
          <w:tcPr>
            <w:tcW w:w="200" w:type="dxa"/>
            <w:vAlign w:val="bottom"/>
            <w:tcBorders>
              <w:top w:val="single" w:sz="8" w:color="551A8B"/>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tcBorders>
              <w:top w:val="single" w:sz="8" w:color="551A8B"/>
            </w:tcBorders>
            <w:gridSpan w:val="46"/>
          </w:tcPr>
          <w:p>
            <w:pPr>
              <w:spacing w:after="0" w:line="181" w:lineRule="exact"/>
              <w:rPr>
                <w:sz w:val="20"/>
                <w:szCs w:val="20"/>
                <w:color w:val="auto"/>
              </w:rPr>
            </w:pPr>
            <w:r>
              <w:rPr>
                <w:rFonts w:ascii="Times New Roman" w:cs="Times New Roman" w:eastAsia="Times New Roman" w:hAnsi="Times New Roman"/>
                <w:sz w:val="16"/>
                <w:szCs w:val="16"/>
                <w:color w:val="551A8B"/>
              </w:rPr>
              <w:t>Exhibit 4.1)</w:t>
            </w:r>
          </w:p>
        </w:tc>
        <w:tc>
          <w:tcPr>
            <w:tcW w:w="60" w:type="dxa"/>
            <w:vAlign w:val="bottom"/>
          </w:tcPr>
          <w:p>
            <w:pPr>
              <w:spacing w:after="0"/>
              <w:rPr>
                <w:sz w:val="15"/>
                <w:szCs w:val="15"/>
                <w:color w:val="auto"/>
              </w:rPr>
            </w:pPr>
          </w:p>
        </w:tc>
        <w:tc>
          <w:tcPr>
            <w:tcW w:w="680" w:type="dxa"/>
            <w:vAlign w:val="bottom"/>
            <w:tcBorders>
              <w:top w:val="single" w:sz="8" w:color="551A8B"/>
            </w:tcBorders>
            <w:gridSpan w:val="7"/>
          </w:tcPr>
          <w:p>
            <w:pPr>
              <w:spacing w:after="0"/>
              <w:rPr>
                <w:sz w:val="15"/>
                <w:szCs w:val="15"/>
                <w:color w:val="auto"/>
              </w:rPr>
            </w:pPr>
          </w:p>
        </w:tc>
        <w:tc>
          <w:tcPr>
            <w:tcW w:w="56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on June 28, 2024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9"/>
              </w:rPr>
              <w:t>4.</w:t>
            </w:r>
            <w:r>
              <w:rPr>
                <w:rFonts w:ascii="Times New Roman" w:cs="Times New Roman" w:eastAsia="Times New Roman" w:hAnsi="Times New Roman"/>
                <w:sz w:val="16"/>
                <w:szCs w:val="16"/>
                <w:u w:val="single" w:color="auto"/>
                <w:color w:val="551A8B"/>
                <w:w w:val="89"/>
              </w:rPr>
              <w:t>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Form of Ca</w:t>
            </w:r>
            <w:r>
              <w:rPr>
                <w:rFonts w:ascii="Times New Roman" w:cs="Times New Roman" w:eastAsia="Times New Roman" w:hAnsi="Times New Roman"/>
                <w:sz w:val="16"/>
                <w:szCs w:val="16"/>
                <w:u w:val="single" w:color="auto"/>
                <w:color w:val="551A8B"/>
              </w:rPr>
              <w:t>pped</w:t>
            </w:r>
            <w:r>
              <w:rPr>
                <w:rFonts w:ascii="Times New Roman" w:cs="Times New Roman" w:eastAsia="Times New Roman" w:hAnsi="Times New Roman"/>
                <w:sz w:val="16"/>
                <w:szCs w:val="16"/>
                <w:color w:val="551A8B"/>
              </w:rPr>
              <w:t xml:space="preserve"> Call Confirmation</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Incorporated by reference to Exhibit 10.1 to Form 8-K filed with the</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shd w:val="clear" w:color="auto" w:fill="551A8B"/>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300" w:type="dxa"/>
            <w:vAlign w:val="bottom"/>
            <w:tcBorders>
              <w:right w:val="single" w:sz="8" w:color="551A8B"/>
            </w:tcBorders>
            <w:gridSpan w:val="5"/>
            <w:shd w:val="clear" w:color="auto" w:fill="551A8B"/>
          </w:tcPr>
          <w:p>
            <w:pPr>
              <w:spacing w:after="0" w:line="20" w:lineRule="exact"/>
              <w:rPr>
                <w:sz w:val="1"/>
                <w:szCs w:val="1"/>
                <w:color w:val="auto"/>
              </w:rPr>
            </w:pPr>
          </w:p>
        </w:tc>
        <w:tc>
          <w:tcPr>
            <w:tcW w:w="100" w:type="dxa"/>
            <w:vAlign w:val="bottom"/>
            <w:gridSpan w:val="4"/>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580" w:type="dxa"/>
            <w:vAlign w:val="bottom"/>
            <w:tcBorders>
              <w:left w:val="single" w:sz="8" w:color="551A8B"/>
            </w:tcBorders>
            <w:gridSpan w:val="37"/>
          </w:tcPr>
          <w:p>
            <w:pPr>
              <w:spacing w:after="0" w:line="20" w:lineRule="exact"/>
              <w:rPr>
                <w:sz w:val="1"/>
                <w:szCs w:val="1"/>
                <w:color w:val="auto"/>
              </w:rPr>
            </w:pPr>
          </w:p>
        </w:tc>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 on June 28, 2024</w:t>
            </w:r>
          </w:p>
        </w:tc>
        <w:tc>
          <w:tcPr>
            <w:tcW w:w="0" w:type="dxa"/>
            <w:vAlign w:val="bottom"/>
          </w:tcPr>
          <w:p>
            <w:pPr>
              <w:spacing w:after="0" w:line="20" w:lineRule="exact"/>
              <w:rPr>
                <w:sz w:val="1"/>
                <w:szCs w:val="1"/>
                <w:color w:val="auto"/>
              </w:rPr>
            </w:pPr>
          </w:p>
        </w:tc>
      </w:tr>
      <w:tr>
        <w:trPr>
          <w:trHeight w:val="194"/>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551A8B"/>
              </w:rPr>
              <w:t>10.1†</w:t>
            </w:r>
          </w:p>
        </w:tc>
        <w:tc>
          <w:tcPr>
            <w:tcW w:w="280" w:type="dxa"/>
            <w:vAlign w:val="bottom"/>
          </w:tcPr>
          <w:p>
            <w:pPr>
              <w:spacing w:after="0"/>
              <w:rPr>
                <w:sz w:val="16"/>
                <w:szCs w:val="16"/>
                <w:color w:val="auto"/>
              </w:rPr>
            </w:pPr>
          </w:p>
        </w:tc>
        <w:tc>
          <w:tcPr>
            <w:tcW w:w="4520" w:type="dxa"/>
            <w:vAlign w:val="bottom"/>
            <w:gridSpan w:val="64"/>
            <w:vMerge w:val="restart"/>
          </w:tcPr>
          <w:p>
            <w:pPr>
              <w:spacing w:after="0"/>
              <w:rPr>
                <w:sz w:val="20"/>
                <w:szCs w:val="20"/>
                <w:color w:val="auto"/>
              </w:rPr>
            </w:pPr>
            <w:r>
              <w:rPr>
                <w:rFonts w:ascii="Times New Roman" w:cs="Times New Roman" w:eastAsia="Times New Roman" w:hAnsi="Times New Roman"/>
                <w:sz w:val="16"/>
                <w:szCs w:val="16"/>
                <w:color w:val="551A8B"/>
              </w:rPr>
              <w:t>Employment Agreement, dated January 1, 2025 between SolarEdge</w:t>
            </w:r>
          </w:p>
        </w:tc>
        <w:tc>
          <w:tcPr>
            <w:tcW w:w="14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4520" w:type="dxa"/>
            <w:vAlign w:val="bottom"/>
            <w:gridSpan w:val="64"/>
            <w:vMerge w:val="continue"/>
          </w:tcPr>
          <w:p>
            <w:pPr>
              <w:spacing w:after="0"/>
              <w:rPr>
                <w:sz w:val="16"/>
                <w:szCs w:val="16"/>
                <w:color w:val="auto"/>
              </w:rPr>
            </w:pPr>
          </w:p>
        </w:tc>
        <w:tc>
          <w:tcPr>
            <w:tcW w:w="14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Incorporated by reference to Exhibit 10.1 to Form 10-Q filed with the</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40" w:type="dxa"/>
            <w:vAlign w:val="bottom"/>
            <w:tcBorders>
              <w:lef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60" w:type="dxa"/>
            <w:vAlign w:val="bottom"/>
            <w:tcBorders>
              <w:left w:val="single" w:sz="8" w:color="551A8B"/>
            </w:tcBorders>
          </w:tcPr>
          <w:p>
            <w:pPr>
              <w:spacing w:after="0" w:line="20" w:lineRule="exact"/>
              <w:rPr>
                <w:sz w:val="1"/>
                <w:szCs w:val="1"/>
                <w:color w:val="auto"/>
              </w:rPr>
            </w:pPr>
          </w:p>
        </w:tc>
        <w:tc>
          <w:tcPr>
            <w:tcW w:w="14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tcPr>
          <w:p>
            <w:pPr>
              <w:spacing w:after="0" w:line="20" w:lineRule="exact"/>
              <w:rPr>
                <w:sz w:val="1"/>
                <w:szCs w:val="1"/>
                <w:color w:val="auto"/>
              </w:rPr>
            </w:pPr>
          </w:p>
        </w:tc>
        <w:tc>
          <w:tcPr>
            <w:tcW w:w="320" w:type="dxa"/>
            <w:vAlign w:val="bottom"/>
            <w:gridSpan w:val="6"/>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60" w:type="dxa"/>
            <w:vAlign w:val="bottom"/>
            <w:gridSpan w:val="2"/>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40" w:type="dxa"/>
            <w:vAlign w:val="bottom"/>
            <w:gridSpan w:val="2"/>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left w:val="single" w:sz="8" w:color="551A8B"/>
              <w:right w:val="single" w:sz="8" w:color="551A8B"/>
            </w:tcBorders>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gridSpan w:val="2"/>
            <w:shd w:val="clear" w:color="auto" w:fill="551A8B"/>
          </w:tcPr>
          <w:p>
            <w:pPr>
              <w:spacing w:after="0" w:line="20" w:lineRule="exact"/>
              <w:rPr>
                <w:sz w:val="1"/>
                <w:szCs w:val="1"/>
                <w:color w:val="auto"/>
              </w:rPr>
            </w:pPr>
          </w:p>
        </w:tc>
        <w:tc>
          <w:tcPr>
            <w:tcW w:w="14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200" w:type="dxa"/>
            <w:vAlign w:val="bottom"/>
            <w:gridSpan w:val="3"/>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380" w:type="dxa"/>
            <w:vAlign w:val="bottom"/>
            <w:tcBorders>
              <w:left w:val="single" w:sz="8" w:color="551A8B"/>
            </w:tcBorders>
            <w:gridSpan w:val="3"/>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Technologies, Ltd. and Daniel Huber</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SEC on August 7, 2025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tcPr>
          <w:p>
            <w:pPr>
              <w:spacing w:after="0" w:line="20" w:lineRule="exact"/>
              <w:rPr>
                <w:sz w:val="1"/>
                <w:szCs w:val="1"/>
                <w:color w:val="auto"/>
              </w:rPr>
            </w:pPr>
          </w:p>
        </w:tc>
        <w:tc>
          <w:tcPr>
            <w:tcW w:w="140" w:type="dxa"/>
            <w:vAlign w:val="bottom"/>
            <w:tcBorders>
              <w:lef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300" w:type="dxa"/>
            <w:vAlign w:val="bottom"/>
            <w:tcBorders>
              <w:left w:val="single" w:sz="8" w:color="551A8B"/>
            </w:tcBorders>
            <w:gridSpan w:val="2"/>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320" w:type="dxa"/>
            <w:vAlign w:val="bottom"/>
            <w:gridSpan w:val="6"/>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60" w:type="dxa"/>
            <w:vAlign w:val="bottom"/>
            <w:gridSpan w:val="2"/>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40" w:type="dxa"/>
            <w:vAlign w:val="bottom"/>
            <w:gridSpan w:val="2"/>
            <w:shd w:val="clear" w:color="auto" w:fill="551A8B"/>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gridSpan w:val="3"/>
          </w:tcPr>
          <w:p>
            <w:pPr>
              <w:spacing w:after="0" w:line="179" w:lineRule="exact"/>
              <w:rPr>
                <w:sz w:val="20"/>
                <w:szCs w:val="20"/>
                <w:color w:val="auto"/>
              </w:rPr>
            </w:pPr>
            <w:r>
              <w:rPr>
                <w:rFonts w:ascii="Times New Roman" w:cs="Times New Roman" w:eastAsia="Times New Roman" w:hAnsi="Times New Roman"/>
                <w:sz w:val="16"/>
                <w:szCs w:val="16"/>
                <w:color w:val="551A8B"/>
              </w:rPr>
              <w:t>10.2†</w:t>
            </w:r>
          </w:p>
        </w:tc>
        <w:tc>
          <w:tcPr>
            <w:tcW w:w="280" w:type="dxa"/>
            <w:vAlign w:val="bottom"/>
          </w:tcPr>
          <w:p>
            <w:pPr>
              <w:spacing w:after="0"/>
              <w:rPr>
                <w:sz w:val="15"/>
                <w:szCs w:val="15"/>
                <w:color w:val="auto"/>
              </w:rPr>
            </w:pPr>
          </w:p>
        </w:tc>
        <w:tc>
          <w:tcPr>
            <w:tcW w:w="4520" w:type="dxa"/>
            <w:vAlign w:val="bottom"/>
            <w:gridSpan w:val="64"/>
          </w:tcPr>
          <w:p>
            <w:pPr>
              <w:spacing w:after="0" w:line="179" w:lineRule="exact"/>
              <w:rPr>
                <w:sz w:val="20"/>
                <w:szCs w:val="20"/>
                <w:color w:val="auto"/>
              </w:rPr>
            </w:pPr>
            <w:r>
              <w:rPr>
                <w:rFonts w:ascii="Times New Roman" w:cs="Times New Roman" w:eastAsia="Times New Roman" w:hAnsi="Times New Roman"/>
                <w:sz w:val="16"/>
                <w:szCs w:val="16"/>
                <w:color w:val="551A8B"/>
                <w:w w:val="97"/>
              </w:rPr>
              <w:t>Amendment to Employment Agreement, dated January 1, 2025 between</w:t>
            </w:r>
          </w:p>
        </w:tc>
        <w:tc>
          <w:tcPr>
            <w:tcW w:w="140" w:type="dxa"/>
            <w:vAlign w:val="bottom"/>
          </w:tcPr>
          <w:p>
            <w:pPr>
              <w:spacing w:after="0"/>
              <w:rPr>
                <w:sz w:val="15"/>
                <w:szCs w:val="15"/>
                <w:color w:val="auto"/>
              </w:rPr>
            </w:pP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Filed with this report.</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300" w:type="dxa"/>
            <w:vAlign w:val="bottom"/>
            <w:tcBorders>
              <w:left w:val="single" w:sz="8" w:color="551A8B"/>
            </w:tcBorders>
            <w:gridSpan w:val="2"/>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gridSpan w:val="4"/>
            <w:shd w:val="clear" w:color="auto" w:fill="551A8B"/>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200" w:type="dxa"/>
            <w:vAlign w:val="bottom"/>
            <w:tcBorders>
              <w:right w:val="single" w:sz="8" w:color="551A8B"/>
            </w:tcBorders>
            <w:gridSpan w:val="4"/>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gridSpan w:val="2"/>
            <w:shd w:val="clear" w:color="auto" w:fill="551A8B"/>
          </w:tcPr>
          <w:p>
            <w:pPr>
              <w:spacing w:after="0" w:line="20" w:lineRule="exact"/>
              <w:rPr>
                <w:sz w:val="1"/>
                <w:szCs w:val="1"/>
                <w:color w:val="auto"/>
              </w:rPr>
            </w:pPr>
          </w:p>
        </w:tc>
        <w:tc>
          <w:tcPr>
            <w:tcW w:w="14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200" w:type="dxa"/>
            <w:vAlign w:val="bottom"/>
            <w:gridSpan w:val="3"/>
            <w:shd w:val="clear" w:color="auto" w:fill="551A8B"/>
          </w:tcPr>
          <w:p>
            <w:pPr>
              <w:spacing w:after="0" w:line="20" w:lineRule="exact"/>
              <w:rPr>
                <w:sz w:val="1"/>
                <w:szCs w:val="1"/>
                <w:color w:val="auto"/>
              </w:rPr>
            </w:pPr>
          </w:p>
        </w:tc>
        <w:tc>
          <w:tcPr>
            <w:tcW w:w="120" w:type="dxa"/>
            <w:vAlign w:val="bottom"/>
            <w:tcBorders>
              <w:right w:val="single" w:sz="8" w:color="551A8B"/>
            </w:tcBorders>
            <w:gridSpan w:val="2"/>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380" w:type="dxa"/>
            <w:vAlign w:val="bottom"/>
            <w:tcBorders>
              <w:left w:val="single" w:sz="8" w:color="551A8B"/>
            </w:tcBorders>
            <w:gridSpan w:val="3"/>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200" w:type="dxa"/>
            <w:vAlign w:val="bottom"/>
            <w:tcBorders>
              <w:left w:val="single" w:sz="8" w:color="551A8B"/>
            </w:tcBorders>
            <w:gridSpan w:val="3"/>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SolarEdge Technologies, Ltd. and Daniel Huber</w:t>
            </w:r>
          </w:p>
        </w:tc>
        <w:tc>
          <w:tcPr>
            <w:tcW w:w="1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tcPr>
          <w:p>
            <w:pPr>
              <w:spacing w:after="0" w:line="20" w:lineRule="exact"/>
              <w:rPr>
                <w:sz w:val="1"/>
                <w:szCs w:val="1"/>
                <w:color w:val="auto"/>
              </w:rPr>
            </w:pPr>
          </w:p>
        </w:tc>
        <w:tc>
          <w:tcPr>
            <w:tcW w:w="120" w:type="dxa"/>
            <w:vAlign w:val="bottom"/>
            <w:tcBorders>
              <w:right w:val="single" w:sz="8" w:color="551A8B"/>
            </w:tcBorders>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40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100" w:type="dxa"/>
            <w:vAlign w:val="bottom"/>
            <w:tcBorders>
              <w:right w:val="single" w:sz="8" w:color="551A8B"/>
            </w:tcBorders>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right w:val="single" w:sz="8" w:color="551A8B"/>
            </w:tcBorders>
          </w:tcPr>
          <w:p>
            <w:pPr>
              <w:spacing w:after="0" w:line="20" w:lineRule="exact"/>
              <w:rPr>
                <w:sz w:val="1"/>
                <w:szCs w:val="1"/>
                <w:color w:val="auto"/>
              </w:rPr>
            </w:pPr>
          </w:p>
        </w:tc>
        <w:tc>
          <w:tcPr>
            <w:tcW w:w="320" w:type="dxa"/>
            <w:vAlign w:val="bottom"/>
            <w:gridSpan w:val="6"/>
            <w:shd w:val="clear" w:color="auto" w:fill="551A8B"/>
          </w:tcPr>
          <w:p>
            <w:pPr>
              <w:spacing w:after="0" w:line="20" w:lineRule="exact"/>
              <w:rPr>
                <w:sz w:val="1"/>
                <w:szCs w:val="1"/>
                <w:color w:val="auto"/>
              </w:rPr>
            </w:pPr>
          </w:p>
        </w:tc>
        <w:tc>
          <w:tcPr>
            <w:tcW w:w="80" w:type="dxa"/>
            <w:vAlign w:val="bottom"/>
            <w:gridSpan w:val="3"/>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200" w:type="dxa"/>
            <w:vAlign w:val="bottom"/>
            <w:tcBorders>
              <w:right w:val="single" w:sz="8" w:color="551A8B"/>
            </w:tcBorders>
            <w:gridSpan w:val="4"/>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gridSpan w:val="2"/>
            <w:shd w:val="clear" w:color="auto" w:fill="551A8B"/>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551A8B"/>
              </w:rPr>
              <w:t>10.3†</w:t>
            </w: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Employment Agreement, dated March 3, 2025 between SolarEdge</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Incorporated by reference to Exhibit 10.1 to Form 10-Q filed with the</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32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160" w:type="dxa"/>
            <w:vAlign w:val="bottom"/>
            <w:tcBorders>
              <w:left w:val="single" w:sz="8" w:color="551A8B"/>
            </w:tcBorders>
          </w:tcPr>
          <w:p>
            <w:pPr>
              <w:spacing w:after="0" w:line="20" w:lineRule="exact"/>
              <w:rPr>
                <w:sz w:val="1"/>
                <w:szCs w:val="1"/>
                <w:color w:val="auto"/>
              </w:rPr>
            </w:pPr>
          </w:p>
        </w:tc>
        <w:tc>
          <w:tcPr>
            <w:tcW w:w="480" w:type="dxa"/>
            <w:vAlign w:val="bottom"/>
            <w:gridSpan w:val="6"/>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tcPr>
          <w:p>
            <w:pPr>
              <w:spacing w:after="0" w:line="20" w:lineRule="exact"/>
              <w:rPr>
                <w:sz w:val="1"/>
                <w:szCs w:val="1"/>
                <w:color w:val="auto"/>
              </w:rPr>
            </w:pPr>
          </w:p>
        </w:tc>
        <w:tc>
          <w:tcPr>
            <w:tcW w:w="320" w:type="dxa"/>
            <w:vAlign w:val="bottom"/>
            <w:gridSpan w:val="6"/>
            <w:shd w:val="clear" w:color="auto" w:fill="551A8B"/>
          </w:tcPr>
          <w:p>
            <w:pPr>
              <w:spacing w:after="0" w:line="20" w:lineRule="exact"/>
              <w:rPr>
                <w:sz w:val="1"/>
                <w:szCs w:val="1"/>
                <w:color w:val="auto"/>
              </w:rPr>
            </w:pPr>
          </w:p>
        </w:tc>
        <w:tc>
          <w:tcPr>
            <w:tcW w:w="80" w:type="dxa"/>
            <w:vAlign w:val="bottom"/>
            <w:gridSpan w:val="3"/>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200" w:type="dxa"/>
            <w:vAlign w:val="bottom"/>
            <w:tcBorders>
              <w:right w:val="single" w:sz="8" w:color="551A8B"/>
            </w:tcBorders>
            <w:gridSpan w:val="4"/>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60" w:type="dxa"/>
            <w:vAlign w:val="bottom"/>
            <w:tcBorders>
              <w:right w:val="single" w:sz="8" w:color="551A8B"/>
            </w:tcBorders>
            <w:gridSpan w:val="4"/>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480" w:type="dxa"/>
            <w:vAlign w:val="bottom"/>
            <w:tcBorders>
              <w:right w:val="single" w:sz="8" w:color="551A8B"/>
            </w:tcBorders>
            <w:gridSpan w:val="7"/>
            <w:shd w:val="clear" w:color="auto" w:fill="551A8B"/>
          </w:tcPr>
          <w:p>
            <w:pPr>
              <w:spacing w:after="0" w:line="20" w:lineRule="exact"/>
              <w:rPr>
                <w:sz w:val="1"/>
                <w:szCs w:val="1"/>
                <w:color w:val="auto"/>
              </w:rPr>
            </w:pPr>
          </w:p>
        </w:tc>
        <w:tc>
          <w:tcPr>
            <w:tcW w:w="380" w:type="dxa"/>
            <w:vAlign w:val="bottom"/>
            <w:tcBorders>
              <w:left w:val="single" w:sz="8" w:color="551A8B"/>
            </w:tcBorders>
            <w:gridSpan w:val="3"/>
            <w:shd w:val="clear" w:color="auto" w:fill="551A8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79" w:lineRule="exact"/>
              <w:rPr>
                <w:sz w:val="20"/>
                <w:szCs w:val="20"/>
                <w:color w:val="auto"/>
              </w:rPr>
            </w:pPr>
            <w:r>
              <w:rPr>
                <w:rFonts w:ascii="Times New Roman" w:cs="Times New Roman" w:eastAsia="Times New Roman" w:hAnsi="Times New Roman"/>
                <w:sz w:val="16"/>
                <w:szCs w:val="16"/>
                <w:color w:val="551A8B"/>
              </w:rPr>
              <w:t>Technologies, Ltd. and Asaf Alperovitz</w:t>
            </w:r>
          </w:p>
        </w:tc>
        <w:tc>
          <w:tcPr>
            <w:tcW w:w="140" w:type="dxa"/>
            <w:vAlign w:val="bottom"/>
          </w:tcPr>
          <w:p>
            <w:pPr>
              <w:spacing w:after="0"/>
              <w:rPr>
                <w:sz w:val="15"/>
                <w:szCs w:val="15"/>
                <w:color w:val="auto"/>
              </w:rPr>
            </w:pP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SEC on May 8, 2025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right w:val="single" w:sz="8" w:color="551A8B"/>
            </w:tcBorders>
          </w:tcPr>
          <w:p>
            <w:pPr>
              <w:spacing w:after="0" w:line="20" w:lineRule="exact"/>
              <w:rPr>
                <w:sz w:val="1"/>
                <w:szCs w:val="1"/>
                <w:color w:val="auto"/>
              </w:rPr>
            </w:pPr>
          </w:p>
        </w:tc>
        <w:tc>
          <w:tcPr>
            <w:tcW w:w="140" w:type="dxa"/>
            <w:vAlign w:val="bottom"/>
            <w:tcBorders>
              <w:lef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1120" w:type="dxa"/>
            <w:vAlign w:val="bottom"/>
            <w:tcBorders>
              <w:left w:val="single" w:sz="8" w:color="551A8B"/>
              <w:right w:val="single" w:sz="8" w:color="551A8B"/>
            </w:tcBorders>
            <w:gridSpan w:val="13"/>
            <w:shd w:val="clear" w:color="auto" w:fill="551A8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200" w:type="dxa"/>
            <w:vAlign w:val="bottom"/>
            <w:tcBorders>
              <w:right w:val="single" w:sz="8" w:color="551A8B"/>
            </w:tcBorders>
            <w:gridSpan w:val="4"/>
            <w:shd w:val="clear" w:color="auto" w:fill="551A8B"/>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551A8B"/>
              </w:rPr>
              <w:t>10.4†</w:t>
            </w: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Employment Agreement, dated August 20, 2019 between SolarEdge</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Incorporated by reference to Exhibit 10.1 to Form 8-K filed with the</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32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160" w:type="dxa"/>
            <w:vAlign w:val="bottom"/>
            <w:tcBorders>
              <w:left w:val="single" w:sz="8" w:color="551A8B"/>
            </w:tcBorders>
          </w:tcPr>
          <w:p>
            <w:pPr>
              <w:spacing w:after="0" w:line="20" w:lineRule="exact"/>
              <w:rPr>
                <w:sz w:val="1"/>
                <w:szCs w:val="1"/>
                <w:color w:val="auto"/>
              </w:rPr>
            </w:pPr>
          </w:p>
        </w:tc>
        <w:tc>
          <w:tcPr>
            <w:tcW w:w="480" w:type="dxa"/>
            <w:vAlign w:val="bottom"/>
            <w:gridSpan w:val="6"/>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tcPr>
          <w:p>
            <w:pPr>
              <w:spacing w:after="0" w:line="20" w:lineRule="exact"/>
              <w:rPr>
                <w:sz w:val="1"/>
                <w:szCs w:val="1"/>
                <w:color w:val="auto"/>
              </w:rPr>
            </w:pPr>
          </w:p>
        </w:tc>
        <w:tc>
          <w:tcPr>
            <w:tcW w:w="400" w:type="dxa"/>
            <w:vAlign w:val="bottom"/>
            <w:gridSpan w:val="9"/>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551A8B"/>
            </w:tcBorders>
            <w:gridSpan w:val="4"/>
            <w:shd w:val="clear" w:color="auto" w:fill="551A8B"/>
          </w:tcPr>
          <w:p>
            <w:pPr>
              <w:spacing w:after="0" w:line="20" w:lineRule="exact"/>
              <w:rPr>
                <w:sz w:val="1"/>
                <w:szCs w:val="1"/>
                <w:color w:val="auto"/>
              </w:rPr>
            </w:pPr>
          </w:p>
        </w:tc>
        <w:tc>
          <w:tcPr>
            <w:tcW w:w="18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60" w:type="dxa"/>
            <w:vAlign w:val="bottom"/>
            <w:tcBorders>
              <w:right w:val="single" w:sz="8" w:color="551A8B"/>
            </w:tcBorders>
            <w:gridSpan w:val="4"/>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480" w:type="dxa"/>
            <w:vAlign w:val="bottom"/>
            <w:tcBorders>
              <w:right w:val="single" w:sz="8" w:color="551A8B"/>
            </w:tcBorders>
            <w:gridSpan w:val="7"/>
            <w:shd w:val="clear" w:color="auto" w:fill="551A8B"/>
          </w:tcPr>
          <w:p>
            <w:pPr>
              <w:spacing w:after="0" w:line="20" w:lineRule="exact"/>
              <w:rPr>
                <w:sz w:val="1"/>
                <w:szCs w:val="1"/>
                <w:color w:val="auto"/>
              </w:rPr>
            </w:pPr>
          </w:p>
        </w:tc>
        <w:tc>
          <w:tcPr>
            <w:tcW w:w="460" w:type="dxa"/>
            <w:vAlign w:val="bottom"/>
            <w:tcBorders>
              <w:left w:val="single" w:sz="8" w:color="551A8B"/>
            </w:tcBorders>
            <w:gridSpan w:val="4"/>
            <w:shd w:val="clear" w:color="auto" w:fill="551A8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551A8B"/>
            </w:tcBorders>
            <w:gridSpan w:val="2"/>
          </w:tcPr>
          <w:p>
            <w:pPr>
              <w:spacing w:after="0" w:line="20" w:lineRule="exact"/>
              <w:rPr>
                <w:sz w:val="1"/>
                <w:szCs w:val="1"/>
                <w:color w:val="auto"/>
              </w:rPr>
            </w:pPr>
          </w:p>
        </w:tc>
        <w:tc>
          <w:tcPr>
            <w:tcW w:w="200" w:type="dxa"/>
            <w:vAlign w:val="bottom"/>
            <w:tcBorders>
              <w:left w:val="single" w:sz="8" w:color="551A8B"/>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Technologies Ltd. and Uri Bechor</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SEC on August 21, 2019</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220" w:type="dxa"/>
            <w:vAlign w:val="bottom"/>
            <w:tcBorders>
              <w:left w:val="single" w:sz="8" w:color="551A8B"/>
            </w:tcBorders>
            <w:gridSpan w:val="17"/>
            <w:shd w:val="clear" w:color="auto" w:fill="551A8B"/>
          </w:tcPr>
          <w:p>
            <w:pPr>
              <w:spacing w:after="0" w:line="20" w:lineRule="exact"/>
              <w:rPr>
                <w:sz w:val="1"/>
                <w:szCs w:val="1"/>
                <w:color w:val="auto"/>
              </w:rPr>
            </w:pPr>
          </w:p>
        </w:tc>
        <w:tc>
          <w:tcPr>
            <w:tcW w:w="80" w:type="dxa"/>
            <w:vAlign w:val="bottom"/>
            <w:tcBorders>
              <w:left w:val="single" w:sz="8" w:color="551A8B"/>
            </w:tcBorders>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gridSpan w:val="3"/>
          </w:tcPr>
          <w:p>
            <w:pPr>
              <w:spacing w:after="0" w:line="179" w:lineRule="exact"/>
              <w:rPr>
                <w:sz w:val="20"/>
                <w:szCs w:val="20"/>
                <w:color w:val="auto"/>
              </w:rPr>
            </w:pPr>
            <w:r>
              <w:rPr>
                <w:rFonts w:ascii="Times New Roman" w:cs="Times New Roman" w:eastAsia="Times New Roman" w:hAnsi="Times New Roman"/>
                <w:sz w:val="16"/>
                <w:szCs w:val="16"/>
                <w:color w:val="551A8B"/>
              </w:rPr>
              <w:t>10.5†</w:t>
            </w:r>
          </w:p>
        </w:tc>
        <w:tc>
          <w:tcPr>
            <w:tcW w:w="280" w:type="dxa"/>
            <w:vAlign w:val="bottom"/>
          </w:tcPr>
          <w:p>
            <w:pPr>
              <w:spacing w:after="0"/>
              <w:rPr>
                <w:sz w:val="15"/>
                <w:szCs w:val="15"/>
                <w:color w:val="auto"/>
              </w:rPr>
            </w:pPr>
          </w:p>
        </w:tc>
        <w:tc>
          <w:tcPr>
            <w:tcW w:w="4520" w:type="dxa"/>
            <w:vAlign w:val="bottom"/>
            <w:gridSpan w:val="64"/>
          </w:tcPr>
          <w:p>
            <w:pPr>
              <w:spacing w:after="0" w:line="179" w:lineRule="exact"/>
              <w:rPr>
                <w:sz w:val="20"/>
                <w:szCs w:val="20"/>
                <w:color w:val="auto"/>
              </w:rPr>
            </w:pPr>
            <w:r>
              <w:rPr>
                <w:rFonts w:ascii="Times New Roman" w:cs="Times New Roman" w:eastAsia="Times New Roman" w:hAnsi="Times New Roman"/>
                <w:sz w:val="16"/>
                <w:szCs w:val="16"/>
                <w:color w:val="551A8B"/>
              </w:rPr>
              <w:t>Employment Agreement, dated June 13, 2024, between SolarEdge</w:t>
            </w:r>
          </w:p>
        </w:tc>
        <w:tc>
          <w:tcPr>
            <w:tcW w:w="140" w:type="dxa"/>
            <w:vAlign w:val="bottom"/>
          </w:tcPr>
          <w:p>
            <w:pPr>
              <w:spacing w:after="0"/>
              <w:rPr>
                <w:sz w:val="15"/>
                <w:szCs w:val="15"/>
                <w:color w:val="auto"/>
              </w:rPr>
            </w:pP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Incorporated by reference to Exhibit 10.4 to Form 10-K filed with the</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32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160" w:type="dxa"/>
            <w:vAlign w:val="bottom"/>
            <w:tcBorders>
              <w:left w:val="single" w:sz="8" w:color="551A8B"/>
            </w:tcBorders>
          </w:tcPr>
          <w:p>
            <w:pPr>
              <w:spacing w:after="0" w:line="20" w:lineRule="exact"/>
              <w:rPr>
                <w:sz w:val="1"/>
                <w:szCs w:val="1"/>
                <w:color w:val="auto"/>
              </w:rPr>
            </w:pPr>
          </w:p>
        </w:tc>
        <w:tc>
          <w:tcPr>
            <w:tcW w:w="480" w:type="dxa"/>
            <w:vAlign w:val="bottom"/>
            <w:gridSpan w:val="6"/>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tcPr>
          <w:p>
            <w:pPr>
              <w:spacing w:after="0" w:line="20" w:lineRule="exact"/>
              <w:rPr>
                <w:sz w:val="1"/>
                <w:szCs w:val="1"/>
                <w:color w:val="auto"/>
              </w:rPr>
            </w:pPr>
          </w:p>
        </w:tc>
        <w:tc>
          <w:tcPr>
            <w:tcW w:w="400" w:type="dxa"/>
            <w:vAlign w:val="bottom"/>
            <w:gridSpan w:val="9"/>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320" w:type="dxa"/>
            <w:vAlign w:val="bottom"/>
            <w:tcBorders>
              <w:left w:val="single" w:sz="8" w:color="551A8B"/>
              <w:right w:val="single" w:sz="8" w:color="551A8B"/>
            </w:tcBorders>
            <w:gridSpan w:val="5"/>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551A8B"/>
            </w:tcBorders>
            <w:gridSpan w:val="4"/>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480" w:type="dxa"/>
            <w:vAlign w:val="bottom"/>
            <w:tcBorders>
              <w:right w:val="single" w:sz="8" w:color="551A8B"/>
            </w:tcBorders>
            <w:gridSpan w:val="7"/>
            <w:shd w:val="clear" w:color="auto" w:fill="551A8B"/>
          </w:tcPr>
          <w:p>
            <w:pPr>
              <w:spacing w:after="0" w:line="20" w:lineRule="exact"/>
              <w:rPr>
                <w:sz w:val="1"/>
                <w:szCs w:val="1"/>
                <w:color w:val="auto"/>
              </w:rPr>
            </w:pPr>
          </w:p>
        </w:tc>
        <w:tc>
          <w:tcPr>
            <w:tcW w:w="360" w:type="dxa"/>
            <w:vAlign w:val="bottom"/>
            <w:tcBorders>
              <w:left w:val="single" w:sz="8" w:color="551A8B"/>
            </w:tcBorders>
            <w:gridSpan w:val="2"/>
            <w:shd w:val="clear" w:color="auto" w:fill="551A8B"/>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Technologies, Ltd. and Ariel Porat</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SEC on February 25, 2025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tcPr>
          <w:p>
            <w:pPr>
              <w:spacing w:after="0" w:line="20" w:lineRule="exact"/>
              <w:rPr>
                <w:sz w:val="1"/>
                <w:szCs w:val="1"/>
                <w:color w:val="auto"/>
              </w:rPr>
            </w:pPr>
          </w:p>
        </w:tc>
        <w:tc>
          <w:tcPr>
            <w:tcW w:w="140" w:type="dxa"/>
            <w:vAlign w:val="bottom"/>
            <w:tcBorders>
              <w:lef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1220" w:type="dxa"/>
            <w:vAlign w:val="bottom"/>
            <w:tcBorders>
              <w:left w:val="single" w:sz="8" w:color="551A8B"/>
            </w:tcBorders>
            <w:gridSpan w:val="17"/>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551A8B"/>
              </w:rPr>
              <w:t>10.6†</w:t>
            </w: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w w:val="99"/>
              </w:rPr>
              <w:t>Employment Agreement, dated December 4, 2024, between SolarEdge</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Incorporated by reference to Exhibit 10.5 to Form 10-K filed with the</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100" w:type="dxa"/>
            <w:vAlign w:val="bottom"/>
            <w:gridSpan w:val="2"/>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551A8B"/>
          </w:tcPr>
          <w:p>
            <w:pPr>
              <w:spacing w:after="0" w:line="20" w:lineRule="exact"/>
              <w:rPr>
                <w:sz w:val="1"/>
                <w:szCs w:val="1"/>
                <w:color w:val="auto"/>
              </w:rPr>
            </w:pPr>
          </w:p>
        </w:tc>
        <w:tc>
          <w:tcPr>
            <w:tcW w:w="80" w:type="dxa"/>
            <w:vAlign w:val="bottom"/>
            <w:tcBorders>
              <w:right w:val="single" w:sz="8" w:color="551A8B"/>
            </w:tcBorders>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32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160" w:type="dxa"/>
            <w:vAlign w:val="bottom"/>
            <w:tcBorders>
              <w:left w:val="single" w:sz="8" w:color="551A8B"/>
            </w:tcBorders>
          </w:tcPr>
          <w:p>
            <w:pPr>
              <w:spacing w:after="0" w:line="20" w:lineRule="exact"/>
              <w:rPr>
                <w:sz w:val="1"/>
                <w:szCs w:val="1"/>
                <w:color w:val="auto"/>
              </w:rPr>
            </w:pPr>
          </w:p>
        </w:tc>
        <w:tc>
          <w:tcPr>
            <w:tcW w:w="480" w:type="dxa"/>
            <w:vAlign w:val="bottom"/>
            <w:gridSpan w:val="6"/>
            <w:shd w:val="clear" w:color="auto" w:fill="551A8B"/>
          </w:tcPr>
          <w:p>
            <w:pPr>
              <w:spacing w:after="0" w:line="20" w:lineRule="exact"/>
              <w:rPr>
                <w:sz w:val="1"/>
                <w:szCs w:val="1"/>
                <w:color w:val="auto"/>
              </w:rPr>
            </w:pPr>
          </w:p>
        </w:tc>
        <w:tc>
          <w:tcPr>
            <w:tcW w:w="180" w:type="dxa"/>
            <w:vAlign w:val="bottom"/>
            <w:tcBorders>
              <w:left w:val="single" w:sz="8" w:color="551A8B"/>
              <w:right w:val="single" w:sz="8" w:color="551A8B"/>
            </w:tcBorders>
          </w:tcPr>
          <w:p>
            <w:pPr>
              <w:spacing w:after="0" w:line="20" w:lineRule="exact"/>
              <w:rPr>
                <w:sz w:val="1"/>
                <w:szCs w:val="1"/>
                <w:color w:val="auto"/>
              </w:rPr>
            </w:pPr>
          </w:p>
        </w:tc>
        <w:tc>
          <w:tcPr>
            <w:tcW w:w="400" w:type="dxa"/>
            <w:vAlign w:val="bottom"/>
            <w:gridSpan w:val="9"/>
            <w:shd w:val="clear" w:color="auto" w:fill="551A8B"/>
          </w:tcPr>
          <w:p>
            <w:pPr>
              <w:spacing w:after="0" w:line="20" w:lineRule="exact"/>
              <w:rPr>
                <w:sz w:val="1"/>
                <w:szCs w:val="1"/>
                <w:color w:val="auto"/>
              </w:rPr>
            </w:pPr>
          </w:p>
        </w:tc>
        <w:tc>
          <w:tcPr>
            <w:tcW w:w="680" w:type="dxa"/>
            <w:vAlign w:val="bottom"/>
            <w:tcBorders>
              <w:left w:val="single" w:sz="8" w:color="551A8B"/>
              <w:right w:val="single" w:sz="8" w:color="551A8B"/>
            </w:tcBorders>
            <w:gridSpan w:val="10"/>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551A8B"/>
            </w:tcBorders>
            <w:gridSpan w:val="7"/>
            <w:shd w:val="clear" w:color="auto" w:fill="551A8B"/>
          </w:tcPr>
          <w:p>
            <w:pPr>
              <w:spacing w:after="0" w:line="20" w:lineRule="exact"/>
              <w:rPr>
                <w:sz w:val="1"/>
                <w:szCs w:val="1"/>
                <w:color w:val="auto"/>
              </w:rPr>
            </w:pPr>
          </w:p>
        </w:tc>
        <w:tc>
          <w:tcPr>
            <w:tcW w:w="460" w:type="dxa"/>
            <w:vAlign w:val="bottom"/>
            <w:tcBorders>
              <w:left w:val="single" w:sz="8" w:color="551A8B"/>
            </w:tcBorders>
            <w:gridSpan w:val="4"/>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gridSpan w:val="3"/>
            <w:shd w:val="clear" w:color="auto" w:fill="551A8B"/>
          </w:tcPr>
          <w:p>
            <w:pPr>
              <w:spacing w:after="0" w:line="20" w:lineRule="exact"/>
              <w:rPr>
                <w:sz w:val="1"/>
                <w:szCs w:val="1"/>
                <w:color w:val="auto"/>
              </w:rPr>
            </w:pPr>
          </w:p>
        </w:tc>
        <w:tc>
          <w:tcPr>
            <w:tcW w:w="120" w:type="dxa"/>
            <w:vAlign w:val="bottom"/>
            <w:tcBorders>
              <w:left w:val="single" w:sz="8" w:color="551A8B"/>
            </w:tcBorders>
            <w:gridSpan w:val="2"/>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64"/>
          </w:tcPr>
          <w:p>
            <w:pPr>
              <w:spacing w:after="0" w:line="179" w:lineRule="exact"/>
              <w:rPr>
                <w:sz w:val="20"/>
                <w:szCs w:val="20"/>
                <w:color w:val="auto"/>
              </w:rPr>
            </w:pPr>
            <w:r>
              <w:rPr>
                <w:rFonts w:ascii="Times New Roman" w:cs="Times New Roman" w:eastAsia="Times New Roman" w:hAnsi="Times New Roman"/>
                <w:sz w:val="16"/>
                <w:szCs w:val="16"/>
                <w:color w:val="551A8B"/>
              </w:rPr>
              <w:t>Technologies, Ltd. and Shuki Nir</w:t>
            </w:r>
          </w:p>
        </w:tc>
        <w:tc>
          <w:tcPr>
            <w:tcW w:w="140" w:type="dxa"/>
            <w:vAlign w:val="bottom"/>
          </w:tcPr>
          <w:p>
            <w:pPr>
              <w:spacing w:after="0"/>
              <w:rPr>
                <w:sz w:val="15"/>
                <w:szCs w:val="15"/>
                <w:color w:val="auto"/>
              </w:rPr>
            </w:pPr>
          </w:p>
        </w:tc>
        <w:tc>
          <w:tcPr>
            <w:tcW w:w="4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SEC on February 25, 2025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tcPr>
          <w:p>
            <w:pPr>
              <w:spacing w:after="0" w:line="20" w:lineRule="exact"/>
              <w:rPr>
                <w:sz w:val="1"/>
                <w:szCs w:val="1"/>
                <w:color w:val="auto"/>
              </w:rPr>
            </w:pPr>
          </w:p>
        </w:tc>
        <w:tc>
          <w:tcPr>
            <w:tcW w:w="140" w:type="dxa"/>
            <w:vAlign w:val="bottom"/>
            <w:tcBorders>
              <w:left w:val="single" w:sz="8" w:color="551A8B"/>
            </w:tcBorders>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1220" w:type="dxa"/>
            <w:vAlign w:val="bottom"/>
            <w:tcBorders>
              <w:left w:val="single" w:sz="8" w:color="551A8B"/>
            </w:tcBorders>
            <w:gridSpan w:val="17"/>
            <w:shd w:val="clear" w:color="auto" w:fill="551A8B"/>
          </w:tcPr>
          <w:p>
            <w:pPr>
              <w:spacing w:after="0" w:line="20" w:lineRule="exact"/>
              <w:rPr>
                <w:sz w:val="1"/>
                <w:szCs w:val="1"/>
                <w:color w:val="auto"/>
              </w:rPr>
            </w:pPr>
          </w:p>
        </w:tc>
        <w:tc>
          <w:tcPr>
            <w:tcW w:w="1600" w:type="dxa"/>
            <w:vAlign w:val="bottom"/>
            <w:gridSpan w:val="2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551A8B"/>
              </w:rPr>
              <w:t>10.7†</w:t>
            </w:r>
          </w:p>
        </w:tc>
        <w:tc>
          <w:tcPr>
            <w:tcW w:w="280" w:type="dxa"/>
            <w:vAlign w:val="bottom"/>
          </w:tcPr>
          <w:p>
            <w:pPr>
              <w:spacing w:after="0"/>
              <w:rPr>
                <w:sz w:val="15"/>
                <w:szCs w:val="15"/>
                <w:color w:val="auto"/>
              </w:rPr>
            </w:pPr>
          </w:p>
        </w:tc>
        <w:tc>
          <w:tcPr>
            <w:tcW w:w="4520" w:type="dxa"/>
            <w:vAlign w:val="bottom"/>
            <w:gridSpan w:val="64"/>
          </w:tcPr>
          <w:p>
            <w:pPr>
              <w:spacing w:after="0" w:line="181" w:lineRule="exact"/>
              <w:rPr>
                <w:sz w:val="20"/>
                <w:szCs w:val="20"/>
                <w:color w:val="auto"/>
              </w:rPr>
            </w:pPr>
            <w:r>
              <w:rPr>
                <w:rFonts w:ascii="Times New Roman" w:cs="Times New Roman" w:eastAsia="Times New Roman" w:hAnsi="Times New Roman"/>
                <w:sz w:val="16"/>
                <w:szCs w:val="16"/>
                <w:color w:val="551A8B"/>
              </w:rPr>
              <w:t>SolarEdge Technologies, Inc. 2007 Global Incentive Plan.</w:t>
            </w: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Incorporated by reference to Exhibit 99.3 to Form S-8 (Registration No.</w:t>
            </w:r>
          </w:p>
        </w:tc>
        <w:tc>
          <w:tcPr>
            <w:tcW w:w="0" w:type="dxa"/>
            <w:vAlign w:val="bottom"/>
          </w:tcPr>
          <w:p>
            <w:pPr>
              <w:spacing w:after="0"/>
              <w:rPr>
                <w:sz w:val="1"/>
                <w:szCs w:val="1"/>
                <w:color w:val="auto"/>
              </w:rPr>
            </w:pPr>
          </w:p>
        </w:tc>
      </w:tr>
      <w:tr>
        <w:trPr>
          <w:trHeight w:val="20"/>
        </w:trPr>
        <w:tc>
          <w:tcPr>
            <w:tcW w:w="980" w:type="dxa"/>
            <w:vAlign w:val="bottom"/>
            <w:tcBorders>
              <w:right w:val="single" w:sz="8" w:color="551A8B"/>
            </w:tcBorders>
            <w:gridSpan w:val="4"/>
            <w:shd w:val="clear" w:color="auto" w:fill="551A8B"/>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200" w:type="dxa"/>
            <w:vAlign w:val="bottom"/>
            <w:tcBorders>
              <w:right w:val="single" w:sz="8" w:color="551A8B"/>
            </w:tcBorders>
            <w:gridSpan w:val="2"/>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40" w:type="dxa"/>
            <w:vAlign w:val="bottom"/>
            <w:tcBorders>
              <w:right w:val="single" w:sz="8" w:color="551A8B"/>
            </w:tcBorders>
            <w:gridSpan w:val="3"/>
            <w:shd w:val="clear" w:color="auto" w:fill="551A8B"/>
          </w:tcPr>
          <w:p>
            <w:pPr>
              <w:spacing w:after="0" w:line="20" w:lineRule="exact"/>
              <w:rPr>
                <w:sz w:val="1"/>
                <w:szCs w:val="1"/>
                <w:color w:val="auto"/>
              </w:rPr>
            </w:pPr>
          </w:p>
        </w:tc>
        <w:tc>
          <w:tcPr>
            <w:tcW w:w="100" w:type="dxa"/>
            <w:vAlign w:val="bottom"/>
            <w:tcBorders>
              <w:right w:val="single" w:sz="8" w:color="551A8B"/>
            </w:tcBorders>
          </w:tcPr>
          <w:p>
            <w:pPr>
              <w:spacing w:after="0" w:line="20" w:lineRule="exact"/>
              <w:rPr>
                <w:sz w:val="1"/>
                <w:szCs w:val="1"/>
                <w:color w:val="auto"/>
              </w:rPr>
            </w:pPr>
          </w:p>
        </w:tc>
        <w:tc>
          <w:tcPr>
            <w:tcW w:w="320" w:type="dxa"/>
            <w:vAlign w:val="bottom"/>
            <w:tcBorders>
              <w:right w:val="single" w:sz="8" w:color="551A8B"/>
            </w:tcBorders>
            <w:gridSpan w:val="3"/>
            <w:shd w:val="clear" w:color="auto" w:fill="551A8B"/>
          </w:tcPr>
          <w:p>
            <w:pPr>
              <w:spacing w:after="0" w:line="20" w:lineRule="exact"/>
              <w:rPr>
                <w:sz w:val="1"/>
                <w:szCs w:val="1"/>
                <w:color w:val="auto"/>
              </w:rPr>
            </w:pPr>
          </w:p>
        </w:tc>
        <w:tc>
          <w:tcPr>
            <w:tcW w:w="300" w:type="dxa"/>
            <w:vAlign w:val="bottom"/>
            <w:tcBorders>
              <w:right w:val="single" w:sz="8" w:color="551A8B"/>
            </w:tcBorders>
            <w:gridSpan w:val="5"/>
            <w:shd w:val="clear" w:color="auto" w:fill="551A8B"/>
          </w:tcPr>
          <w:p>
            <w:pPr>
              <w:spacing w:after="0" w:line="20" w:lineRule="exact"/>
              <w:rPr>
                <w:sz w:val="1"/>
                <w:szCs w:val="1"/>
                <w:color w:val="auto"/>
              </w:rPr>
            </w:pPr>
          </w:p>
        </w:tc>
        <w:tc>
          <w:tcPr>
            <w:tcW w:w="100" w:type="dxa"/>
            <w:vAlign w:val="bottom"/>
            <w:gridSpan w:val="4"/>
            <w:shd w:val="clear" w:color="auto" w:fill="551A8B"/>
          </w:tcPr>
          <w:p>
            <w:pPr>
              <w:spacing w:after="0" w:line="20" w:lineRule="exact"/>
              <w:rPr>
                <w:sz w:val="1"/>
                <w:szCs w:val="1"/>
                <w:color w:val="auto"/>
              </w:rPr>
            </w:pPr>
          </w:p>
        </w:tc>
        <w:tc>
          <w:tcPr>
            <w:tcW w:w="80" w:type="dxa"/>
            <w:vAlign w:val="bottom"/>
            <w:tcBorders>
              <w:left w:val="single" w:sz="8" w:color="551A8B"/>
            </w:tcBorders>
            <w:shd w:val="clear" w:color="auto" w:fill="551A8B"/>
          </w:tcPr>
          <w:p>
            <w:pPr>
              <w:spacing w:after="0" w:line="20" w:lineRule="exact"/>
              <w:rPr>
                <w:sz w:val="1"/>
                <w:szCs w:val="1"/>
                <w:color w:val="auto"/>
              </w:rPr>
            </w:pPr>
          </w:p>
        </w:tc>
        <w:tc>
          <w:tcPr>
            <w:tcW w:w="22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10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280" w:type="dxa"/>
            <w:vAlign w:val="bottom"/>
            <w:gridSpan w:val="5"/>
            <w:shd w:val="clear" w:color="auto" w:fill="551A8B"/>
          </w:tcPr>
          <w:p>
            <w:pPr>
              <w:spacing w:after="0" w:line="20" w:lineRule="exact"/>
              <w:rPr>
                <w:sz w:val="1"/>
                <w:szCs w:val="1"/>
                <w:color w:val="auto"/>
              </w:rPr>
            </w:pPr>
          </w:p>
        </w:tc>
        <w:tc>
          <w:tcPr>
            <w:tcW w:w="14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180" w:type="dxa"/>
            <w:vAlign w:val="bottom"/>
            <w:tcBorders>
              <w:right w:val="single" w:sz="8" w:color="551A8B"/>
            </w:tcBorders>
            <w:gridSpan w:val="3"/>
            <w:shd w:val="clear" w:color="auto" w:fill="551A8B"/>
          </w:tcPr>
          <w:p>
            <w:pPr>
              <w:spacing w:after="0" w:line="20" w:lineRule="exact"/>
              <w:rPr>
                <w:sz w:val="1"/>
                <w:szCs w:val="1"/>
                <w:color w:val="auto"/>
              </w:rPr>
            </w:pPr>
          </w:p>
        </w:tc>
        <w:tc>
          <w:tcPr>
            <w:tcW w:w="160" w:type="dxa"/>
            <w:vAlign w:val="bottom"/>
            <w:tcBorders>
              <w:right w:val="single" w:sz="8" w:color="551A8B"/>
            </w:tcBorders>
            <w:gridSpan w:val="3"/>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tcBorders>
              <w:right w:val="single" w:sz="8" w:color="551A8B"/>
            </w:tcBorders>
            <w:shd w:val="clear" w:color="auto" w:fill="551A8B"/>
          </w:tcPr>
          <w:p>
            <w:pPr>
              <w:spacing w:after="0" w:line="20" w:lineRule="exact"/>
              <w:rPr>
                <w:sz w:val="1"/>
                <w:szCs w:val="1"/>
                <w:color w:val="auto"/>
              </w:rPr>
            </w:pPr>
          </w:p>
        </w:tc>
        <w:tc>
          <w:tcPr>
            <w:tcW w:w="1060" w:type="dxa"/>
            <w:vAlign w:val="bottom"/>
            <w:gridSpan w:val="13"/>
          </w:tcPr>
          <w:p>
            <w:pPr>
              <w:spacing w:after="0" w:line="20" w:lineRule="exact"/>
              <w:rPr>
                <w:sz w:val="1"/>
                <w:szCs w:val="1"/>
                <w:color w:val="auto"/>
              </w:rPr>
            </w:pPr>
          </w:p>
        </w:tc>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333-203193) filed with the SEC on April 2, 2015</w:t>
            </w:r>
          </w:p>
        </w:tc>
        <w:tc>
          <w:tcPr>
            <w:tcW w:w="0" w:type="dxa"/>
            <w:vAlign w:val="bottom"/>
          </w:tcPr>
          <w:p>
            <w:pPr>
              <w:spacing w:after="0" w:line="20" w:lineRule="exact"/>
              <w:rPr>
                <w:sz w:val="1"/>
                <w:szCs w:val="1"/>
                <w:color w:val="auto"/>
              </w:rPr>
            </w:pPr>
          </w:p>
        </w:tc>
      </w:tr>
      <w:tr>
        <w:trPr>
          <w:trHeight w:val="195"/>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551A8B"/>
              </w:rPr>
              <w:t>10.8†</w:t>
            </w:r>
          </w:p>
        </w:tc>
        <w:tc>
          <w:tcPr>
            <w:tcW w:w="280" w:type="dxa"/>
            <w:vAlign w:val="bottom"/>
          </w:tcPr>
          <w:p>
            <w:pPr>
              <w:spacing w:after="0"/>
              <w:rPr>
                <w:sz w:val="16"/>
                <w:szCs w:val="16"/>
                <w:color w:val="auto"/>
              </w:rPr>
            </w:pPr>
          </w:p>
        </w:tc>
        <w:tc>
          <w:tcPr>
            <w:tcW w:w="4520" w:type="dxa"/>
            <w:vAlign w:val="bottom"/>
            <w:gridSpan w:val="64"/>
            <w:vMerge w:val="restart"/>
          </w:tcPr>
          <w:p>
            <w:pPr>
              <w:spacing w:after="0"/>
              <w:rPr>
                <w:sz w:val="20"/>
                <w:szCs w:val="20"/>
                <w:color w:val="auto"/>
              </w:rPr>
            </w:pPr>
            <w:r>
              <w:rPr>
                <w:rFonts w:ascii="Times New Roman" w:cs="Times New Roman" w:eastAsia="Times New Roman" w:hAnsi="Times New Roman"/>
                <w:sz w:val="16"/>
                <w:szCs w:val="16"/>
                <w:color w:val="551A8B"/>
              </w:rPr>
              <w:t>SolarEdge Technologies, Inc. Amended and Restated 2015 Global</w:t>
            </w:r>
          </w:p>
        </w:tc>
        <w:tc>
          <w:tcPr>
            <w:tcW w:w="14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4520" w:type="dxa"/>
            <w:vAlign w:val="bottom"/>
            <w:gridSpan w:val="64"/>
            <w:vMerge w:val="continue"/>
          </w:tcPr>
          <w:p>
            <w:pPr>
              <w:spacing w:after="0"/>
              <w:rPr>
                <w:sz w:val="16"/>
                <w:szCs w:val="16"/>
                <w:color w:val="auto"/>
              </w:rPr>
            </w:pPr>
          </w:p>
        </w:tc>
        <w:tc>
          <w:tcPr>
            <w:tcW w:w="14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Incorporated by reference to Exhibit 10.1 to Form 10-Q filed with the</w:t>
            </w:r>
          </w:p>
        </w:tc>
        <w:tc>
          <w:tcPr>
            <w:tcW w:w="0" w:type="dxa"/>
            <w:vAlign w:val="bottom"/>
          </w:tcPr>
          <w:p>
            <w:pPr>
              <w:spacing w:after="0"/>
              <w:rPr>
                <w:sz w:val="1"/>
                <w:szCs w:val="1"/>
                <w:color w:val="auto"/>
              </w:rPr>
            </w:pPr>
          </w:p>
        </w:tc>
      </w:tr>
      <w:tr>
        <w:trPr>
          <w:trHeight w:val="20"/>
        </w:trPr>
        <w:tc>
          <w:tcPr>
            <w:tcW w:w="20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551A8B"/>
            </w:tcBorders>
          </w:tcPr>
          <w:p>
            <w:pPr>
              <w:spacing w:after="0" w:line="20" w:lineRule="exact"/>
              <w:rPr>
                <w:sz w:val="1"/>
                <w:szCs w:val="1"/>
                <w:color w:val="auto"/>
              </w:rPr>
            </w:pPr>
          </w:p>
        </w:tc>
        <w:tc>
          <w:tcPr>
            <w:tcW w:w="380" w:type="dxa"/>
            <w:vAlign w:val="bottom"/>
            <w:tcBorders>
              <w:right w:val="single" w:sz="8" w:color="551A8B"/>
            </w:tcBorders>
            <w:gridSpan w:val="6"/>
            <w:shd w:val="clear" w:color="auto" w:fill="551A8B"/>
          </w:tcPr>
          <w:p>
            <w:pPr>
              <w:spacing w:after="0" w:line="20" w:lineRule="exact"/>
              <w:rPr>
                <w:sz w:val="1"/>
                <w:szCs w:val="1"/>
                <w:color w:val="auto"/>
              </w:rPr>
            </w:pPr>
          </w:p>
        </w:tc>
        <w:tc>
          <w:tcPr>
            <w:tcW w:w="200" w:type="dxa"/>
            <w:vAlign w:val="bottom"/>
            <w:tcBorders>
              <w:right w:val="single" w:sz="8" w:color="551A8B"/>
            </w:tcBorders>
            <w:gridSpan w:val="2"/>
          </w:tcPr>
          <w:p>
            <w:pPr>
              <w:spacing w:after="0" w:line="20" w:lineRule="exact"/>
              <w:rPr>
                <w:sz w:val="1"/>
                <w:szCs w:val="1"/>
                <w:color w:val="auto"/>
              </w:rPr>
            </w:pPr>
          </w:p>
        </w:tc>
        <w:tc>
          <w:tcPr>
            <w:tcW w:w="200" w:type="dxa"/>
            <w:vAlign w:val="bottom"/>
            <w:tcBorders>
              <w:left w:val="single" w:sz="8" w:color="551A8B"/>
              <w:right w:val="single" w:sz="8" w:color="551A8B"/>
            </w:tcBorders>
            <w:gridSpan w:val="2"/>
            <w:shd w:val="clear" w:color="auto" w:fill="551A8B"/>
          </w:tcPr>
          <w:p>
            <w:pPr>
              <w:spacing w:after="0" w:line="20" w:lineRule="exact"/>
              <w:rPr>
                <w:sz w:val="1"/>
                <w:szCs w:val="1"/>
                <w:color w:val="auto"/>
              </w:rPr>
            </w:pPr>
          </w:p>
        </w:tc>
        <w:tc>
          <w:tcPr>
            <w:tcW w:w="400" w:type="dxa"/>
            <w:vAlign w:val="bottom"/>
            <w:tcBorders>
              <w:left w:val="single" w:sz="8" w:color="551A8B"/>
              <w:right w:val="single" w:sz="8" w:color="551A8B"/>
            </w:tcBorders>
            <w:gridSpan w:val="4"/>
            <w:shd w:val="clear" w:color="auto" w:fill="551A8B"/>
          </w:tcPr>
          <w:p>
            <w:pPr>
              <w:spacing w:after="0" w:line="20" w:lineRule="exact"/>
              <w:rPr>
                <w:sz w:val="1"/>
                <w:szCs w:val="1"/>
                <w:color w:val="auto"/>
              </w:rPr>
            </w:pPr>
          </w:p>
        </w:tc>
        <w:tc>
          <w:tcPr>
            <w:tcW w:w="100" w:type="dxa"/>
            <w:vAlign w:val="bottom"/>
            <w:tcBorders>
              <w:right w:val="single" w:sz="8" w:color="551A8B"/>
            </w:tcBorders>
          </w:tcPr>
          <w:p>
            <w:pPr>
              <w:spacing w:after="0" w:line="20" w:lineRule="exact"/>
              <w:rPr>
                <w:sz w:val="1"/>
                <w:szCs w:val="1"/>
                <w:color w:val="auto"/>
              </w:rPr>
            </w:pPr>
          </w:p>
        </w:tc>
        <w:tc>
          <w:tcPr>
            <w:tcW w:w="140" w:type="dxa"/>
            <w:vAlign w:val="bottom"/>
            <w:gridSpan w:val="2"/>
            <w:shd w:val="clear" w:color="auto" w:fill="551A8B"/>
          </w:tcPr>
          <w:p>
            <w:pPr>
              <w:spacing w:after="0" w:line="20" w:lineRule="exact"/>
              <w:rPr>
                <w:sz w:val="1"/>
                <w:szCs w:val="1"/>
                <w:color w:val="auto"/>
              </w:rPr>
            </w:pPr>
          </w:p>
        </w:tc>
        <w:tc>
          <w:tcPr>
            <w:tcW w:w="180" w:type="dxa"/>
            <w:vAlign w:val="bottom"/>
            <w:tcBorders>
              <w:right w:val="single" w:sz="8" w:color="551A8B"/>
            </w:tcBorders>
          </w:tcPr>
          <w:p>
            <w:pPr>
              <w:spacing w:after="0" w:line="20" w:lineRule="exact"/>
              <w:rPr>
                <w:sz w:val="1"/>
                <w:szCs w:val="1"/>
                <w:color w:val="auto"/>
              </w:rPr>
            </w:pPr>
          </w:p>
        </w:tc>
        <w:tc>
          <w:tcPr>
            <w:tcW w:w="2460" w:type="dxa"/>
            <w:vAlign w:val="bottom"/>
            <w:gridSpan w:val="38"/>
            <w:shd w:val="clear" w:color="auto" w:fill="551A8B"/>
          </w:tcPr>
          <w:p>
            <w:pPr>
              <w:spacing w:after="0" w:line="20" w:lineRule="exact"/>
              <w:rPr>
                <w:sz w:val="1"/>
                <w:szCs w:val="1"/>
                <w:color w:val="auto"/>
              </w:rPr>
            </w:pPr>
          </w:p>
        </w:tc>
        <w:tc>
          <w:tcPr>
            <w:tcW w:w="460" w:type="dxa"/>
            <w:vAlign w:val="bottom"/>
            <w:tcBorders>
              <w:left w:val="single" w:sz="8" w:color="551A8B"/>
            </w:tcBorders>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551A8B"/>
            </w:tcBorders>
            <w:gridSpan w:val="10"/>
          </w:tcPr>
          <w:p>
            <w:pPr>
              <w:spacing w:after="0" w:line="181" w:lineRule="exact"/>
              <w:rPr>
                <w:sz w:val="20"/>
                <w:szCs w:val="20"/>
                <w:color w:val="auto"/>
              </w:rPr>
            </w:pPr>
            <w:r>
              <w:rPr>
                <w:rFonts w:ascii="Times New Roman" w:cs="Times New Roman" w:eastAsia="Times New Roman" w:hAnsi="Times New Roman"/>
                <w:sz w:val="16"/>
                <w:szCs w:val="16"/>
                <w:color w:val="551A8B"/>
                <w:w w:val="80"/>
              </w:rPr>
              <w:t>Incentive Plan</w:t>
            </w:r>
          </w:p>
        </w:tc>
        <w:tc>
          <w:tcPr>
            <w:tcW w:w="3740" w:type="dxa"/>
            <w:vAlign w:val="bottom"/>
            <w:gridSpan w:val="54"/>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SEC on May 10, 2017</w:t>
            </w:r>
          </w:p>
        </w:tc>
        <w:tc>
          <w:tcPr>
            <w:tcW w:w="0" w:type="dxa"/>
            <w:vAlign w:val="bottom"/>
          </w:tcPr>
          <w:p>
            <w:pPr>
              <w:spacing w:after="0"/>
              <w:rPr>
                <w:sz w:val="1"/>
                <w:szCs w:val="1"/>
                <w:color w:val="auto"/>
              </w:rPr>
            </w:pPr>
          </w:p>
        </w:tc>
      </w:tr>
      <w:tr>
        <w:trPr>
          <w:trHeight w:val="360"/>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60"/>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280" w:type="dxa"/>
            <w:vAlign w:val="bottom"/>
            <w:tcBorders>
              <w:bottom w:val="single" w:sz="8" w:color="auto"/>
            </w:tcBorders>
            <w:gridSpan w:val="70"/>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-3072765</wp:posOffset>
            </wp:positionV>
            <wp:extent cx="10160" cy="4763"/>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
                      <a:extLst>
                        <a:ext uri="{28A0092B-C50C-407E-A947-70E740481C1C}"/>
                      </a:extLst>
                    </a:blip>
                    <a:srcRect/>
                    <a:stretch>
                      <a:fillRect/>
                    </a:stretch>
                  </pic:blipFill>
                  <pic:spPr bwMode="auto">
                    <a:xfrm>
                      <a:off x="0" y="0"/>
                      <a:ext cx="1016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1155700</wp:posOffset>
                </wp:positionH>
                <wp:positionV relativeFrom="paragraph">
                  <wp:posOffset>-2816225</wp:posOffset>
                </wp:positionV>
                <wp:extent cx="95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pt,-221.7499pt" to="91.75pt,-221.7499pt" o:allowincell="f" strokecolor="#551A8B" strokeweight="0.36pt"/>
            </w:pict>
          </mc:Fallback>
        </mc:AlternateContent>
        <w:drawing>
          <wp:anchor simplePos="0" relativeHeight="251657728" behindDoc="1" locked="0" layoutInCell="0" allowOverlap="1">
            <wp:simplePos x="0" y="0"/>
            <wp:positionH relativeFrom="column">
              <wp:posOffset>1018540</wp:posOffset>
            </wp:positionH>
            <wp:positionV relativeFrom="paragraph">
              <wp:posOffset>-2564130</wp:posOffset>
            </wp:positionV>
            <wp:extent cx="10160" cy="4763"/>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
                      <a:extLst>
                        <a:ext uri="{28A0092B-C50C-407E-A947-70E740481C1C}"/>
                      </a:extLst>
                    </a:blip>
                    <a:srcRect/>
                    <a:stretch>
                      <a:fillRect/>
                    </a:stretch>
                  </pic:blipFill>
                  <pic:spPr bwMode="auto">
                    <a:xfrm>
                      <a:off x="0" y="0"/>
                      <a:ext cx="1016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210185</wp:posOffset>
                </wp:positionH>
                <wp:positionV relativeFrom="paragraph">
                  <wp:posOffset>-2181225</wp:posOffset>
                </wp:positionV>
                <wp:extent cx="158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171.7499pt" to="17.8pt,-17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-1927225</wp:posOffset>
                </wp:positionV>
                <wp:extent cx="158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151.7499pt" to="17.8pt,-15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-1673225</wp:posOffset>
                </wp:positionV>
                <wp:extent cx="158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131.7499pt" to="17.8pt,-13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-1419225</wp:posOffset>
                </wp:positionV>
                <wp:extent cx="1587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111.7499pt" to="17.8pt,-11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-1165225</wp:posOffset>
                </wp:positionV>
                <wp:extent cx="158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91.7499pt" to="17.8pt,-9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-911225</wp:posOffset>
                </wp:positionV>
                <wp:extent cx="1587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71.7499pt" to="17.8pt,-7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-657225</wp:posOffset>
                </wp:positionV>
                <wp:extent cx="158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51.7499pt" to="17.8pt,-51.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210185</wp:posOffset>
                </wp:positionH>
                <wp:positionV relativeFrom="paragraph">
                  <wp:posOffset>-403225</wp:posOffset>
                </wp:positionV>
                <wp:extent cx="158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31.7499pt" to="17.8pt,-31.7499pt" o:allowincell="f" strokecolor="#551A8B" strokeweight="0.36pt"/>
            </w:pict>
          </mc:Fallback>
        </mc:AlternateContent>
      </w:r>
    </w:p>
    <w:p>
      <w:pPr>
        <w:sectPr>
          <w:pgSz w:w="11900" w:h="16840" w:orient="portrait"/>
          <w:cols w:equalWidth="0" w:num="1">
            <w:col w:w="10280"/>
          </w:cols>
          <w:pgMar w:left="820" w:top="908" w:right="804" w:bottom="1440" w:gutter="0" w:footer="0" w:header="0"/>
        </w:sectPr>
      </w:pPr>
    </w:p>
    <w:bookmarkStart w:id="141" w:name="page142"/>
    <w:bookmarkEnd w:id="141"/>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10.9</w:t>
      </w:r>
      <w:r>
        <w:rPr>
          <w:rFonts w:ascii="Times New Roman" w:cs="Times New Roman" w:eastAsia="Times New Roman" w:hAnsi="Times New Roman"/>
          <w:sz w:val="16"/>
          <w:szCs w:val="16"/>
          <w:color w:val="551A8B"/>
        </w:rPr>
        <w:t>†</w:t>
      </w:r>
      <w:r>
        <w:rPr>
          <w:sz w:val="20"/>
          <w:szCs w:val="20"/>
          <w:color w:val="auto"/>
        </w:rPr>
        <w:tab/>
      </w:r>
      <w:r>
        <w:rPr>
          <w:rFonts w:ascii="Times New Roman" w:cs="Times New Roman" w:eastAsia="Times New Roman" w:hAnsi="Times New Roman"/>
          <w:sz w:val="15"/>
          <w:szCs w:val="15"/>
          <w:u w:val="single" w:color="auto"/>
          <w:color w:val="551A8B"/>
        </w:rPr>
        <w:t>SolarEd</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e Technolo</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ies</w:t>
      </w:r>
      <w:r>
        <w:rPr>
          <w:rFonts w:ascii="Times New Roman" w:cs="Times New Roman" w:eastAsia="Times New Roman" w:hAnsi="Times New Roman"/>
          <w:sz w:val="15"/>
          <w:szCs w:val="15"/>
          <w:color w:val="551A8B"/>
        </w:rPr>
        <w:t>, Inc. 2015 Em</w:t>
      </w:r>
      <w:r>
        <w:rPr>
          <w:rFonts w:ascii="Times New Roman" w:cs="Times New Roman" w:eastAsia="Times New Roman" w:hAnsi="Times New Roman"/>
          <w:sz w:val="15"/>
          <w:szCs w:val="15"/>
          <w:u w:val="single" w:color="auto"/>
          <w:color w:val="551A8B"/>
        </w:rPr>
        <w:t>plo</w:t>
      </w:r>
      <w:r>
        <w:rPr>
          <w:rFonts w:ascii="Times New Roman" w:cs="Times New Roman" w:eastAsia="Times New Roman" w:hAnsi="Times New Roman"/>
          <w:sz w:val="15"/>
          <w:szCs w:val="15"/>
          <w:color w:val="551A8B"/>
        </w:rPr>
        <w:t>y</w:t>
      </w:r>
      <w:r>
        <w:rPr>
          <w:rFonts w:ascii="Times New Roman" w:cs="Times New Roman" w:eastAsia="Times New Roman" w:hAnsi="Times New Roman"/>
          <w:sz w:val="15"/>
          <w:szCs w:val="15"/>
          <w:u w:val="single" w:color="auto"/>
          <w:color w:val="551A8B"/>
        </w:rPr>
        <w:t>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213360</wp:posOffset>
                </wp:positionH>
                <wp:positionV relativeFrom="paragraph">
                  <wp:posOffset>3175</wp:posOffset>
                </wp:positionV>
                <wp:extent cx="1524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pt,0.25pt" to="18pt,0.25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1554480</wp:posOffset>
                </wp:positionH>
                <wp:positionV relativeFrom="paragraph">
                  <wp:posOffset>3175</wp:posOffset>
                </wp:positionV>
                <wp:extent cx="57912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4pt,0.25pt" to="168pt,0.25pt" o:allowincell="f" strokecolor="#551A8B" strokeweight="0.36pt"/>
            </w:pict>
          </mc:Fallback>
        </mc:AlternateContent>
      </w:r>
    </w:p>
    <w:p>
      <w:pPr>
        <w:spacing w:after="0" w:line="197"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10.10</w:t>
      </w:r>
      <w:r>
        <w:rPr>
          <w:rFonts w:ascii="Times New Roman" w:cs="Times New Roman" w:eastAsia="Times New Roman" w:hAnsi="Times New Roman"/>
          <w:sz w:val="16"/>
          <w:szCs w:val="16"/>
          <w:color w:val="551A8B"/>
        </w:rPr>
        <w:t xml:space="preserve"> †</w:t>
      </w:r>
      <w:r>
        <w:rPr>
          <w:sz w:val="20"/>
          <w:szCs w:val="20"/>
          <w:color w:val="auto"/>
        </w:rPr>
        <w:tab/>
      </w:r>
      <w:r>
        <w:rPr>
          <w:rFonts w:ascii="Times New Roman" w:cs="Times New Roman" w:eastAsia="Times New Roman" w:hAnsi="Times New Roman"/>
          <w:sz w:val="15"/>
          <w:szCs w:val="15"/>
          <w:u w:val="single" w:color="auto"/>
          <w:color w:val="551A8B"/>
        </w:rPr>
        <w:t>Form of Non-Emplo</w:t>
      </w:r>
      <w:r>
        <w:rPr>
          <w:rFonts w:ascii="Times New Roman" w:cs="Times New Roman" w:eastAsia="Times New Roman" w:hAnsi="Times New Roman"/>
          <w:sz w:val="15"/>
          <w:szCs w:val="15"/>
          <w:color w:val="551A8B"/>
        </w:rPr>
        <w:t>y</w:t>
      </w:r>
      <w:r>
        <w:rPr>
          <w:rFonts w:ascii="Times New Roman" w:cs="Times New Roman" w:eastAsia="Times New Roman" w:hAnsi="Times New Roman"/>
          <w:sz w:val="15"/>
          <w:szCs w:val="15"/>
          <w:u w:val="single" w:color="auto"/>
          <w:color w:val="551A8B"/>
        </w:rPr>
        <w:t>ee Director RSU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289560</wp:posOffset>
                </wp:positionH>
                <wp:positionV relativeFrom="paragraph">
                  <wp:posOffset>2540</wp:posOffset>
                </wp:positionV>
                <wp:extent cx="1524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0.2pt" to="24pt,0.2pt" o:allowincell="f" strokecolor="#551A8B" strokeweight="0.36pt"/>
            </w:pict>
          </mc:Fallback>
        </mc:AlternateContent>
      </w:r>
    </w:p>
    <w:p>
      <w:pPr>
        <w:spacing w:after="0" w:line="196"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10.11</w:t>
      </w:r>
      <w:r>
        <w:rPr>
          <w:rFonts w:ascii="Times New Roman" w:cs="Times New Roman" w:eastAsia="Times New Roman" w:hAnsi="Times New Roman"/>
          <w:sz w:val="16"/>
          <w:szCs w:val="16"/>
          <w:color w:val="551A8B"/>
        </w:rPr>
        <w:t xml:space="preserve"> †</w:t>
      </w:r>
      <w:r>
        <w:rPr>
          <w:sz w:val="20"/>
          <w:szCs w:val="20"/>
          <w:color w:val="auto"/>
        </w:rPr>
        <w:tab/>
      </w:r>
      <w:r>
        <w:rPr>
          <w:rFonts w:ascii="Times New Roman" w:cs="Times New Roman" w:eastAsia="Times New Roman" w:hAnsi="Times New Roman"/>
          <w:sz w:val="15"/>
          <w:szCs w:val="15"/>
          <w:u w:val="single" w:color="auto"/>
          <w:color w:val="551A8B"/>
        </w:rPr>
        <w:t>Form of Non-Em</w:t>
      </w:r>
      <w:r>
        <w:rPr>
          <w:rFonts w:ascii="Times New Roman" w:cs="Times New Roman" w:eastAsia="Times New Roman" w:hAnsi="Times New Roman"/>
          <w:sz w:val="15"/>
          <w:szCs w:val="15"/>
          <w:color w:val="551A8B"/>
        </w:rPr>
        <w:t>p</w:t>
      </w:r>
      <w:r>
        <w:rPr>
          <w:rFonts w:ascii="Times New Roman" w:cs="Times New Roman" w:eastAsia="Times New Roman" w:hAnsi="Times New Roman"/>
          <w:sz w:val="15"/>
          <w:szCs w:val="15"/>
          <w:u w:val="single" w:color="auto"/>
          <w:color w:val="551A8B"/>
        </w:rPr>
        <w:t>lo</w:t>
      </w:r>
      <w:r>
        <w:rPr>
          <w:rFonts w:ascii="Times New Roman" w:cs="Times New Roman" w:eastAsia="Times New Roman" w:hAnsi="Times New Roman"/>
          <w:sz w:val="15"/>
          <w:szCs w:val="15"/>
          <w:color w:val="551A8B"/>
        </w:rPr>
        <w:t>y</w:t>
      </w:r>
      <w:r>
        <w:rPr>
          <w:rFonts w:ascii="Times New Roman" w:cs="Times New Roman" w:eastAsia="Times New Roman" w:hAnsi="Times New Roman"/>
          <w:sz w:val="15"/>
          <w:szCs w:val="15"/>
          <w:u w:val="single" w:color="auto"/>
          <w:color w:val="551A8B"/>
        </w:rPr>
        <w:t>ee Director Stock O</w:t>
      </w:r>
      <w:r>
        <w:rPr>
          <w:rFonts w:ascii="Times New Roman" w:cs="Times New Roman" w:eastAsia="Times New Roman" w:hAnsi="Times New Roman"/>
          <w:sz w:val="15"/>
          <w:szCs w:val="15"/>
          <w:color w:val="551A8B"/>
        </w:rPr>
        <w:t>p</w:t>
      </w:r>
      <w:r>
        <w:rPr>
          <w:rFonts w:ascii="Times New Roman" w:cs="Times New Roman" w:eastAsia="Times New Roman" w:hAnsi="Times New Roman"/>
          <w:sz w:val="15"/>
          <w:szCs w:val="15"/>
          <w:u w:val="single" w:color="auto"/>
          <w:color w:val="551A8B"/>
        </w:rPr>
        <w:t>tion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283845</wp:posOffset>
                </wp:positionH>
                <wp:positionV relativeFrom="paragraph">
                  <wp:posOffset>3175</wp:posOffset>
                </wp:positionV>
                <wp:extent cx="1524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5pt,0.25pt" to="23.55pt,0.25pt" o:allowincell="f" strokecolor="#551A8B" strokeweight="0.36pt"/>
            </w:pict>
          </mc:Fallback>
        </mc:AlternateContent>
      </w:r>
    </w:p>
    <w:p>
      <w:pPr>
        <w:spacing w:after="0" w:line="196"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10.12</w:t>
      </w:r>
      <w:r>
        <w:rPr>
          <w:rFonts w:ascii="Times New Roman" w:cs="Times New Roman" w:eastAsia="Times New Roman" w:hAnsi="Times New Roman"/>
          <w:sz w:val="16"/>
          <w:szCs w:val="16"/>
          <w:color w:val="551A8B"/>
        </w:rPr>
        <w:t xml:space="preserve"> †</w:t>
      </w:r>
      <w:r>
        <w:rPr>
          <w:sz w:val="20"/>
          <w:szCs w:val="20"/>
          <w:color w:val="auto"/>
        </w:rPr>
        <w:tab/>
      </w:r>
      <w:r>
        <w:rPr>
          <w:rFonts w:ascii="Times New Roman" w:cs="Times New Roman" w:eastAsia="Times New Roman" w:hAnsi="Times New Roman"/>
          <w:sz w:val="15"/>
          <w:szCs w:val="15"/>
          <w:u w:val="single" w:color="auto"/>
          <w:color w:val="551A8B"/>
        </w:rPr>
        <w:t>Form of Em</w:t>
      </w:r>
      <w:r>
        <w:rPr>
          <w:rFonts w:ascii="Times New Roman" w:cs="Times New Roman" w:eastAsia="Times New Roman" w:hAnsi="Times New Roman"/>
          <w:sz w:val="15"/>
          <w:szCs w:val="15"/>
          <w:color w:val="551A8B"/>
        </w:rPr>
        <w:t>p</w:t>
      </w:r>
      <w:r>
        <w:rPr>
          <w:rFonts w:ascii="Times New Roman" w:cs="Times New Roman" w:eastAsia="Times New Roman" w:hAnsi="Times New Roman"/>
          <w:sz w:val="15"/>
          <w:szCs w:val="15"/>
          <w:u w:val="single" w:color="auto"/>
          <w:color w:val="551A8B"/>
        </w:rPr>
        <w:t>lo</w:t>
      </w:r>
      <w:r>
        <w:rPr>
          <w:rFonts w:ascii="Times New Roman" w:cs="Times New Roman" w:eastAsia="Times New Roman" w:hAnsi="Times New Roman"/>
          <w:sz w:val="15"/>
          <w:szCs w:val="15"/>
          <w:color w:val="551A8B"/>
        </w:rPr>
        <w:t>y</w:t>
      </w:r>
      <w:r>
        <w:rPr>
          <w:rFonts w:ascii="Times New Roman" w:cs="Times New Roman" w:eastAsia="Times New Roman" w:hAnsi="Times New Roman"/>
          <w:sz w:val="15"/>
          <w:szCs w:val="15"/>
          <w:u w:val="single" w:color="auto"/>
          <w:color w:val="551A8B"/>
        </w:rPr>
        <w:t>ee RSU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289560</wp:posOffset>
                </wp:positionH>
                <wp:positionV relativeFrom="paragraph">
                  <wp:posOffset>3175</wp:posOffset>
                </wp:positionV>
                <wp:extent cx="1524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0.25pt" to="24pt,0.25pt" o:allowincell="f" strokecolor="#551A8B" strokeweight="0.36pt"/>
            </w:pict>
          </mc:Fallback>
        </mc:AlternateContent>
      </w:r>
    </w:p>
    <w:p>
      <w:pPr>
        <w:spacing w:after="0" w:line="197"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10.13</w:t>
      </w:r>
      <w:r>
        <w:rPr>
          <w:rFonts w:ascii="Times New Roman" w:cs="Times New Roman" w:eastAsia="Times New Roman" w:hAnsi="Times New Roman"/>
          <w:sz w:val="16"/>
          <w:szCs w:val="16"/>
          <w:color w:val="551A8B"/>
        </w:rPr>
        <w:t xml:space="preserve"> †</w:t>
      </w:r>
      <w:r>
        <w:rPr>
          <w:sz w:val="20"/>
          <w:szCs w:val="20"/>
          <w:color w:val="auto"/>
        </w:rPr>
        <w:tab/>
      </w:r>
      <w:r>
        <w:rPr>
          <w:rFonts w:ascii="Times New Roman" w:cs="Times New Roman" w:eastAsia="Times New Roman" w:hAnsi="Times New Roman"/>
          <w:sz w:val="15"/>
          <w:szCs w:val="15"/>
          <w:u w:val="single" w:color="auto"/>
          <w:color w:val="551A8B"/>
        </w:rPr>
        <w:t>Form of Em</w:t>
      </w:r>
      <w:r>
        <w:rPr>
          <w:rFonts w:ascii="Times New Roman" w:cs="Times New Roman" w:eastAsia="Times New Roman" w:hAnsi="Times New Roman"/>
          <w:sz w:val="15"/>
          <w:szCs w:val="15"/>
          <w:color w:val="551A8B"/>
        </w:rPr>
        <w:t>p</w:t>
      </w:r>
      <w:r>
        <w:rPr>
          <w:rFonts w:ascii="Times New Roman" w:cs="Times New Roman" w:eastAsia="Times New Roman" w:hAnsi="Times New Roman"/>
          <w:sz w:val="15"/>
          <w:szCs w:val="15"/>
          <w:u w:val="single" w:color="auto"/>
          <w:color w:val="551A8B"/>
        </w:rPr>
        <w:t>lo</w:t>
      </w:r>
      <w:r>
        <w:rPr>
          <w:rFonts w:ascii="Times New Roman" w:cs="Times New Roman" w:eastAsia="Times New Roman" w:hAnsi="Times New Roman"/>
          <w:sz w:val="15"/>
          <w:szCs w:val="15"/>
          <w:color w:val="551A8B"/>
        </w:rPr>
        <w:t>y</w:t>
      </w:r>
      <w:r>
        <w:rPr>
          <w:rFonts w:ascii="Times New Roman" w:cs="Times New Roman" w:eastAsia="Times New Roman" w:hAnsi="Times New Roman"/>
          <w:sz w:val="15"/>
          <w:szCs w:val="15"/>
          <w:u w:val="single" w:color="auto"/>
          <w:color w:val="551A8B"/>
        </w:rPr>
        <w:t>ee Stock Option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289560</wp:posOffset>
                </wp:positionH>
                <wp:positionV relativeFrom="paragraph">
                  <wp:posOffset>2540</wp:posOffset>
                </wp:positionV>
                <wp:extent cx="1524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0.2pt" to="24pt,0.2pt" o:allowincell="f" strokecolor="#551A8B" strokeweight="0.36pt"/>
            </w:pict>
          </mc:Fallback>
        </mc:AlternateContent>
      </w:r>
    </w:p>
    <w:p>
      <w:pPr>
        <w:spacing w:after="0" w:line="196"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10.14</w:t>
      </w:r>
      <w:r>
        <w:rPr>
          <w:rFonts w:ascii="Times New Roman" w:cs="Times New Roman" w:eastAsia="Times New Roman" w:hAnsi="Times New Roman"/>
          <w:sz w:val="16"/>
          <w:szCs w:val="16"/>
          <w:color w:val="551A8B"/>
        </w:rPr>
        <w:t>†</w:t>
      </w:r>
      <w:r>
        <w:rPr>
          <w:sz w:val="20"/>
          <w:szCs w:val="20"/>
          <w:color w:val="auto"/>
        </w:rPr>
        <w:tab/>
      </w:r>
      <w:r>
        <w:rPr>
          <w:rFonts w:ascii="Times New Roman" w:cs="Times New Roman" w:eastAsia="Times New Roman" w:hAnsi="Times New Roman"/>
          <w:sz w:val="15"/>
          <w:szCs w:val="15"/>
          <w:u w:val="single" w:color="auto"/>
          <w:color w:val="551A8B"/>
        </w:rPr>
        <w:t>Form of Performance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263525</wp:posOffset>
                </wp:positionH>
                <wp:positionV relativeFrom="paragraph">
                  <wp:posOffset>3175</wp:posOffset>
                </wp:positionV>
                <wp:extent cx="1524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0.25pt" to="21.95pt,0.25pt" o:allowincell="f" strokecolor="#551A8B" strokeweight="0.36pt"/>
            </w:pict>
          </mc:Fallback>
        </mc:AlternateContent>
      </w:r>
    </w:p>
    <w:p>
      <w:pPr>
        <w:spacing w:after="0" w:line="196" w:lineRule="exact"/>
        <w:rPr>
          <w:sz w:val="20"/>
          <w:szCs w:val="20"/>
          <w:color w:val="auto"/>
        </w:rPr>
      </w:pPr>
    </w:p>
    <w:p>
      <w:pPr>
        <w:ind w:left="864" w:right="520" w:hanging="856"/>
        <w:spacing w:after="0" w:line="265" w:lineRule="auto"/>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10.15</w:t>
      </w:r>
      <w:r>
        <w:rPr>
          <w:rFonts w:ascii="Times New Roman" w:cs="Times New Roman" w:eastAsia="Times New Roman" w:hAnsi="Times New Roman"/>
          <w:sz w:val="16"/>
          <w:szCs w:val="16"/>
          <w:color w:val="551A8B"/>
        </w:rPr>
        <w:t>†</w:t>
      </w:r>
      <w:r>
        <w:rPr>
          <w:sz w:val="20"/>
          <w:szCs w:val="20"/>
          <w:color w:val="auto"/>
        </w:rPr>
        <w:tab/>
      </w:r>
      <w:r>
        <w:rPr>
          <w:rFonts w:ascii="Times New Roman" w:cs="Times New Roman" w:eastAsia="Times New Roman" w:hAnsi="Times New Roman"/>
          <w:sz w:val="16"/>
          <w:szCs w:val="16"/>
          <w:u w:val="single" w:color="auto"/>
          <w:color w:val="551A8B"/>
        </w:rPr>
        <w:t>Form of Performance Award A</w:t>
      </w:r>
      <w:r>
        <w:rPr>
          <w:rFonts w:ascii="Times New Roman" w:cs="Times New Roman" w:eastAsia="Times New Roman" w:hAnsi="Times New Roman"/>
          <w:sz w:val="16"/>
          <w:szCs w:val="16"/>
          <w:color w:val="551A8B"/>
        </w:rPr>
        <w:t>g</w:t>
      </w:r>
      <w:r>
        <w:rPr>
          <w:rFonts w:ascii="Times New Roman" w:cs="Times New Roman" w:eastAsia="Times New Roman" w:hAnsi="Times New Roman"/>
          <w:sz w:val="16"/>
          <w:szCs w:val="16"/>
          <w:u w:val="single" w:color="auto"/>
          <w:color w:val="551A8B"/>
        </w:rPr>
        <w:t xml:space="preserve">reement </w:t>
      </w:r>
      <w:r>
        <w:rPr>
          <w:rFonts w:ascii="Times New Roman" w:cs="Times New Roman" w:eastAsia="Times New Roman" w:hAnsi="Times New Roman"/>
          <w:sz w:val="16"/>
          <w:szCs w:val="16"/>
          <w:color w:val="551A8B"/>
        </w:rPr>
        <w:t>[</w:t>
      </w:r>
      <w:r>
        <w:rPr>
          <w:rFonts w:ascii="Times New Roman" w:cs="Times New Roman" w:eastAsia="Times New Roman" w:hAnsi="Times New Roman"/>
          <w:sz w:val="16"/>
          <w:szCs w:val="16"/>
          <w:u w:val="single" w:color="auto"/>
          <w:color w:val="551A8B"/>
        </w:rPr>
        <w:t>Stock Price</w:t>
      </w:r>
      <w:r>
        <w:rPr>
          <w:rFonts w:ascii="Times New Roman" w:cs="Times New Roman" w:eastAsia="Times New Roman" w:hAnsi="Times New Roman"/>
          <w:sz w:val="16"/>
          <w:szCs w:val="16"/>
          <w:color w:val="551A8B"/>
        </w:rPr>
        <w:t>] (</w:t>
      </w:r>
      <w:r>
        <w:rPr>
          <w:rFonts w:ascii="Times New Roman" w:cs="Times New Roman" w:eastAsia="Times New Roman" w:hAnsi="Times New Roman"/>
          <w:sz w:val="16"/>
          <w:szCs w:val="16"/>
          <w:u w:val="single" w:color="auto"/>
          <w:color w:val="551A8B"/>
        </w:rPr>
        <w:t>Adopted Januar</w:t>
      </w:r>
      <w:r>
        <w:rPr>
          <w:rFonts w:ascii="Times New Roman" w:cs="Times New Roman" w:eastAsia="Times New Roman" w:hAnsi="Times New Roman"/>
          <w:sz w:val="16"/>
          <w:szCs w:val="16"/>
          <w:color w:val="551A8B"/>
        </w:rPr>
        <w:t>y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263525</wp:posOffset>
                </wp:positionH>
                <wp:positionV relativeFrom="paragraph">
                  <wp:posOffset>-137160</wp:posOffset>
                </wp:positionV>
                <wp:extent cx="1524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10.7999pt" to="21.95pt,-10.79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2742565</wp:posOffset>
                </wp:positionH>
                <wp:positionV relativeFrom="paragraph">
                  <wp:posOffset>-137160</wp:posOffset>
                </wp:positionV>
                <wp:extent cx="3556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95pt,-10.7999pt" to="218.75pt,-10.7999pt" o:allowincell="f" strokecolor="#551A8B" strokeweight="0.36pt"/>
            </w:pict>
          </mc:Fallback>
        </mc:AlternateContent>
        <w:drawing>
          <wp:anchor simplePos="0" relativeHeight="251657728" behindDoc="1" locked="0" layoutInCell="0" allowOverlap="1">
            <wp:simplePos x="0" y="0"/>
            <wp:positionH relativeFrom="column">
              <wp:posOffset>838200</wp:posOffset>
            </wp:positionH>
            <wp:positionV relativeFrom="paragraph">
              <wp:posOffset>-12065</wp:posOffset>
            </wp:positionV>
            <wp:extent cx="284480" cy="4763"/>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
                      <a:extLst>
                        <a:ext uri="{28A0092B-C50C-407E-A947-70E740481C1C}"/>
                      </a:extLst>
                    </a:blip>
                    <a:srcRect/>
                    <a:stretch>
                      <a:fillRect/>
                    </a:stretch>
                  </pic:blipFill>
                  <pic:spPr bwMode="auto">
                    <a:xfrm>
                      <a:off x="0" y="0"/>
                      <a:ext cx="284480" cy="4763"/>
                    </a:xfrm>
                    <a:prstGeom prst="rect">
                      <a:avLst/>
                    </a:prstGeom>
                    <a:noFill/>
                  </pic:spPr>
                </pic:pic>
              </a:graphicData>
            </a:graphic>
          </wp:anchor>
        </w:drawing>
      </w: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10.16</w:t>
      </w:r>
      <w:r>
        <w:rPr>
          <w:rFonts w:ascii="Times New Roman" w:cs="Times New Roman" w:eastAsia="Times New Roman" w:hAnsi="Times New Roman"/>
          <w:sz w:val="16"/>
          <w:szCs w:val="16"/>
          <w:color w:val="551A8B"/>
        </w:rPr>
        <w:t>†</w:t>
      </w:r>
      <w:r>
        <w:rPr>
          <w:sz w:val="20"/>
          <w:szCs w:val="20"/>
          <w:color w:val="auto"/>
        </w:rPr>
        <w:tab/>
      </w:r>
      <w:r>
        <w:rPr>
          <w:rFonts w:ascii="Times New Roman" w:cs="Times New Roman" w:eastAsia="Times New Roman" w:hAnsi="Times New Roman"/>
          <w:sz w:val="15"/>
          <w:szCs w:val="15"/>
          <w:u w:val="single" w:color="auto"/>
          <w:color w:val="551A8B"/>
        </w:rPr>
        <w:t>Form of Performance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 xml:space="preserve">reement </w:t>
      </w:r>
      <w:r>
        <w:rPr>
          <w:rFonts w:ascii="Times New Roman" w:cs="Times New Roman" w:eastAsia="Times New Roman" w:hAnsi="Times New Roman"/>
          <w:sz w:val="15"/>
          <w:szCs w:val="15"/>
          <w:color w:val="551A8B"/>
        </w:rPr>
        <w:t>[</w:t>
      </w:r>
      <w:r>
        <w:rPr>
          <w:rFonts w:ascii="Times New Roman" w:cs="Times New Roman" w:eastAsia="Times New Roman" w:hAnsi="Times New Roman"/>
          <w:sz w:val="15"/>
          <w:szCs w:val="15"/>
          <w:u w:val="single" w:color="auto"/>
          <w:color w:val="551A8B"/>
        </w:rPr>
        <w:t>TSR</w:t>
      </w:r>
      <w:r>
        <w:rPr>
          <w:rFonts w:ascii="Times New Roman" w:cs="Times New Roman" w:eastAsia="Times New Roman" w:hAnsi="Times New Roman"/>
          <w:sz w:val="15"/>
          <w:szCs w:val="15"/>
          <w:color w:val="551A8B"/>
        </w:rPr>
        <w:t>] (</w:t>
      </w:r>
      <w:r>
        <w:rPr>
          <w:rFonts w:ascii="Times New Roman" w:cs="Times New Roman" w:eastAsia="Times New Roman" w:hAnsi="Times New Roman"/>
          <w:sz w:val="15"/>
          <w:szCs w:val="15"/>
          <w:u w:val="single" w:color="auto"/>
          <w:color w:val="551A8B"/>
        </w:rPr>
        <w:t>Adopted Januar</w:t>
      </w:r>
      <w:r>
        <w:rPr>
          <w:rFonts w:ascii="Times New Roman" w:cs="Times New Roman" w:eastAsia="Times New Roman" w:hAnsi="Times New Roman"/>
          <w:sz w:val="15"/>
          <w:szCs w:val="15"/>
          <w:color w:val="551A8B"/>
        </w:rPr>
        <w:t>y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263525</wp:posOffset>
                </wp:positionH>
                <wp:positionV relativeFrom="paragraph">
                  <wp:posOffset>-635</wp:posOffset>
                </wp:positionV>
                <wp:extent cx="1524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0.0499pt" to="21.95pt,-0.0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2463165</wp:posOffset>
                </wp:positionH>
                <wp:positionV relativeFrom="paragraph">
                  <wp:posOffset>-635</wp:posOffset>
                </wp:positionV>
                <wp:extent cx="4064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95pt,-0.0499pt" to="197.15pt,-0.0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3199765</wp:posOffset>
                </wp:positionH>
                <wp:positionV relativeFrom="paragraph">
                  <wp:posOffset>-635</wp:posOffset>
                </wp:positionV>
                <wp:extent cx="24447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47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95pt,-0.0499pt" to="271.2pt,-0.0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3469005</wp:posOffset>
                </wp:positionH>
                <wp:positionV relativeFrom="paragraph">
                  <wp:posOffset>-635</wp:posOffset>
                </wp:positionV>
                <wp:extent cx="1016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5pt,-0.0499pt" to="273.95pt,-0.0499pt" o:allowincell="f" strokecolor="#551A8B" strokeweight="0.36pt"/>
            </w:pict>
          </mc:Fallback>
        </mc:AlternateContent>
      </w: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10.17</w:t>
      </w:r>
      <w:r>
        <w:rPr>
          <w:rFonts w:ascii="Times New Roman" w:cs="Times New Roman" w:eastAsia="Times New Roman" w:hAnsi="Times New Roman"/>
          <w:sz w:val="16"/>
          <w:szCs w:val="16"/>
          <w:color w:val="551A8B"/>
        </w:rPr>
        <w:t>†</w:t>
      </w:r>
      <w:r>
        <w:rPr>
          <w:sz w:val="20"/>
          <w:szCs w:val="20"/>
          <w:color w:val="auto"/>
        </w:rPr>
        <w:tab/>
      </w:r>
      <w:r>
        <w:rPr>
          <w:rFonts w:ascii="Times New Roman" w:cs="Times New Roman" w:eastAsia="Times New Roman" w:hAnsi="Times New Roman"/>
          <w:sz w:val="15"/>
          <w:szCs w:val="15"/>
          <w:u w:val="single" w:color="auto"/>
          <w:color w:val="551A8B"/>
        </w:rPr>
        <w:t>Form of Em</w:t>
      </w:r>
      <w:r>
        <w:rPr>
          <w:rFonts w:ascii="Times New Roman" w:cs="Times New Roman" w:eastAsia="Times New Roman" w:hAnsi="Times New Roman"/>
          <w:sz w:val="15"/>
          <w:szCs w:val="15"/>
          <w:color w:val="551A8B"/>
        </w:rPr>
        <w:t>p</w:t>
      </w:r>
      <w:r>
        <w:rPr>
          <w:rFonts w:ascii="Times New Roman" w:cs="Times New Roman" w:eastAsia="Times New Roman" w:hAnsi="Times New Roman"/>
          <w:sz w:val="15"/>
          <w:szCs w:val="15"/>
          <w:u w:val="single" w:color="auto"/>
          <w:color w:val="551A8B"/>
        </w:rPr>
        <w:t>lo</w:t>
      </w:r>
      <w:r>
        <w:rPr>
          <w:rFonts w:ascii="Times New Roman" w:cs="Times New Roman" w:eastAsia="Times New Roman" w:hAnsi="Times New Roman"/>
          <w:sz w:val="15"/>
          <w:szCs w:val="15"/>
          <w:color w:val="551A8B"/>
        </w:rPr>
        <w:t>y</w:t>
      </w:r>
      <w:r>
        <w:rPr>
          <w:rFonts w:ascii="Times New Roman" w:cs="Times New Roman" w:eastAsia="Times New Roman" w:hAnsi="Times New Roman"/>
          <w:sz w:val="15"/>
          <w:szCs w:val="15"/>
          <w:u w:val="single" w:color="auto"/>
          <w:color w:val="551A8B"/>
        </w:rPr>
        <w:t>ee RSU Award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 xml:space="preserve">reement </w:t>
      </w:r>
      <w:r>
        <w:rPr>
          <w:rFonts w:ascii="Times New Roman" w:cs="Times New Roman" w:eastAsia="Times New Roman" w:hAnsi="Times New Roman"/>
          <w:sz w:val="15"/>
          <w:szCs w:val="15"/>
          <w:color w:val="551A8B"/>
        </w:rPr>
        <w:t>(</w:t>
      </w:r>
      <w:r>
        <w:rPr>
          <w:rFonts w:ascii="Times New Roman" w:cs="Times New Roman" w:eastAsia="Times New Roman" w:hAnsi="Times New Roman"/>
          <w:sz w:val="15"/>
          <w:szCs w:val="15"/>
          <w:u w:val="single" w:color="auto"/>
          <w:color w:val="551A8B"/>
        </w:rPr>
        <w:t>Adopted Januar</w:t>
      </w:r>
      <w:r>
        <w:rPr>
          <w:rFonts w:ascii="Times New Roman" w:cs="Times New Roman" w:eastAsia="Times New Roman" w:hAnsi="Times New Roman"/>
          <w:sz w:val="15"/>
          <w:szCs w:val="15"/>
          <w:color w:val="551A8B"/>
        </w:rPr>
        <w:t>y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263525</wp:posOffset>
                </wp:positionH>
                <wp:positionV relativeFrom="paragraph">
                  <wp:posOffset>0</wp:posOffset>
                </wp:positionV>
                <wp:extent cx="1524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0pt" to="21.95pt,0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3032760</wp:posOffset>
                </wp:positionH>
                <wp:positionV relativeFrom="paragraph">
                  <wp:posOffset>0</wp:posOffset>
                </wp:positionV>
                <wp:extent cx="24828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28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8pt,0pt" to="258.35pt,0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3307080</wp:posOffset>
                </wp:positionH>
                <wp:positionV relativeFrom="paragraph">
                  <wp:posOffset>0</wp:posOffset>
                </wp:positionV>
                <wp:extent cx="952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pt,0pt" to="261.15pt,0pt" o:allowincell="f" strokecolor="#551A8B" strokeweight="0.36pt"/>
            </w:pict>
          </mc:Fallback>
        </mc:AlternateContent>
      </w:r>
    </w:p>
    <w:p>
      <w:pPr>
        <w:ind w:left="4"/>
        <w:spacing w:after="0"/>
        <w:tabs>
          <w:tab w:leader="none" w:pos="844" w:val="left"/>
        </w:tabs>
        <w:rPr>
          <w:sz w:val="20"/>
          <w:szCs w:val="20"/>
          <w:color w:val="auto"/>
        </w:rPr>
      </w:pPr>
      <w:r>
        <w:rPr>
          <w:rFonts w:ascii="Times New Roman" w:cs="Times New Roman" w:eastAsia="Times New Roman" w:hAnsi="Times New Roman"/>
          <w:sz w:val="16"/>
          <w:szCs w:val="16"/>
          <w:u w:val="single" w:color="auto"/>
          <w:color w:val="551A8B"/>
        </w:rPr>
        <w:t>10.18</w:t>
      </w:r>
      <w:r>
        <w:rPr>
          <w:sz w:val="20"/>
          <w:szCs w:val="20"/>
          <w:color w:val="auto"/>
        </w:rPr>
        <w:tab/>
      </w:r>
      <w:r>
        <w:rPr>
          <w:rFonts w:ascii="Times New Roman" w:cs="Times New Roman" w:eastAsia="Times New Roman" w:hAnsi="Times New Roman"/>
          <w:sz w:val="15"/>
          <w:szCs w:val="15"/>
          <w:u w:val="single" w:color="auto"/>
          <w:color w:val="551A8B"/>
        </w:rPr>
        <w:t>Form of Indemnification A</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reement for Directors and Officers</w:t>
      </w:r>
    </w:p>
    <w:p>
      <w:pPr>
        <w:spacing w:after="0" w:line="210" w:lineRule="exact"/>
        <w:rPr>
          <w:sz w:val="20"/>
          <w:szCs w:val="20"/>
          <w:color w:val="auto"/>
        </w:rPr>
      </w:pPr>
    </w:p>
    <w:p>
      <w:pPr>
        <w:ind w:left="864" w:right="80" w:hanging="864"/>
        <w:spacing w:after="0" w:line="282" w:lineRule="auto"/>
        <w:tabs>
          <w:tab w:leader="none" w:pos="864" w:val="left"/>
        </w:tabs>
        <w:numPr>
          <w:ilvl w:val="0"/>
          <w:numId w:val="70"/>
        </w:numPr>
        <w:rPr>
          <w:rFonts w:ascii="Times New Roman" w:cs="Times New Roman" w:eastAsia="Times New Roman" w:hAnsi="Times New Roman"/>
          <w:sz w:val="15"/>
          <w:szCs w:val="15"/>
          <w:u w:val="single" w:color="auto"/>
          <w:color w:val="551A8B"/>
        </w:rPr>
      </w:pPr>
      <w:r>
        <w:rPr>
          <w:rFonts w:ascii="Times New Roman" w:cs="Times New Roman" w:eastAsia="Times New Roman" w:hAnsi="Times New Roman"/>
          <w:sz w:val="15"/>
          <w:szCs w:val="15"/>
          <w:u w:val="single" w:color="auto"/>
          <w:color w:val="551A8B"/>
        </w:rPr>
        <w:t>SolarEd</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e Technolo</w:t>
      </w:r>
      <w:r>
        <w:rPr>
          <w:rFonts w:ascii="Times New Roman" w:cs="Times New Roman" w:eastAsia="Times New Roman" w:hAnsi="Times New Roman"/>
          <w:sz w:val="15"/>
          <w:szCs w:val="15"/>
          <w:color w:val="551A8B"/>
        </w:rPr>
        <w:t>g</w:t>
      </w:r>
      <w:r>
        <w:rPr>
          <w:rFonts w:ascii="Times New Roman" w:cs="Times New Roman" w:eastAsia="Times New Roman" w:hAnsi="Times New Roman"/>
          <w:sz w:val="15"/>
          <w:szCs w:val="15"/>
          <w:u w:val="single" w:color="auto"/>
          <w:color w:val="551A8B"/>
        </w:rPr>
        <w:t>ies</w:t>
      </w:r>
      <w:r>
        <w:rPr>
          <w:rFonts w:ascii="Times New Roman" w:cs="Times New Roman" w:eastAsia="Times New Roman" w:hAnsi="Times New Roman"/>
          <w:sz w:val="15"/>
          <w:szCs w:val="15"/>
          <w:color w:val="551A8B"/>
        </w:rPr>
        <w:t xml:space="preserve">, Inc. Insider Trading </w:t>
      </w:r>
      <w:r>
        <w:rPr>
          <w:rFonts w:ascii="Times New Roman" w:cs="Times New Roman" w:eastAsia="Times New Roman" w:hAnsi="Times New Roman"/>
          <w:sz w:val="15"/>
          <w:szCs w:val="15"/>
          <w:u w:val="single" w:color="auto"/>
          <w:color w:val="551A8B"/>
        </w:rPr>
        <w:t>Polic</w:t>
      </w:r>
      <w:r>
        <w:rPr>
          <w:rFonts w:ascii="Times New Roman" w:cs="Times New Roman" w:eastAsia="Times New Roman" w:hAnsi="Times New Roman"/>
          <w:sz w:val="15"/>
          <w:szCs w:val="15"/>
          <w:color w:val="551A8B"/>
        </w:rPr>
        <w:t xml:space="preserve">y, </w:t>
      </w:r>
      <w:r>
        <w:rPr>
          <w:rFonts w:ascii="Times New Roman" w:cs="Times New Roman" w:eastAsia="Times New Roman" w:hAnsi="Times New Roman"/>
          <w:sz w:val="15"/>
          <w:szCs w:val="15"/>
          <w:u w:val="single" w:color="auto"/>
          <w:color w:val="551A8B"/>
        </w:rPr>
        <w:t>adopted in March</w:t>
      </w:r>
      <w:r>
        <w:rPr>
          <w:rFonts w:ascii="Times New Roman" w:cs="Times New Roman" w:eastAsia="Times New Roman" w:hAnsi="Times New Roman"/>
          <w:sz w:val="15"/>
          <w:szCs w:val="15"/>
          <w:color w:val="551A8B"/>
        </w:rPr>
        <w:t xml:space="preserve"> 2015, and amended and restated on March 14, 2023 and February 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1554480</wp:posOffset>
                </wp:positionH>
                <wp:positionV relativeFrom="paragraph">
                  <wp:posOffset>-136525</wp:posOffset>
                </wp:positionV>
                <wp:extent cx="77660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4pt,-10.7499pt" to="183.55pt,-10.7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2656205</wp:posOffset>
                </wp:positionH>
                <wp:positionV relativeFrom="paragraph">
                  <wp:posOffset>-136525</wp:posOffset>
                </wp:positionV>
                <wp:extent cx="1079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15pt,-10.7499pt" to="210pt,-10.7499pt" o:allowincell="f" strokecolor="#551A8B" strokeweight="0.36pt"/>
            </w:pict>
          </mc:Fallback>
        </mc:AlternateContent>
      </w:r>
    </w:p>
    <w:tbl>
      <w:tblPr>
        <w:tblLayout w:type="fixed"/>
        <w:tblInd w:w="4"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620" w:type="dxa"/>
            <w:vAlign w:val="bottom"/>
            <w:tcBorders>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60" w:type="dxa"/>
            <w:vAlign w:val="bottom"/>
            <w:shd w:val="clear" w:color="auto" w:fill="551A8B"/>
          </w:tcPr>
          <w:p>
            <w:pPr>
              <w:spacing w:after="0" w:line="20" w:lineRule="exact"/>
              <w:rPr>
                <w:sz w:val="1"/>
                <w:szCs w:val="1"/>
                <w:color w:val="auto"/>
              </w:rPr>
            </w:pPr>
          </w:p>
        </w:tc>
        <w:tc>
          <w:tcPr>
            <w:tcW w:w="420" w:type="dxa"/>
            <w:vAlign w:val="bottom"/>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18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12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120" w:type="dxa"/>
            <w:vAlign w:val="bottom"/>
            <w:tcBorders>
              <w:right w:val="single" w:sz="8" w:color="551A8B"/>
            </w:tcBorders>
            <w:shd w:val="clear" w:color="auto" w:fill="551A8B"/>
          </w:tcPr>
          <w:p>
            <w:pPr>
              <w:spacing w:after="0" w:line="20" w:lineRule="exact"/>
              <w:rPr>
                <w:sz w:val="1"/>
                <w:szCs w:val="1"/>
                <w:color w:val="auto"/>
              </w:rPr>
            </w:pPr>
          </w:p>
        </w:tc>
        <w:tc>
          <w:tcPr>
            <w:tcW w:w="40" w:type="dxa"/>
            <w:vAlign w:val="bottom"/>
            <w:tcBorders>
              <w:right w:val="single" w:sz="8" w:color="551A8B"/>
            </w:tcBorders>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200" w:type="dxa"/>
            <w:vAlign w:val="bottom"/>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120" w:type="dxa"/>
            <w:vAlign w:val="bottom"/>
            <w:tcBorders>
              <w:left w:val="single" w:sz="8" w:color="551A8B"/>
            </w:tcBorders>
            <w:shd w:val="clear" w:color="auto" w:fill="551A8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bottom w:val="single" w:sz="8" w:color="551A8B"/>
            </w:tcBorders>
            <w:gridSpan w:val="2"/>
          </w:tcPr>
          <w:p>
            <w:pPr>
              <w:spacing w:after="0" w:line="159" w:lineRule="exact"/>
              <w:rPr>
                <w:sz w:val="20"/>
                <w:szCs w:val="20"/>
                <w:color w:val="auto"/>
              </w:rPr>
            </w:pPr>
            <w:r>
              <w:rPr>
                <w:rFonts w:ascii="Times New Roman" w:cs="Times New Roman" w:eastAsia="Times New Roman" w:hAnsi="Times New Roman"/>
                <w:sz w:val="16"/>
                <w:szCs w:val="16"/>
                <w:color w:val="551A8B"/>
                <w:w w:val="77"/>
              </w:rPr>
              <w:t>2026.</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5"/>
              </w:rPr>
              <w:t>21.</w:t>
            </w:r>
            <w:r>
              <w:rPr>
                <w:rFonts w:ascii="Times New Roman" w:cs="Times New Roman" w:eastAsia="Times New Roman" w:hAnsi="Times New Roman"/>
                <w:sz w:val="16"/>
                <w:szCs w:val="16"/>
                <w:u w:val="single" w:color="auto"/>
                <w:color w:val="551A8B"/>
                <w:w w:val="85"/>
              </w:rPr>
              <w:t>1</w:t>
            </w: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rPr>
              <w:t>List of Subsidiaries of the Registrant</w:t>
            </w:r>
          </w:p>
        </w:tc>
      </w:tr>
      <w:tr>
        <w:trPr>
          <w:trHeight w:val="20"/>
        </w:trPr>
        <w:tc>
          <w:tcPr>
            <w:tcW w:w="280" w:type="dxa"/>
            <w:vAlign w:val="bottom"/>
            <w:shd w:val="clear" w:color="auto" w:fill="551A8B"/>
          </w:tcPr>
          <w:p>
            <w:pPr>
              <w:spacing w:after="0" w:line="20" w:lineRule="exact"/>
              <w:rPr>
                <w:sz w:val="1"/>
                <w:szCs w:val="1"/>
                <w:color w:val="auto"/>
              </w:rPr>
            </w:pPr>
          </w:p>
        </w:tc>
        <w:tc>
          <w:tcPr>
            <w:tcW w:w="620" w:type="dxa"/>
            <w:vAlign w:val="bottom"/>
            <w:tcBorders>
              <w:left w:val="single" w:sz="8" w:color="551A8B"/>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60" w:type="dxa"/>
            <w:vAlign w:val="bottom"/>
            <w:shd w:val="clear" w:color="auto" w:fill="551A8B"/>
          </w:tcPr>
          <w:p>
            <w:pPr>
              <w:spacing w:after="0" w:line="20" w:lineRule="exact"/>
              <w:rPr>
                <w:sz w:val="1"/>
                <w:szCs w:val="1"/>
                <w:color w:val="auto"/>
              </w:rPr>
            </w:pPr>
          </w:p>
        </w:tc>
        <w:tc>
          <w:tcPr>
            <w:tcW w:w="420" w:type="dxa"/>
            <w:vAlign w:val="bottom"/>
            <w:shd w:val="clear" w:color="auto" w:fill="551A8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551A8B"/>
          </w:tcPr>
          <w:p>
            <w:pPr>
              <w:spacing w:after="0" w:line="20" w:lineRule="exact"/>
              <w:rPr>
                <w:sz w:val="1"/>
                <w:szCs w:val="1"/>
                <w:color w:val="auto"/>
              </w:rPr>
            </w:pPr>
          </w:p>
        </w:tc>
        <w:tc>
          <w:tcPr>
            <w:tcW w:w="100" w:type="dxa"/>
            <w:vAlign w:val="bottom"/>
            <w:shd w:val="clear" w:color="auto" w:fill="551A8B"/>
          </w:tcPr>
          <w:p>
            <w:pPr>
              <w:spacing w:after="0" w:line="20" w:lineRule="exact"/>
              <w:rPr>
                <w:sz w:val="1"/>
                <w:szCs w:val="1"/>
                <w:color w:val="auto"/>
              </w:rPr>
            </w:pPr>
          </w:p>
        </w:tc>
        <w:tc>
          <w:tcPr>
            <w:tcW w:w="120" w:type="dxa"/>
            <w:vAlign w:val="bottom"/>
            <w:shd w:val="clear" w:color="auto" w:fill="551A8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5"/>
              </w:rPr>
              <w:t>23.</w:t>
            </w:r>
            <w:r>
              <w:rPr>
                <w:rFonts w:ascii="Times New Roman" w:cs="Times New Roman" w:eastAsia="Times New Roman" w:hAnsi="Times New Roman"/>
                <w:sz w:val="16"/>
                <w:szCs w:val="16"/>
                <w:u w:val="single" w:color="auto"/>
                <w:color w:val="551A8B"/>
                <w:w w:val="85"/>
              </w:rPr>
              <w:t>1</w:t>
            </w: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rPr>
              <w:t>Consent of Kost Forer Gabbay &amp; Kasierer, independent registered</w:t>
            </w:r>
          </w:p>
        </w:tc>
      </w:tr>
      <w:tr>
        <w:trPr>
          <w:trHeight w:val="179"/>
        </w:trPr>
        <w:tc>
          <w:tcPr>
            <w:tcW w:w="280" w:type="dxa"/>
            <w:vAlign w:val="bottom"/>
            <w:tcBorders>
              <w:top w:val="single" w:sz="8" w:color="551A8B"/>
            </w:tcBorders>
          </w:tcPr>
          <w:p>
            <w:pPr>
              <w:spacing w:after="0"/>
              <w:rPr>
                <w:sz w:val="15"/>
                <w:szCs w:val="15"/>
                <w:color w:val="auto"/>
              </w:rPr>
            </w:pPr>
          </w:p>
        </w:tc>
        <w:tc>
          <w:tcPr>
            <w:tcW w:w="620" w:type="dxa"/>
            <w:vAlign w:val="bottom"/>
          </w:tcPr>
          <w:p>
            <w:pPr>
              <w:spacing w:after="0"/>
              <w:rPr>
                <w:sz w:val="15"/>
                <w:szCs w:val="15"/>
                <w:color w:val="auto"/>
              </w:rPr>
            </w:pPr>
          </w:p>
        </w:tc>
        <w:tc>
          <w:tcPr>
            <w:tcW w:w="1840" w:type="dxa"/>
            <w:vAlign w:val="bottom"/>
            <w:tcBorders>
              <w:top w:val="single" w:sz="8" w:color="551A8B"/>
            </w:tcBorders>
            <w:gridSpan w:val="15"/>
          </w:tcPr>
          <w:p>
            <w:pPr>
              <w:spacing w:after="0" w:line="179" w:lineRule="exact"/>
              <w:rPr>
                <w:sz w:val="20"/>
                <w:szCs w:val="20"/>
                <w:color w:val="auto"/>
              </w:rPr>
            </w:pPr>
            <w:r>
              <w:rPr>
                <w:rFonts w:ascii="Times New Roman" w:cs="Times New Roman" w:eastAsia="Times New Roman" w:hAnsi="Times New Roman"/>
                <w:sz w:val="16"/>
                <w:szCs w:val="16"/>
                <w:color w:val="551A8B"/>
              </w:rPr>
              <w:t>public accounting firm</w:t>
            </w:r>
          </w:p>
        </w:tc>
        <w:tc>
          <w:tcPr>
            <w:tcW w:w="40" w:type="dxa"/>
            <w:vAlign w:val="bottom"/>
          </w:tcPr>
          <w:p>
            <w:pPr>
              <w:spacing w:after="0"/>
              <w:rPr>
                <w:sz w:val="15"/>
                <w:szCs w:val="15"/>
                <w:color w:val="auto"/>
              </w:rPr>
            </w:pPr>
          </w:p>
        </w:tc>
        <w:tc>
          <w:tcPr>
            <w:tcW w:w="780" w:type="dxa"/>
            <w:vAlign w:val="bottom"/>
            <w:tcBorders>
              <w:top w:val="single" w:sz="8" w:color="551A8B"/>
            </w:tcBorders>
            <w:gridSpan w:val="9"/>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551A8B"/>
            </w:tcBorders>
            <w:gridSpan w:val="4"/>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551A8B"/>
            </w:tcBorders>
            <w:gridSpan w:val="3"/>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551A8B"/>
            </w:tcBorders>
            <w:gridSpan w:val="4"/>
          </w:tcPr>
          <w:p>
            <w:pPr>
              <w:spacing w:after="0"/>
              <w:rPr>
                <w:sz w:val="15"/>
                <w:szCs w:val="15"/>
                <w:color w:val="auto"/>
              </w:rPr>
            </w:pPr>
          </w:p>
        </w:tc>
        <w:tc>
          <w:tcPr>
            <w:tcW w:w="320" w:type="dxa"/>
            <w:vAlign w:val="bottom"/>
            <w:gridSpan w:val="4"/>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20" w:type="dxa"/>
            <w:vAlign w:val="bottom"/>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551A8B"/>
            </w:tcBorders>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60" w:type="dxa"/>
            <w:vAlign w:val="bottom"/>
            <w:shd w:val="clear" w:color="auto" w:fill="551A8B"/>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EE"/>
                <w:w w:val="85"/>
              </w:rPr>
              <w:t>24.</w:t>
            </w:r>
            <w:r>
              <w:rPr>
                <w:rFonts w:ascii="Times New Roman" w:cs="Times New Roman" w:eastAsia="Times New Roman" w:hAnsi="Times New Roman"/>
                <w:sz w:val="16"/>
                <w:szCs w:val="16"/>
                <w:u w:val="single" w:color="auto"/>
                <w:color w:val="0000EE"/>
                <w:w w:val="85"/>
              </w:rPr>
              <w:t>1</w:t>
            </w: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0000EE"/>
              </w:rPr>
              <w:t>Power of Attorney (included in signature page)</w:t>
            </w:r>
          </w:p>
        </w:tc>
      </w:tr>
      <w:tr>
        <w:trPr>
          <w:trHeight w:val="20"/>
        </w:trPr>
        <w:tc>
          <w:tcPr>
            <w:tcW w:w="28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5"/>
              </w:rPr>
              <w:t>31.</w:t>
            </w:r>
            <w:r>
              <w:rPr>
                <w:rFonts w:ascii="Times New Roman" w:cs="Times New Roman" w:eastAsia="Times New Roman" w:hAnsi="Times New Roman"/>
                <w:sz w:val="16"/>
                <w:szCs w:val="16"/>
                <w:u w:val="single" w:color="auto"/>
                <w:color w:val="551A8B"/>
                <w:w w:val="85"/>
              </w:rPr>
              <w:t>1</w:t>
            </w: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rPr>
              <w:t>Certification of Chief Executive Officer Pursuant to Rules 13a-14(a)</w:t>
            </w:r>
          </w:p>
        </w:tc>
      </w:tr>
      <w:tr>
        <w:trPr>
          <w:trHeight w:val="20"/>
        </w:trPr>
        <w:tc>
          <w:tcPr>
            <w:tcW w:w="280" w:type="dxa"/>
            <w:vAlign w:val="bottom"/>
            <w:shd w:val="clear" w:color="auto" w:fill="551A8B"/>
          </w:tcPr>
          <w:p>
            <w:pPr>
              <w:spacing w:after="0" w:line="20" w:lineRule="exact"/>
              <w:rPr>
                <w:sz w:val="1"/>
                <w:szCs w:val="1"/>
                <w:color w:val="auto"/>
              </w:rPr>
            </w:pPr>
          </w:p>
        </w:tc>
        <w:tc>
          <w:tcPr>
            <w:tcW w:w="620" w:type="dxa"/>
            <w:vAlign w:val="bottom"/>
            <w:tcBorders>
              <w:left w:val="single" w:sz="8" w:color="551A8B"/>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280" w:type="dxa"/>
            <w:vAlign w:val="bottom"/>
            <w:gridSpan w:val="3"/>
            <w:shd w:val="clear" w:color="auto" w:fill="551A8B"/>
          </w:tcPr>
          <w:p>
            <w:pPr>
              <w:spacing w:after="0" w:line="20" w:lineRule="exact"/>
              <w:rPr>
                <w:sz w:val="1"/>
                <w:szCs w:val="1"/>
                <w:color w:val="auto"/>
              </w:rPr>
            </w:pPr>
          </w:p>
        </w:tc>
        <w:tc>
          <w:tcPr>
            <w:tcW w:w="760" w:type="dxa"/>
            <w:vAlign w:val="bottom"/>
            <w:gridSpan w:val="6"/>
            <w:shd w:val="clear" w:color="auto" w:fill="551A8B"/>
          </w:tcPr>
          <w:p>
            <w:pPr>
              <w:spacing w:after="0" w:line="20" w:lineRule="exact"/>
              <w:rPr>
                <w:sz w:val="1"/>
                <w:szCs w:val="1"/>
                <w:color w:val="auto"/>
              </w:rPr>
            </w:pPr>
          </w:p>
        </w:tc>
        <w:tc>
          <w:tcPr>
            <w:tcW w:w="560" w:type="dxa"/>
            <w:vAlign w:val="bottom"/>
            <w:gridSpan w:val="6"/>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tcBorders>
              <w:right w:val="single" w:sz="8" w:color="551A8B"/>
            </w:tcBorders>
            <w:shd w:val="clear" w:color="auto" w:fill="551A8B"/>
          </w:tcPr>
          <w:p>
            <w:pPr>
              <w:spacing w:after="0" w:line="20" w:lineRule="exact"/>
              <w:rPr>
                <w:sz w:val="1"/>
                <w:szCs w:val="1"/>
                <w:color w:val="auto"/>
              </w:rPr>
            </w:pPr>
          </w:p>
        </w:tc>
        <w:tc>
          <w:tcPr>
            <w:tcW w:w="740" w:type="dxa"/>
            <w:vAlign w:val="bottom"/>
            <w:gridSpan w:val="8"/>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560" w:type="dxa"/>
            <w:vAlign w:val="bottom"/>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200" w:type="dxa"/>
            <w:vAlign w:val="bottom"/>
            <w:tcBorders>
              <w:left w:val="single" w:sz="8" w:color="551A8B"/>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00" w:type="dxa"/>
            <w:vAlign w:val="bottom"/>
            <w:gridSpan w:val="43"/>
          </w:tcPr>
          <w:p>
            <w:pPr>
              <w:spacing w:after="0" w:line="179" w:lineRule="exact"/>
              <w:rPr>
                <w:sz w:val="20"/>
                <w:szCs w:val="20"/>
                <w:color w:val="auto"/>
              </w:rPr>
            </w:pPr>
            <w:r>
              <w:rPr>
                <w:rFonts w:ascii="Times New Roman" w:cs="Times New Roman" w:eastAsia="Times New Roman" w:hAnsi="Times New Roman"/>
                <w:sz w:val="16"/>
                <w:szCs w:val="16"/>
                <w:color w:val="551A8B"/>
              </w:rPr>
              <w:t>and15d-14(a) of the Securities Exchange Act of 1934, as amended</w:t>
            </w:r>
          </w:p>
        </w:tc>
      </w:tr>
      <w:tr>
        <w:trPr>
          <w:trHeight w:val="20"/>
        </w:trPr>
        <w:tc>
          <w:tcPr>
            <w:tcW w:w="280" w:type="dxa"/>
            <w:vAlign w:val="bottom"/>
          </w:tcPr>
          <w:p>
            <w:pPr>
              <w:spacing w:after="0" w:line="20" w:lineRule="exact"/>
              <w:rPr>
                <w:sz w:val="1"/>
                <w:szCs w:val="1"/>
                <w:color w:val="auto"/>
              </w:rPr>
            </w:pPr>
          </w:p>
        </w:tc>
        <w:tc>
          <w:tcPr>
            <w:tcW w:w="620" w:type="dxa"/>
            <w:vAlign w:val="bottom"/>
            <w:tcBorders>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551A8B"/>
          </w:tcPr>
          <w:p>
            <w:pPr>
              <w:spacing w:after="0" w:line="20" w:lineRule="exact"/>
              <w:rPr>
                <w:sz w:val="1"/>
                <w:szCs w:val="1"/>
                <w:color w:val="auto"/>
              </w:rPr>
            </w:pPr>
          </w:p>
        </w:tc>
        <w:tc>
          <w:tcPr>
            <w:tcW w:w="760" w:type="dxa"/>
            <w:vAlign w:val="bottom"/>
            <w:gridSpan w:val="6"/>
            <w:shd w:val="clear" w:color="auto" w:fill="551A8B"/>
          </w:tcPr>
          <w:p>
            <w:pPr>
              <w:spacing w:after="0" w:line="20" w:lineRule="exact"/>
              <w:rPr>
                <w:sz w:val="1"/>
                <w:szCs w:val="1"/>
                <w:color w:val="auto"/>
              </w:rPr>
            </w:pPr>
          </w:p>
        </w:tc>
        <w:tc>
          <w:tcPr>
            <w:tcW w:w="560" w:type="dxa"/>
            <w:vAlign w:val="bottom"/>
            <w:gridSpan w:val="6"/>
            <w:shd w:val="clear" w:color="auto" w:fill="551A8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551A8B"/>
            </w:tcBorders>
            <w:shd w:val="clear" w:color="auto" w:fill="551A8B"/>
          </w:tcPr>
          <w:p>
            <w:pPr>
              <w:spacing w:after="0" w:line="20" w:lineRule="exact"/>
              <w:rPr>
                <w:sz w:val="1"/>
                <w:szCs w:val="1"/>
                <w:color w:val="auto"/>
              </w:rPr>
            </w:pPr>
          </w:p>
        </w:tc>
        <w:tc>
          <w:tcPr>
            <w:tcW w:w="740" w:type="dxa"/>
            <w:vAlign w:val="bottom"/>
            <w:gridSpan w:val="8"/>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60" w:type="dxa"/>
            <w:vAlign w:val="bottom"/>
            <w:tcBorders>
              <w:left w:val="single" w:sz="8" w:color="551A8B"/>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551A8B"/>
                <w:w w:val="85"/>
              </w:rPr>
              <w:t>31.</w:t>
            </w:r>
            <w:r>
              <w:rPr>
                <w:rFonts w:ascii="Times New Roman" w:cs="Times New Roman" w:eastAsia="Times New Roman" w:hAnsi="Times New Roman"/>
                <w:sz w:val="16"/>
                <w:szCs w:val="16"/>
                <w:u w:val="single" w:color="auto"/>
                <w:color w:val="551A8B"/>
                <w:w w:val="85"/>
              </w:rPr>
              <w:t>2</w:t>
            </w: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rPr>
              <w:t>Certification of Chief Financial Officer Pursuant to Rules 13a-14(a)</w:t>
            </w:r>
          </w:p>
        </w:tc>
      </w:tr>
      <w:tr>
        <w:trPr>
          <w:trHeight w:val="20"/>
        </w:trPr>
        <w:tc>
          <w:tcPr>
            <w:tcW w:w="280" w:type="dxa"/>
            <w:vAlign w:val="bottom"/>
            <w:shd w:val="clear" w:color="auto" w:fill="551A8B"/>
          </w:tcPr>
          <w:p>
            <w:pPr>
              <w:spacing w:after="0" w:line="20" w:lineRule="exact"/>
              <w:rPr>
                <w:sz w:val="1"/>
                <w:szCs w:val="1"/>
                <w:color w:val="auto"/>
              </w:rPr>
            </w:pPr>
          </w:p>
        </w:tc>
        <w:tc>
          <w:tcPr>
            <w:tcW w:w="620" w:type="dxa"/>
            <w:vAlign w:val="bottom"/>
            <w:tcBorders>
              <w:left w:val="single" w:sz="8" w:color="551A8B"/>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480" w:type="dxa"/>
            <w:vAlign w:val="bottom"/>
            <w:gridSpan w:val="4"/>
            <w:shd w:val="clear" w:color="auto" w:fill="551A8B"/>
          </w:tcPr>
          <w:p>
            <w:pPr>
              <w:spacing w:after="0" w:line="20" w:lineRule="exact"/>
              <w:rPr>
                <w:sz w:val="1"/>
                <w:szCs w:val="1"/>
                <w:color w:val="auto"/>
              </w:rPr>
            </w:pPr>
          </w:p>
        </w:tc>
        <w:tc>
          <w:tcPr>
            <w:tcW w:w="280" w:type="dxa"/>
            <w:vAlign w:val="bottom"/>
            <w:gridSpan w:val="3"/>
            <w:shd w:val="clear" w:color="auto" w:fill="551A8B"/>
          </w:tcPr>
          <w:p>
            <w:pPr>
              <w:spacing w:after="0" w:line="20" w:lineRule="exact"/>
              <w:rPr>
                <w:sz w:val="1"/>
                <w:szCs w:val="1"/>
                <w:color w:val="auto"/>
              </w:rPr>
            </w:pPr>
          </w:p>
        </w:tc>
        <w:tc>
          <w:tcPr>
            <w:tcW w:w="760" w:type="dxa"/>
            <w:vAlign w:val="bottom"/>
            <w:gridSpan w:val="6"/>
            <w:shd w:val="clear" w:color="auto" w:fill="551A8B"/>
          </w:tcPr>
          <w:p>
            <w:pPr>
              <w:spacing w:after="0" w:line="20" w:lineRule="exact"/>
              <w:rPr>
                <w:sz w:val="1"/>
                <w:szCs w:val="1"/>
                <w:color w:val="auto"/>
              </w:rPr>
            </w:pPr>
          </w:p>
        </w:tc>
        <w:tc>
          <w:tcPr>
            <w:tcW w:w="620" w:type="dxa"/>
            <w:vAlign w:val="bottom"/>
            <w:gridSpan w:val="7"/>
            <w:shd w:val="clear" w:color="auto" w:fill="551A8B"/>
          </w:tcPr>
          <w:p>
            <w:pPr>
              <w:spacing w:after="0" w:line="20" w:lineRule="exact"/>
              <w:rPr>
                <w:sz w:val="1"/>
                <w:szCs w:val="1"/>
                <w:color w:val="auto"/>
              </w:rPr>
            </w:pPr>
          </w:p>
        </w:tc>
        <w:tc>
          <w:tcPr>
            <w:tcW w:w="160" w:type="dxa"/>
            <w:vAlign w:val="bottom"/>
            <w:tcBorders>
              <w:right w:val="single" w:sz="8" w:color="551A8B"/>
            </w:tcBorders>
            <w:gridSpan w:val="2"/>
            <w:shd w:val="clear" w:color="auto" w:fill="551A8B"/>
          </w:tcPr>
          <w:p>
            <w:pPr>
              <w:spacing w:after="0" w:line="20" w:lineRule="exact"/>
              <w:rPr>
                <w:sz w:val="1"/>
                <w:szCs w:val="1"/>
                <w:color w:val="auto"/>
              </w:rPr>
            </w:pPr>
          </w:p>
        </w:tc>
        <w:tc>
          <w:tcPr>
            <w:tcW w:w="1340" w:type="dxa"/>
            <w:vAlign w:val="bottom"/>
            <w:gridSpan w:val="12"/>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60" w:type="dxa"/>
            <w:vAlign w:val="bottom"/>
            <w:shd w:val="clear" w:color="auto" w:fill="551A8B"/>
          </w:tcPr>
          <w:p>
            <w:pPr>
              <w:spacing w:after="0" w:line="20" w:lineRule="exact"/>
              <w:rPr>
                <w:sz w:val="1"/>
                <w:szCs w:val="1"/>
                <w:color w:val="auto"/>
              </w:rPr>
            </w:pPr>
          </w:p>
        </w:tc>
        <w:tc>
          <w:tcPr>
            <w:tcW w:w="60" w:type="dxa"/>
            <w:vAlign w:val="bottom"/>
            <w:tcBorders>
              <w:right w:val="single" w:sz="8" w:color="551A8B"/>
            </w:tcBorders>
          </w:tcPr>
          <w:p>
            <w:pPr>
              <w:spacing w:after="0" w:line="20" w:lineRule="exact"/>
              <w:rPr>
                <w:sz w:val="1"/>
                <w:szCs w:val="1"/>
                <w:color w:val="auto"/>
              </w:rPr>
            </w:pPr>
          </w:p>
        </w:tc>
        <w:tc>
          <w:tcPr>
            <w:tcW w:w="60" w:type="dxa"/>
            <w:vAlign w:val="bottom"/>
            <w:tcBorders>
              <w:left w:val="single" w:sz="8" w:color="551A8B"/>
              <w:right w:val="single" w:sz="8" w:color="551A8B"/>
            </w:tcBorders>
            <w:shd w:val="clear" w:color="auto" w:fill="551A8B"/>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rPr>
              <w:t>and15d-14(a) of the Securities Exchange Act of 1934, as amended</w:t>
            </w:r>
          </w:p>
        </w:tc>
      </w:tr>
      <w:tr>
        <w:trPr>
          <w:trHeight w:val="20"/>
        </w:trPr>
        <w:tc>
          <w:tcPr>
            <w:tcW w:w="280" w:type="dxa"/>
            <w:vAlign w:val="bottom"/>
          </w:tcPr>
          <w:p>
            <w:pPr>
              <w:spacing w:after="0" w:line="20" w:lineRule="exact"/>
              <w:rPr>
                <w:sz w:val="1"/>
                <w:szCs w:val="1"/>
                <w:color w:val="auto"/>
              </w:rPr>
            </w:pPr>
          </w:p>
        </w:tc>
        <w:tc>
          <w:tcPr>
            <w:tcW w:w="620" w:type="dxa"/>
            <w:vAlign w:val="bottom"/>
            <w:tcBorders>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320" w:type="dxa"/>
            <w:vAlign w:val="bottom"/>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551A8B"/>
          </w:tcPr>
          <w:p>
            <w:pPr>
              <w:spacing w:after="0" w:line="20" w:lineRule="exact"/>
              <w:rPr>
                <w:sz w:val="1"/>
                <w:szCs w:val="1"/>
                <w:color w:val="auto"/>
              </w:rPr>
            </w:pPr>
          </w:p>
        </w:tc>
        <w:tc>
          <w:tcPr>
            <w:tcW w:w="760" w:type="dxa"/>
            <w:vAlign w:val="bottom"/>
            <w:gridSpan w:val="6"/>
            <w:shd w:val="clear" w:color="auto" w:fill="551A8B"/>
          </w:tcPr>
          <w:p>
            <w:pPr>
              <w:spacing w:after="0" w:line="20" w:lineRule="exact"/>
              <w:rPr>
                <w:sz w:val="1"/>
                <w:szCs w:val="1"/>
                <w:color w:val="auto"/>
              </w:rPr>
            </w:pPr>
          </w:p>
        </w:tc>
        <w:tc>
          <w:tcPr>
            <w:tcW w:w="560" w:type="dxa"/>
            <w:vAlign w:val="bottom"/>
            <w:gridSpan w:val="6"/>
            <w:shd w:val="clear" w:color="auto" w:fill="551A8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551A8B"/>
            </w:tcBorders>
            <w:shd w:val="clear" w:color="auto" w:fill="551A8B"/>
          </w:tcPr>
          <w:p>
            <w:pPr>
              <w:spacing w:after="0" w:line="20" w:lineRule="exact"/>
              <w:rPr>
                <w:sz w:val="1"/>
                <w:szCs w:val="1"/>
                <w:color w:val="auto"/>
              </w:rPr>
            </w:pPr>
          </w:p>
        </w:tc>
        <w:tc>
          <w:tcPr>
            <w:tcW w:w="740" w:type="dxa"/>
            <w:vAlign w:val="bottom"/>
            <w:gridSpan w:val="8"/>
            <w:shd w:val="clear" w:color="auto" w:fill="551A8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120" w:type="dxa"/>
            <w:vAlign w:val="bottom"/>
            <w:tcBorders>
              <w:right w:val="single" w:sz="8" w:color="551A8B"/>
            </w:tcBorders>
            <w:gridSpan w:val="2"/>
            <w:shd w:val="clear" w:color="auto" w:fill="551A8B"/>
          </w:tcPr>
          <w:p>
            <w:pPr>
              <w:spacing w:after="0" w:line="20" w:lineRule="exact"/>
              <w:rPr>
                <w:sz w:val="1"/>
                <w:szCs w:val="1"/>
                <w:color w:val="auto"/>
              </w:rPr>
            </w:pPr>
          </w:p>
        </w:tc>
        <w:tc>
          <w:tcPr>
            <w:tcW w:w="260" w:type="dxa"/>
            <w:vAlign w:val="bottom"/>
            <w:tcBorders>
              <w:left w:val="single" w:sz="8" w:color="551A8B"/>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551A8B"/>
                <w:w w:val="85"/>
              </w:rPr>
              <w:t>32.</w:t>
            </w:r>
            <w:r>
              <w:rPr>
                <w:rFonts w:ascii="Times New Roman" w:cs="Times New Roman" w:eastAsia="Times New Roman" w:hAnsi="Times New Roman"/>
                <w:sz w:val="16"/>
                <w:szCs w:val="16"/>
                <w:u w:val="single" w:color="auto"/>
                <w:color w:val="551A8B"/>
                <w:w w:val="85"/>
              </w:rPr>
              <w:t>1</w:t>
            </w:r>
          </w:p>
        </w:tc>
        <w:tc>
          <w:tcPr>
            <w:tcW w:w="620" w:type="dxa"/>
            <w:vAlign w:val="bottom"/>
          </w:tcPr>
          <w:p>
            <w:pPr>
              <w:spacing w:after="0"/>
              <w:rPr>
                <w:sz w:val="15"/>
                <w:szCs w:val="15"/>
                <w:color w:val="auto"/>
              </w:rPr>
            </w:pPr>
          </w:p>
        </w:tc>
        <w:tc>
          <w:tcPr>
            <w:tcW w:w="4500" w:type="dxa"/>
            <w:vAlign w:val="bottom"/>
            <w:gridSpan w:val="43"/>
          </w:tcPr>
          <w:p>
            <w:pPr>
              <w:spacing w:after="0" w:line="179" w:lineRule="exact"/>
              <w:rPr>
                <w:sz w:val="20"/>
                <w:szCs w:val="20"/>
                <w:color w:val="auto"/>
              </w:rPr>
            </w:pPr>
            <w:r>
              <w:rPr>
                <w:rFonts w:ascii="Times New Roman" w:cs="Times New Roman" w:eastAsia="Times New Roman" w:hAnsi="Times New Roman"/>
                <w:sz w:val="16"/>
                <w:szCs w:val="16"/>
                <w:color w:val="551A8B"/>
                <w:w w:val="98"/>
              </w:rPr>
              <w:t>Certification of Chief Executive Officer, pursuant to 18 U.S.C. Section</w:t>
            </w:r>
          </w:p>
        </w:tc>
      </w:tr>
      <w:tr>
        <w:trPr>
          <w:trHeight w:val="20"/>
        </w:trPr>
        <w:tc>
          <w:tcPr>
            <w:tcW w:w="280" w:type="dxa"/>
            <w:vAlign w:val="bottom"/>
            <w:shd w:val="clear" w:color="auto" w:fill="551A8B"/>
          </w:tcPr>
          <w:p>
            <w:pPr>
              <w:spacing w:after="0" w:line="20" w:lineRule="exact"/>
              <w:rPr>
                <w:sz w:val="1"/>
                <w:szCs w:val="1"/>
                <w:color w:val="auto"/>
              </w:rPr>
            </w:pPr>
          </w:p>
        </w:tc>
        <w:tc>
          <w:tcPr>
            <w:tcW w:w="620" w:type="dxa"/>
            <w:vAlign w:val="bottom"/>
            <w:tcBorders>
              <w:left w:val="single" w:sz="8" w:color="551A8B"/>
              <w:right w:val="single" w:sz="8" w:color="551A8B"/>
            </w:tcBorders>
          </w:tcPr>
          <w:p>
            <w:pPr>
              <w:spacing w:after="0" w:line="20" w:lineRule="exact"/>
              <w:rPr>
                <w:sz w:val="1"/>
                <w:szCs w:val="1"/>
                <w:color w:val="auto"/>
              </w:rPr>
            </w:pPr>
          </w:p>
        </w:tc>
        <w:tc>
          <w:tcPr>
            <w:tcW w:w="280" w:type="dxa"/>
            <w:vAlign w:val="bottom"/>
            <w:shd w:val="clear" w:color="auto" w:fill="551A8B"/>
          </w:tcPr>
          <w:p>
            <w:pPr>
              <w:spacing w:after="0" w:line="20" w:lineRule="exact"/>
              <w:rPr>
                <w:sz w:val="1"/>
                <w:szCs w:val="1"/>
                <w:color w:val="auto"/>
              </w:rPr>
            </w:pPr>
          </w:p>
        </w:tc>
        <w:tc>
          <w:tcPr>
            <w:tcW w:w="40" w:type="dxa"/>
            <w:vAlign w:val="bottom"/>
            <w:tcBorders>
              <w:right w:val="single" w:sz="8" w:color="551A8B"/>
            </w:tcBorders>
            <w:shd w:val="clear" w:color="auto" w:fill="551A8B"/>
          </w:tcPr>
          <w:p>
            <w:pPr>
              <w:spacing w:after="0" w:line="20" w:lineRule="exact"/>
              <w:rPr>
                <w:sz w:val="1"/>
                <w:szCs w:val="1"/>
                <w:color w:val="auto"/>
              </w:rPr>
            </w:pPr>
          </w:p>
        </w:tc>
        <w:tc>
          <w:tcPr>
            <w:tcW w:w="480" w:type="dxa"/>
            <w:vAlign w:val="bottom"/>
            <w:gridSpan w:val="4"/>
            <w:shd w:val="clear" w:color="auto" w:fill="551A8B"/>
          </w:tcPr>
          <w:p>
            <w:pPr>
              <w:spacing w:after="0" w:line="20" w:lineRule="exact"/>
              <w:rPr>
                <w:sz w:val="1"/>
                <w:szCs w:val="1"/>
                <w:color w:val="auto"/>
              </w:rPr>
            </w:pPr>
          </w:p>
        </w:tc>
        <w:tc>
          <w:tcPr>
            <w:tcW w:w="280" w:type="dxa"/>
            <w:vAlign w:val="bottom"/>
            <w:gridSpan w:val="3"/>
            <w:shd w:val="clear" w:color="auto" w:fill="551A8B"/>
          </w:tcPr>
          <w:p>
            <w:pPr>
              <w:spacing w:after="0" w:line="20" w:lineRule="exact"/>
              <w:rPr>
                <w:sz w:val="1"/>
                <w:szCs w:val="1"/>
                <w:color w:val="auto"/>
              </w:rPr>
            </w:pPr>
          </w:p>
        </w:tc>
        <w:tc>
          <w:tcPr>
            <w:tcW w:w="760" w:type="dxa"/>
            <w:vAlign w:val="bottom"/>
            <w:gridSpan w:val="6"/>
            <w:shd w:val="clear" w:color="auto" w:fill="551A8B"/>
          </w:tcPr>
          <w:p>
            <w:pPr>
              <w:spacing w:after="0" w:line="20" w:lineRule="exact"/>
              <w:rPr>
                <w:sz w:val="1"/>
                <w:szCs w:val="1"/>
                <w:color w:val="auto"/>
              </w:rPr>
            </w:pPr>
          </w:p>
        </w:tc>
        <w:tc>
          <w:tcPr>
            <w:tcW w:w="620" w:type="dxa"/>
            <w:vAlign w:val="bottom"/>
            <w:gridSpan w:val="7"/>
            <w:shd w:val="clear" w:color="auto" w:fill="551A8B"/>
          </w:tcPr>
          <w:p>
            <w:pPr>
              <w:spacing w:after="0" w:line="20" w:lineRule="exact"/>
              <w:rPr>
                <w:sz w:val="1"/>
                <w:szCs w:val="1"/>
                <w:color w:val="auto"/>
              </w:rPr>
            </w:pPr>
          </w:p>
        </w:tc>
        <w:tc>
          <w:tcPr>
            <w:tcW w:w="40" w:type="dxa"/>
            <w:vAlign w:val="bottom"/>
            <w:shd w:val="clear" w:color="auto" w:fill="551A8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12"/>
            <w:shd w:val="clear" w:color="auto" w:fill="551A8B"/>
          </w:tcPr>
          <w:p>
            <w:pPr>
              <w:spacing w:after="0" w:line="20" w:lineRule="exact"/>
              <w:rPr>
                <w:sz w:val="1"/>
                <w:szCs w:val="1"/>
                <w:color w:val="auto"/>
              </w:rPr>
            </w:pPr>
          </w:p>
        </w:tc>
        <w:tc>
          <w:tcPr>
            <w:tcW w:w="100" w:type="dxa"/>
            <w:vAlign w:val="bottom"/>
            <w:tcBorders>
              <w:right w:val="single" w:sz="8" w:color="551A8B"/>
            </w:tcBorders>
            <w:shd w:val="clear" w:color="auto" w:fill="551A8B"/>
          </w:tcPr>
          <w:p>
            <w:pPr>
              <w:spacing w:after="0" w:line="20" w:lineRule="exact"/>
              <w:rPr>
                <w:sz w:val="1"/>
                <w:szCs w:val="1"/>
                <w:color w:val="auto"/>
              </w:rPr>
            </w:pPr>
          </w:p>
        </w:tc>
        <w:tc>
          <w:tcPr>
            <w:tcW w:w="380" w:type="dxa"/>
            <w:vAlign w:val="bottom"/>
            <w:gridSpan w:val="5"/>
            <w:shd w:val="clear" w:color="auto" w:fill="551A8B"/>
          </w:tcPr>
          <w:p>
            <w:pPr>
              <w:spacing w:after="0" w:line="20" w:lineRule="exact"/>
              <w:rPr>
                <w:sz w:val="1"/>
                <w:szCs w:val="1"/>
                <w:color w:val="auto"/>
              </w:rPr>
            </w:pPr>
          </w:p>
        </w:tc>
        <w:tc>
          <w:tcPr>
            <w:tcW w:w="60" w:type="dxa"/>
            <w:vAlign w:val="bottom"/>
            <w:tcBorders>
              <w:left w:val="single" w:sz="8" w:color="551A8B"/>
            </w:tcBorders>
          </w:tcPr>
          <w:p>
            <w:pPr>
              <w:spacing w:after="0" w:line="20" w:lineRule="exact"/>
              <w:rPr>
                <w:sz w:val="1"/>
                <w:szCs w:val="1"/>
                <w:color w:val="auto"/>
              </w:rPr>
            </w:pPr>
          </w:p>
        </w:tc>
      </w:tr>
      <w:tr>
        <w:trPr>
          <w:trHeight w:val="180"/>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w w:val="98"/>
              </w:rPr>
              <w:t>1350, as adopted pursuant to Section 906 of the Sarbanes-Oxley Act of</w:t>
            </w:r>
          </w:p>
        </w:tc>
      </w:tr>
      <w:tr>
        <w:trPr>
          <w:trHeight w:val="180"/>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Borders>
              <w:top w:val="single" w:sz="8" w:color="551A8B"/>
              <w:bottom w:val="single" w:sz="8" w:color="551A8B"/>
            </w:tcBorders>
            <w:gridSpan w:val="2"/>
          </w:tcPr>
          <w:p>
            <w:pPr>
              <w:spacing w:after="0" w:line="181" w:lineRule="exact"/>
              <w:rPr>
                <w:sz w:val="20"/>
                <w:szCs w:val="20"/>
                <w:color w:val="auto"/>
              </w:rPr>
            </w:pPr>
            <w:r>
              <w:rPr>
                <w:rFonts w:ascii="Times New Roman" w:cs="Times New Roman" w:eastAsia="Times New Roman" w:hAnsi="Times New Roman"/>
                <w:sz w:val="16"/>
                <w:szCs w:val="16"/>
                <w:color w:val="551A8B"/>
                <w:w w:val="87"/>
              </w:rPr>
              <w:t>2002</w:t>
            </w:r>
          </w:p>
        </w:tc>
        <w:tc>
          <w:tcPr>
            <w:tcW w:w="3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20" w:type="dxa"/>
            <w:vAlign w:val="bottom"/>
            <w:tcBorders>
              <w:top w:val="single" w:sz="8" w:color="551A8B"/>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160" w:type="dxa"/>
            <w:vAlign w:val="bottom"/>
            <w:tcBorders>
              <w:top w:val="single" w:sz="8" w:color="551A8B"/>
            </w:tcBorders>
          </w:tcPr>
          <w:p>
            <w:pPr>
              <w:spacing w:after="0"/>
              <w:rPr>
                <w:sz w:val="15"/>
                <w:szCs w:val="15"/>
                <w:color w:val="auto"/>
              </w:rPr>
            </w:pPr>
          </w:p>
        </w:tc>
        <w:tc>
          <w:tcPr>
            <w:tcW w:w="420" w:type="dxa"/>
            <w:vAlign w:val="bottom"/>
            <w:tcBorders>
              <w:top w:val="single" w:sz="8" w:color="551A8B"/>
            </w:tcBorders>
          </w:tcPr>
          <w:p>
            <w:pPr>
              <w:spacing w:after="0"/>
              <w:rPr>
                <w:sz w:val="15"/>
                <w:szCs w:val="15"/>
                <w:color w:val="auto"/>
              </w:rPr>
            </w:pPr>
          </w:p>
        </w:tc>
        <w:tc>
          <w:tcPr>
            <w:tcW w:w="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20" w:type="dxa"/>
            <w:vAlign w:val="bottom"/>
            <w:tcBorders>
              <w:top w:val="single" w:sz="8" w:color="551A8B"/>
            </w:tcBorders>
          </w:tcPr>
          <w:p>
            <w:pPr>
              <w:spacing w:after="0"/>
              <w:rPr>
                <w:sz w:val="15"/>
                <w:szCs w:val="15"/>
                <w:color w:val="auto"/>
              </w:rPr>
            </w:pPr>
          </w:p>
        </w:tc>
        <w:tc>
          <w:tcPr>
            <w:tcW w:w="180" w:type="dxa"/>
            <w:vAlign w:val="bottom"/>
            <w:tcBorders>
              <w:top w:val="single" w:sz="8" w:color="551A8B"/>
            </w:tcBorders>
          </w:tcPr>
          <w:p>
            <w:pPr>
              <w:spacing w:after="0"/>
              <w:rPr>
                <w:sz w:val="15"/>
                <w:szCs w:val="15"/>
                <w:color w:val="auto"/>
              </w:rPr>
            </w:pPr>
          </w:p>
        </w:tc>
        <w:tc>
          <w:tcPr>
            <w:tcW w:w="10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10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3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28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200" w:type="dxa"/>
            <w:vAlign w:val="bottom"/>
            <w:tcBorders>
              <w:top w:val="single" w:sz="8" w:color="551A8B"/>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r>
      <w:tr>
        <w:trPr>
          <w:trHeight w:val="179"/>
        </w:trPr>
        <w:tc>
          <w:tcPr>
            <w:tcW w:w="2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551A8B"/>
                <w:w w:val="85"/>
              </w:rPr>
              <w:t>32.</w:t>
            </w:r>
            <w:r>
              <w:rPr>
                <w:rFonts w:ascii="Times New Roman" w:cs="Times New Roman" w:eastAsia="Times New Roman" w:hAnsi="Times New Roman"/>
                <w:sz w:val="16"/>
                <w:szCs w:val="16"/>
                <w:u w:val="single" w:color="auto"/>
                <w:color w:val="551A8B"/>
                <w:w w:val="85"/>
              </w:rPr>
              <w:t>2</w:t>
            </w:r>
          </w:p>
        </w:tc>
        <w:tc>
          <w:tcPr>
            <w:tcW w:w="620" w:type="dxa"/>
            <w:vAlign w:val="bottom"/>
          </w:tcPr>
          <w:p>
            <w:pPr>
              <w:spacing w:after="0"/>
              <w:rPr>
                <w:sz w:val="15"/>
                <w:szCs w:val="15"/>
                <w:color w:val="auto"/>
              </w:rPr>
            </w:pPr>
          </w:p>
        </w:tc>
        <w:tc>
          <w:tcPr>
            <w:tcW w:w="4500" w:type="dxa"/>
            <w:vAlign w:val="bottom"/>
            <w:gridSpan w:val="43"/>
          </w:tcPr>
          <w:p>
            <w:pPr>
              <w:spacing w:after="0" w:line="179" w:lineRule="exact"/>
              <w:rPr>
                <w:sz w:val="20"/>
                <w:szCs w:val="20"/>
                <w:color w:val="auto"/>
              </w:rPr>
            </w:pPr>
            <w:r>
              <w:rPr>
                <w:rFonts w:ascii="Times New Roman" w:cs="Times New Roman" w:eastAsia="Times New Roman" w:hAnsi="Times New Roman"/>
                <w:sz w:val="16"/>
                <w:szCs w:val="16"/>
                <w:color w:val="551A8B"/>
                <w:w w:val="99"/>
              </w:rPr>
              <w:t>Certification of Chief Financial Officer, pursuant to 18 U.S.C. Section</w:t>
            </w:r>
          </w:p>
        </w:tc>
      </w:tr>
      <w:tr>
        <w:trPr>
          <w:trHeight w:val="20"/>
        </w:trPr>
        <w:tc>
          <w:tcPr>
            <w:tcW w:w="280" w:type="dxa"/>
            <w:vAlign w:val="bottom"/>
            <w:shd w:val="clear" w:color="auto" w:fill="551A8B"/>
          </w:tcPr>
          <w:p>
            <w:pPr>
              <w:spacing w:after="0" w:line="20" w:lineRule="exact"/>
              <w:rPr>
                <w:sz w:val="1"/>
                <w:szCs w:val="1"/>
                <w:color w:val="auto"/>
              </w:rPr>
            </w:pPr>
          </w:p>
        </w:tc>
        <w:tc>
          <w:tcPr>
            <w:tcW w:w="620" w:type="dxa"/>
            <w:vAlign w:val="bottom"/>
            <w:tcBorders>
              <w:left w:val="single" w:sz="8" w:color="551A8B"/>
              <w:right w:val="single" w:sz="8" w:color="551A8B"/>
            </w:tcBorders>
          </w:tcPr>
          <w:p>
            <w:pPr>
              <w:spacing w:after="0" w:line="20" w:lineRule="exact"/>
              <w:rPr>
                <w:sz w:val="1"/>
                <w:szCs w:val="1"/>
                <w:color w:val="auto"/>
              </w:rPr>
            </w:pPr>
          </w:p>
        </w:tc>
        <w:tc>
          <w:tcPr>
            <w:tcW w:w="1840" w:type="dxa"/>
            <w:vAlign w:val="bottom"/>
            <w:gridSpan w:val="15"/>
            <w:shd w:val="clear" w:color="auto" w:fill="551A8B"/>
          </w:tcPr>
          <w:p>
            <w:pPr>
              <w:spacing w:after="0" w:line="20" w:lineRule="exact"/>
              <w:rPr>
                <w:sz w:val="1"/>
                <w:szCs w:val="1"/>
                <w:color w:val="auto"/>
              </w:rPr>
            </w:pPr>
          </w:p>
        </w:tc>
        <w:tc>
          <w:tcPr>
            <w:tcW w:w="620" w:type="dxa"/>
            <w:vAlign w:val="bottom"/>
            <w:gridSpan w:val="7"/>
            <w:shd w:val="clear" w:color="auto" w:fill="551A8B"/>
          </w:tcPr>
          <w:p>
            <w:pPr>
              <w:spacing w:after="0" w:line="20" w:lineRule="exact"/>
              <w:rPr>
                <w:sz w:val="1"/>
                <w:szCs w:val="1"/>
                <w:color w:val="auto"/>
              </w:rPr>
            </w:pPr>
          </w:p>
        </w:tc>
        <w:tc>
          <w:tcPr>
            <w:tcW w:w="160" w:type="dxa"/>
            <w:vAlign w:val="bottom"/>
            <w:tcBorders>
              <w:right w:val="single" w:sz="8" w:color="551A8B"/>
            </w:tcBorders>
            <w:gridSpan w:val="2"/>
          </w:tcPr>
          <w:p>
            <w:pPr>
              <w:spacing w:after="0" w:line="20" w:lineRule="exact"/>
              <w:rPr>
                <w:sz w:val="1"/>
                <w:szCs w:val="1"/>
                <w:color w:val="auto"/>
              </w:rPr>
            </w:pPr>
          </w:p>
        </w:tc>
        <w:tc>
          <w:tcPr>
            <w:tcW w:w="1820" w:type="dxa"/>
            <w:vAlign w:val="bottom"/>
            <w:gridSpan w:val="18"/>
            <w:shd w:val="clear" w:color="auto" w:fill="551A8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00" w:type="dxa"/>
            <w:vAlign w:val="bottom"/>
            <w:gridSpan w:val="43"/>
          </w:tcPr>
          <w:p>
            <w:pPr>
              <w:spacing w:after="0" w:line="181" w:lineRule="exact"/>
              <w:rPr>
                <w:sz w:val="20"/>
                <w:szCs w:val="20"/>
                <w:color w:val="auto"/>
              </w:rPr>
            </w:pPr>
            <w:r>
              <w:rPr>
                <w:rFonts w:ascii="Times New Roman" w:cs="Times New Roman" w:eastAsia="Times New Roman" w:hAnsi="Times New Roman"/>
                <w:sz w:val="16"/>
                <w:szCs w:val="16"/>
                <w:color w:val="551A8B"/>
                <w:w w:val="98"/>
              </w:rPr>
              <w:t>1350, as adopted pursuant to Section 906 of the Sarbanes-Oxley Act of</w:t>
            </w:r>
          </w:p>
        </w:tc>
      </w:tr>
      <w:tr>
        <w:trPr>
          <w:trHeight w:val="180"/>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Borders>
              <w:top w:val="single" w:sz="8" w:color="551A8B"/>
              <w:bottom w:val="single" w:sz="8" w:color="551A8B"/>
            </w:tcBorders>
          </w:tcPr>
          <w:p>
            <w:pPr>
              <w:spacing w:after="0" w:line="181" w:lineRule="exact"/>
              <w:rPr>
                <w:sz w:val="20"/>
                <w:szCs w:val="20"/>
                <w:color w:val="auto"/>
              </w:rPr>
            </w:pPr>
            <w:r>
              <w:rPr>
                <w:rFonts w:ascii="Times New Roman" w:cs="Times New Roman" w:eastAsia="Times New Roman" w:hAnsi="Times New Roman"/>
                <w:sz w:val="16"/>
                <w:szCs w:val="16"/>
                <w:color w:val="551A8B"/>
                <w:w w:val="81"/>
              </w:rPr>
              <w:t>2002</w:t>
            </w:r>
          </w:p>
        </w:tc>
        <w:tc>
          <w:tcPr>
            <w:tcW w:w="40" w:type="dxa"/>
            <w:vAlign w:val="bottom"/>
            <w:tcBorders>
              <w:top w:val="single" w:sz="8" w:color="551A8B"/>
            </w:tcBorders>
          </w:tcPr>
          <w:p>
            <w:pPr>
              <w:spacing w:after="0"/>
              <w:rPr>
                <w:sz w:val="15"/>
                <w:szCs w:val="15"/>
                <w:color w:val="auto"/>
              </w:rPr>
            </w:pPr>
          </w:p>
        </w:tc>
        <w:tc>
          <w:tcPr>
            <w:tcW w:w="3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20" w:type="dxa"/>
            <w:vAlign w:val="bottom"/>
            <w:tcBorders>
              <w:top w:val="single" w:sz="8" w:color="551A8B"/>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160" w:type="dxa"/>
            <w:vAlign w:val="bottom"/>
            <w:tcBorders>
              <w:top w:val="single" w:sz="8" w:color="551A8B"/>
            </w:tcBorders>
          </w:tcPr>
          <w:p>
            <w:pPr>
              <w:spacing w:after="0"/>
              <w:rPr>
                <w:sz w:val="15"/>
                <w:szCs w:val="15"/>
                <w:color w:val="auto"/>
              </w:rPr>
            </w:pPr>
          </w:p>
        </w:tc>
        <w:tc>
          <w:tcPr>
            <w:tcW w:w="420" w:type="dxa"/>
            <w:vAlign w:val="bottom"/>
            <w:tcBorders>
              <w:top w:val="single" w:sz="8" w:color="551A8B"/>
            </w:tcBorders>
          </w:tcPr>
          <w:p>
            <w:pPr>
              <w:spacing w:after="0"/>
              <w:rPr>
                <w:sz w:val="15"/>
                <w:szCs w:val="15"/>
                <w:color w:val="auto"/>
              </w:rPr>
            </w:pPr>
          </w:p>
        </w:tc>
        <w:tc>
          <w:tcPr>
            <w:tcW w:w="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20" w:type="dxa"/>
            <w:vAlign w:val="bottom"/>
            <w:tcBorders>
              <w:top w:val="single" w:sz="8" w:color="551A8B"/>
            </w:tcBorders>
          </w:tcPr>
          <w:p>
            <w:pPr>
              <w:spacing w:after="0"/>
              <w:rPr>
                <w:sz w:val="15"/>
                <w:szCs w:val="15"/>
                <w:color w:val="auto"/>
              </w:rPr>
            </w:pPr>
          </w:p>
        </w:tc>
        <w:tc>
          <w:tcPr>
            <w:tcW w:w="180" w:type="dxa"/>
            <w:vAlign w:val="bottom"/>
            <w:tcBorders>
              <w:top w:val="single" w:sz="8" w:color="551A8B"/>
            </w:tcBorders>
          </w:tcPr>
          <w:p>
            <w:pPr>
              <w:spacing w:after="0"/>
              <w:rPr>
                <w:sz w:val="15"/>
                <w:szCs w:val="15"/>
                <w:color w:val="auto"/>
              </w:rPr>
            </w:pPr>
          </w:p>
        </w:tc>
        <w:tc>
          <w:tcPr>
            <w:tcW w:w="10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10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320" w:type="dxa"/>
            <w:vAlign w:val="bottom"/>
            <w:tcBorders>
              <w:top w:val="single" w:sz="8" w:color="551A8B"/>
            </w:tcBorders>
          </w:tcPr>
          <w:p>
            <w:pPr>
              <w:spacing w:after="0"/>
              <w:rPr>
                <w:sz w:val="15"/>
                <w:szCs w:val="15"/>
                <w:color w:val="auto"/>
              </w:rPr>
            </w:pPr>
          </w:p>
        </w:tc>
        <w:tc>
          <w:tcPr>
            <w:tcW w:w="40" w:type="dxa"/>
            <w:vAlign w:val="bottom"/>
            <w:tcBorders>
              <w:top w:val="single" w:sz="8" w:color="551A8B"/>
            </w:tcBorders>
          </w:tcPr>
          <w:p>
            <w:pPr>
              <w:spacing w:after="0"/>
              <w:rPr>
                <w:sz w:val="15"/>
                <w:szCs w:val="15"/>
                <w:color w:val="auto"/>
              </w:rPr>
            </w:pPr>
          </w:p>
        </w:tc>
        <w:tc>
          <w:tcPr>
            <w:tcW w:w="28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200" w:type="dxa"/>
            <w:vAlign w:val="bottom"/>
            <w:tcBorders>
              <w:top w:val="single" w:sz="8" w:color="551A8B"/>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c>
          <w:tcPr>
            <w:tcW w:w="120" w:type="dxa"/>
            <w:vAlign w:val="bottom"/>
            <w:tcBorders>
              <w:top w:val="single" w:sz="8" w:color="551A8B"/>
            </w:tcBorders>
          </w:tcPr>
          <w:p>
            <w:pPr>
              <w:spacing w:after="0"/>
              <w:rPr>
                <w:sz w:val="15"/>
                <w:szCs w:val="15"/>
                <w:color w:val="auto"/>
              </w:rPr>
            </w:pPr>
          </w:p>
        </w:tc>
        <w:tc>
          <w:tcPr>
            <w:tcW w:w="80" w:type="dxa"/>
            <w:vAlign w:val="bottom"/>
            <w:tcBorders>
              <w:top w:val="single" w:sz="8" w:color="551A8B"/>
            </w:tcBorders>
          </w:tcPr>
          <w:p>
            <w:pPr>
              <w:spacing w:after="0"/>
              <w:rPr>
                <w:sz w:val="15"/>
                <w:szCs w:val="15"/>
                <w:color w:val="auto"/>
              </w:rPr>
            </w:pPr>
          </w:p>
        </w:tc>
        <w:tc>
          <w:tcPr>
            <w:tcW w:w="60" w:type="dxa"/>
            <w:vAlign w:val="bottom"/>
            <w:tcBorders>
              <w:top w:val="single" w:sz="8" w:color="551A8B"/>
            </w:tcBorders>
          </w:tcPr>
          <w:p>
            <w:pPr>
              <w:spacing w:after="0"/>
              <w:rPr>
                <w:sz w:val="15"/>
                <w:szCs w:val="15"/>
                <w:color w:val="auto"/>
              </w:rPr>
            </w:pPr>
          </w:p>
        </w:tc>
      </w:tr>
      <w:tr>
        <w:trPr>
          <w:trHeight w:val="179"/>
        </w:trPr>
        <w:tc>
          <w:tcPr>
            <w:tcW w:w="2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551A8B"/>
                <w:w w:val="85"/>
              </w:rPr>
              <w:t>97.</w:t>
            </w:r>
            <w:r>
              <w:rPr>
                <w:rFonts w:ascii="Times New Roman" w:cs="Times New Roman" w:eastAsia="Times New Roman" w:hAnsi="Times New Roman"/>
                <w:sz w:val="16"/>
                <w:szCs w:val="16"/>
                <w:u w:val="single" w:color="auto"/>
                <w:color w:val="551A8B"/>
                <w:w w:val="85"/>
              </w:rPr>
              <w:t>1</w:t>
            </w:r>
          </w:p>
        </w:tc>
        <w:tc>
          <w:tcPr>
            <w:tcW w:w="620" w:type="dxa"/>
            <w:vAlign w:val="bottom"/>
          </w:tcPr>
          <w:p>
            <w:pPr>
              <w:spacing w:after="0"/>
              <w:rPr>
                <w:sz w:val="15"/>
                <w:szCs w:val="15"/>
                <w:color w:val="auto"/>
              </w:rPr>
            </w:pPr>
          </w:p>
        </w:tc>
        <w:tc>
          <w:tcPr>
            <w:tcW w:w="4500" w:type="dxa"/>
            <w:vAlign w:val="bottom"/>
            <w:gridSpan w:val="43"/>
          </w:tcPr>
          <w:p>
            <w:pPr>
              <w:spacing w:after="0" w:line="179" w:lineRule="exact"/>
              <w:rPr>
                <w:sz w:val="20"/>
                <w:szCs w:val="20"/>
                <w:color w:val="auto"/>
              </w:rPr>
            </w:pPr>
            <w:r>
              <w:rPr>
                <w:rFonts w:ascii="Times New Roman" w:cs="Times New Roman" w:eastAsia="Times New Roman" w:hAnsi="Times New Roman"/>
                <w:sz w:val="16"/>
                <w:szCs w:val="16"/>
                <w:color w:val="551A8B"/>
              </w:rPr>
              <w:t>Rule 10D-1 - Clawback Policy</w:t>
            </w:r>
          </w:p>
        </w:tc>
      </w:tr>
      <w:tr>
        <w:trPr>
          <w:trHeight w:val="20"/>
        </w:trPr>
        <w:tc>
          <w:tcPr>
            <w:tcW w:w="280" w:type="dxa"/>
            <w:vAlign w:val="bottom"/>
            <w:shd w:val="clear" w:color="auto" w:fill="551A8B"/>
          </w:tcPr>
          <w:p>
            <w:pPr>
              <w:spacing w:after="0" w:line="20" w:lineRule="exact"/>
              <w:rPr>
                <w:sz w:val="1"/>
                <w:szCs w:val="1"/>
                <w:color w:val="auto"/>
              </w:rPr>
            </w:pPr>
          </w:p>
        </w:tc>
        <w:tc>
          <w:tcPr>
            <w:tcW w:w="620" w:type="dxa"/>
            <w:vAlign w:val="bottom"/>
            <w:tcBorders>
              <w:right w:val="single" w:sz="8" w:color="551A8B"/>
            </w:tcBorders>
          </w:tcPr>
          <w:p>
            <w:pPr>
              <w:spacing w:after="0" w:line="20" w:lineRule="exact"/>
              <w:rPr>
                <w:sz w:val="1"/>
                <w:szCs w:val="1"/>
                <w:color w:val="auto"/>
              </w:rPr>
            </w:pPr>
          </w:p>
        </w:tc>
        <w:tc>
          <w:tcPr>
            <w:tcW w:w="1840" w:type="dxa"/>
            <w:vAlign w:val="bottom"/>
            <w:gridSpan w:val="15"/>
            <w:shd w:val="clear" w:color="auto" w:fill="551A8B"/>
          </w:tcPr>
          <w:p>
            <w:pPr>
              <w:spacing w:after="0" w:line="20" w:lineRule="exact"/>
              <w:rPr>
                <w:sz w:val="1"/>
                <w:szCs w:val="1"/>
                <w:color w:val="auto"/>
              </w:rPr>
            </w:pPr>
          </w:p>
        </w:tc>
        <w:tc>
          <w:tcPr>
            <w:tcW w:w="2660" w:type="dxa"/>
            <w:vAlign w:val="bottom"/>
            <w:gridSpan w:val="28"/>
          </w:tcPr>
          <w:p>
            <w:pPr>
              <w:spacing w:after="0" w:line="20" w:lineRule="exact"/>
              <w:rPr>
                <w:sz w:val="1"/>
                <w:szCs w:val="1"/>
                <w:color w:val="auto"/>
              </w:rPr>
            </w:pPr>
          </w:p>
        </w:tc>
      </w:tr>
      <w:tr>
        <w:trPr>
          <w:trHeight w:val="195"/>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Instance Document - - embedded within the Inline XBRL</w:t>
            </w:r>
          </w:p>
        </w:tc>
      </w:tr>
      <w:tr>
        <w:trPr>
          <w:trHeight w:val="200"/>
        </w:trPr>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199"/>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00"/>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00"/>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199"/>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06"/>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450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2453640</wp:posOffset>
                </wp:positionH>
                <wp:positionV relativeFrom="paragraph">
                  <wp:posOffset>-2296160</wp:posOffset>
                </wp:positionV>
                <wp:extent cx="95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2pt,-180.7999pt" to="193.95pt,-180.7999pt" o:allowincell="f" strokecolor="#0000EE" strokeweight="0.36pt"/>
            </w:pict>
          </mc:Fallback>
        </mc:AlternateContent>
        <w:drawing>
          <wp:anchor simplePos="0" relativeHeight="251657728" behindDoc="1" locked="0" layoutInCell="0" allowOverlap="1">
            <wp:simplePos x="0" y="0"/>
            <wp:positionH relativeFrom="column">
              <wp:posOffset>3317240</wp:posOffset>
            </wp:positionH>
            <wp:positionV relativeFrom="paragraph">
              <wp:posOffset>-2171065</wp:posOffset>
            </wp:positionV>
            <wp:extent cx="10160" cy="4763"/>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
                      <a:extLst>
                        <a:ext uri="{28A0092B-C50C-407E-A947-70E740481C1C}"/>
                      </a:extLst>
                    </a:blip>
                    <a:srcRect/>
                    <a:stretch>
                      <a:fillRect/>
                    </a:stretch>
                  </pic:blipFill>
                  <pic:spPr bwMode="auto">
                    <a:xfrm>
                      <a:off x="0" y="0"/>
                      <a:ext cx="10160" cy="4763"/>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-1917065</wp:posOffset>
            </wp:positionV>
            <wp:extent cx="10160" cy="4763"/>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
                      <a:extLst>
                        <a:ext uri="{28A0092B-C50C-407E-A947-70E740481C1C}"/>
                      </a:extLst>
                    </a:blip>
                    <a:srcRect/>
                    <a:stretch>
                      <a:fillRect/>
                    </a:stretch>
                  </pic:blipFill>
                  <pic:spPr bwMode="auto">
                    <a:xfrm>
                      <a:off x="0" y="0"/>
                      <a:ext cx="1016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2183765</wp:posOffset>
                </wp:positionH>
                <wp:positionV relativeFrom="paragraph">
                  <wp:posOffset>-1661795</wp:posOffset>
                </wp:positionV>
                <wp:extent cx="3048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95pt,-130.8499pt" to="174.35pt,-130.8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2158365</wp:posOffset>
                </wp:positionH>
                <wp:positionV relativeFrom="paragraph">
                  <wp:posOffset>-1280795</wp:posOffset>
                </wp:positionV>
                <wp:extent cx="2540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0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95pt,-100.8499pt" to="171.95pt,-100.8499pt" o:allowincell="f" strokecolor="#551A8B" strokeweight="0.36pt"/>
            </w:pict>
          </mc:Fallback>
        </mc:AlternateContent>
        <mc:AlternateContent>
          <mc:Choice Requires="wps">
            <w:drawing>
              <wp:anchor simplePos="0" relativeHeight="251657728" behindDoc="1" locked="0" layoutInCell="0" allowOverlap="1">
                <wp:simplePos x="0" y="0"/>
                <wp:positionH relativeFrom="column">
                  <wp:posOffset>1777365</wp:posOffset>
                </wp:positionH>
                <wp:positionV relativeFrom="paragraph">
                  <wp:posOffset>-899795</wp:posOffset>
                </wp:positionV>
                <wp:extent cx="2032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 cy="4763"/>
                        </a:xfrm>
                        <a:prstGeom prst="line">
                          <a:avLst/>
                        </a:prstGeom>
                        <a:solidFill>
                          <a:srgbClr val="FFFFFF"/>
                        </a:solidFill>
                        <a:ln w="4572">
                          <a:solidFill>
                            <a:srgbClr val="551A8B"/>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5pt,-70.8499pt" to="141.55pt,-70.8499pt" o:allowincell="f" strokecolor="#551A8B" strokeweight="0.36pt"/>
            </w:pict>
          </mc:Fallback>
        </mc:AlternateContent>
      </w:r>
    </w:p>
    <w:p>
      <w:pPr>
        <w:ind w:left="864" w:right="460" w:hanging="864"/>
        <w:spacing w:after="0" w:line="292" w:lineRule="auto"/>
        <w:tabs>
          <w:tab w:leader="none" w:pos="864"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XBRL tags are embedded within the Inline XBRL document.</w:t>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Management contract or compensatory plan or arrangement.</w:t>
      </w:r>
    </w:p>
    <w:p>
      <w:pPr>
        <w:spacing w:after="0" w:line="214"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Form 10–K Summary</w:t>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None.</w:t>
      </w:r>
    </w:p>
    <w:p>
      <w:pPr>
        <w:spacing w:after="0" w:line="168"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53224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14.35pt,3.85pt" o:allowincell="f" strokecolor="#000000" strokeweight="1.2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Incorporated by reference to Exhibit 99.2 to Form S-8 (Registration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333-203193) filed with the SEC on April 2, 2015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Incorporated by reference to Exhibit 10.11 to Form 10-K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 on August 20, 2015</w:t>
      </w:r>
    </w:p>
    <w:p>
      <w:pPr>
        <w:spacing w:after="0" w:line="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Incorporated by reference to Exhibit 10.12 to Form 10-K filed with the SEC on August 20, 2015</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Incorporated by reference to Exhibit 10.13 to Form 10-K filed with the SEC on August 20, 2015</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Incorporated by reference to Exhibit 10.14 to Form 10-K filed with the SEC on August 20, 2015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Incorporated by reference to Exhibit 10.11 to Form 10-K filed with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 on February 22, 2023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 to Exhibit 10.1 to form 8-K filed with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 on July 7, 2023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with this report.</w:t>
      </w:r>
    </w:p>
    <w:p>
      <w:pPr>
        <w:sectPr>
          <w:pgSz w:w="11900" w:h="16840" w:orient="portrait"/>
          <w:cols w:equalWidth="0" w:num="2">
            <w:col w:w="5484" w:space="160"/>
            <w:col w:w="4540"/>
          </w:cols>
          <w:pgMar w:left="816" w:top="893" w:right="904" w:bottom="1440" w:gutter="0" w:footer="0" w:header="0"/>
        </w:sectPr>
      </w:pPr>
    </w:p>
    <w:bookmarkStart w:id="142" w:name="page143"/>
    <w:bookmarkEnd w:id="142"/>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8" w:lineRule="exact"/>
        <w:rPr>
          <w:sz w:val="20"/>
          <w:szCs w:val="20"/>
          <w:color w:val="auto"/>
        </w:rPr>
      </w:pPr>
    </w:p>
    <w:p>
      <w:pPr>
        <w:ind w:firstLine="396"/>
        <w:spacing w:after="0" w:line="30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Shuki Nir</w:t>
            </w:r>
          </w:p>
        </w:tc>
      </w:tr>
      <w:tr>
        <w:trPr>
          <w:trHeight w:val="194"/>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Shuki Nir</w:t>
            </w:r>
          </w:p>
        </w:tc>
        <w:tc>
          <w:tcPr>
            <w:tcW w:w="720" w:type="dxa"/>
            <w:vAlign w:val="bottom"/>
          </w:tcPr>
          <w:p>
            <w:pPr>
              <w:spacing w:after="0"/>
              <w:rPr>
                <w:sz w:val="16"/>
                <w:szCs w:val="16"/>
                <w:color w:val="auto"/>
              </w:rPr>
            </w:pPr>
          </w:p>
        </w:tc>
      </w:tr>
      <w:tr>
        <w:trPr>
          <w:trHeight w:val="20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Chief Executive Officer</w:t>
            </w:r>
          </w:p>
        </w:tc>
      </w:tr>
      <w:tr>
        <w:trPr>
          <w:trHeight w:val="214"/>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3/23/2026</w:t>
            </w:r>
          </w:p>
        </w:tc>
        <w:tc>
          <w:tcPr>
            <w:tcW w:w="720" w:type="dxa"/>
            <w:vAlign w:val="bottom"/>
          </w:tcPr>
          <w:p>
            <w:pPr>
              <w:spacing w:after="0"/>
              <w:rPr>
                <w:sz w:val="18"/>
                <w:szCs w:val="18"/>
                <w:color w:val="auto"/>
              </w:rPr>
            </w:pPr>
          </w:p>
        </w:tc>
      </w:tr>
    </w:tbl>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125095</wp:posOffset>
                </wp:positionV>
                <wp:extent cx="653224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85pt" to="514.15pt,9.85pt" o:allowincell="f" strokecolor="#000000" strokeweight="1.2pt"/>
            </w:pict>
          </mc:Fallback>
        </mc:AlternateContent>
      </w:r>
    </w:p>
    <w:p>
      <w:pPr>
        <w:sectPr>
          <w:pgSz w:w="11900" w:h="16840" w:orient="portrait"/>
          <w:cols w:equalWidth="0" w:num="1">
            <w:col w:w="10080"/>
          </w:cols>
          <w:pgMar w:left="820" w:top="908" w:right="1004" w:bottom="1440" w:gutter="0" w:footer="0" w:header="0"/>
        </w:sectPr>
      </w:pPr>
    </w:p>
    <w:bookmarkStart w:id="143" w:name="page144"/>
    <w:bookmarkEnd w:id="143"/>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1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Shuki Nir, Asaf Alperovitz, and Dalia Litay, or any of them, as such person’s true and lawful attorney-in-fact and agent, with full power of substitution and resubstitution, for such person and in such person’s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attorney-in-fact and agent, or any of them or their or such person’s substitute or substitutes, may lawfully do or cause to be done by virtue thereof.</w:t>
      </w:r>
    </w:p>
    <w:p>
      <w:pPr>
        <w:spacing w:after="0" w:line="168" w:lineRule="exact"/>
        <w:rPr>
          <w:sz w:val="20"/>
          <w:szCs w:val="20"/>
          <w:color w:val="auto"/>
        </w:rPr>
      </w:pPr>
    </w:p>
    <w:p>
      <w:pPr>
        <w:ind w:right="40" w:firstLine="56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by the following persons on behalf of the registrant and in the capacities and on the dates indicated below.</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460" w:type="dxa"/>
            <w:vAlign w:val="bottom"/>
            <w:tcBorders>
              <w:top w:val="single" w:sz="8" w:color="auto"/>
              <w:left w:val="single" w:sz="8" w:color="auto"/>
              <w:right w:val="single" w:sz="8" w:color="auto"/>
            </w:tcBorders>
            <w:gridSpan w:val="5"/>
          </w:tcPr>
          <w:p>
            <w:pPr>
              <w:ind w:left="14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540" w:type="dxa"/>
            <w:vAlign w:val="bottom"/>
            <w:tcBorders>
              <w:top w:val="single" w:sz="8" w:color="auto"/>
            </w:tcBorders>
          </w:tcPr>
          <w:p>
            <w:pPr>
              <w:spacing w:after="0"/>
              <w:rPr>
                <w:sz w:val="19"/>
                <w:szCs w:val="19"/>
                <w:color w:val="auto"/>
              </w:rPr>
            </w:pPr>
          </w:p>
        </w:tc>
        <w:tc>
          <w:tcPr>
            <w:tcW w:w="1880" w:type="dxa"/>
            <w:vAlign w:val="bottom"/>
            <w:tcBorders>
              <w:top w:val="single" w:sz="8" w:color="auto"/>
              <w:right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340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2"/>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5"/>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/s/Shuki Nir</w:t>
            </w:r>
          </w:p>
        </w:tc>
        <w:tc>
          <w:tcPr>
            <w:tcW w:w="3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Chief Executive Officer and Director (</w:t>
            </w:r>
            <w:r>
              <w:rPr>
                <w:rFonts w:ascii="Times New Roman" w:cs="Times New Roman" w:eastAsia="Times New Roman" w:hAnsi="Times New Roman"/>
                <w:sz w:val="16"/>
                <w:szCs w:val="16"/>
                <w:i w:val="1"/>
                <w:iCs w:val="1"/>
                <w:color w:val="auto"/>
              </w:rPr>
              <w:t>Principal</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37"/>
        </w:trPr>
        <w:tc>
          <w:tcPr>
            <w:tcW w:w="1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w w:val="99"/>
              </w:rPr>
              <w:t>Executive Officer</w:t>
            </w: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215"/>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/s/Asaf Alperovitz</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Chief Financial Officer (</w:t>
            </w:r>
            <w:r>
              <w:rPr>
                <w:rFonts w:ascii="Times New Roman" w:cs="Times New Roman" w:eastAsia="Times New Roman" w:hAnsi="Times New Roman"/>
                <w:sz w:val="16"/>
                <w:szCs w:val="16"/>
                <w:i w:val="1"/>
                <w:iCs w:val="1"/>
                <w:color w:val="auto"/>
              </w:rPr>
              <w:t>Principal Financial and</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14"/>
        </w:trPr>
        <w:tc>
          <w:tcPr>
            <w:tcW w:w="14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Accounting Officer</w:t>
            </w:r>
            <w:r>
              <w:rPr>
                <w:rFonts w:ascii="Times New Roman" w:cs="Times New Roman" w:eastAsia="Times New Roman" w:hAnsi="Times New Roman"/>
                <w:sz w:val="16"/>
                <w:szCs w:val="16"/>
                <w:color w:val="auto"/>
              </w:rPr>
              <w:t>)</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4"/>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51"/>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/s/Avery More</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99"/>
              </w:rPr>
              <w:t>Chairman of the Board</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52"/>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/s/Guy Gecht</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28"/>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/s/Betsy Atkins</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4"/>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51"/>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 Dana Gross</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52"/>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/s/Yoram Tietz</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28"/>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/s/Gilad Almogy</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2/25/2026</w:t>
            </w:r>
          </w:p>
        </w:tc>
      </w:tr>
      <w:tr>
        <w:trPr>
          <w:trHeight w:val="24"/>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564"/>
        </w:trPr>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gridSpan w:val="2"/>
          </w:tcPr>
          <w:p>
            <w:pPr>
              <w:jc w:val="center"/>
              <w:ind w:left="1420"/>
              <w:spacing w:after="0"/>
              <w:rPr>
                <w:sz w:val="20"/>
                <w:szCs w:val="20"/>
                <w:color w:val="auto"/>
              </w:rPr>
            </w:pPr>
            <w:r>
              <w:rPr>
                <w:rFonts w:ascii="Times New Roman" w:cs="Times New Roman" w:eastAsia="Times New Roman" w:hAnsi="Times New Roman"/>
                <w:sz w:val="16"/>
                <w:szCs w:val="16"/>
                <w:color w:val="auto"/>
                <w:w w:val="99"/>
              </w:rPr>
              <w:t>70</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
        </w:trPr>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bl>
    <w:p>
      <w:pPr>
        <w:sectPr>
          <w:pgSz w:w="11900" w:h="16840" w:orient="portrait"/>
          <w:cols w:equalWidth="0" w:num="1">
            <w:col w:w="10280"/>
          </w:cols>
          <w:pgMar w:left="820" w:top="708" w:right="804"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1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Shuki Nir, Asaf Alperovitz, and Dalia Litay, or any of them, as such person’s true and lawful attorney-in-fact and agent, with full power of substitution and resubstitution, for such person and in such person’s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attorney-in-fact and agent, or any of them or their or such person’s substitute or substitutes, may lawfully do or cause to be done by virtue thereof.</w:t>
      </w:r>
    </w:p>
    <w:p>
      <w:pPr>
        <w:spacing w:after="0" w:line="168" w:lineRule="exact"/>
        <w:rPr>
          <w:sz w:val="20"/>
          <w:szCs w:val="20"/>
          <w:color w:val="auto"/>
        </w:rPr>
      </w:pPr>
    </w:p>
    <w:p>
      <w:pPr>
        <w:ind w:right="40" w:firstLine="56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by the following persons on behalf of the registrant and in the capacities and on the dates indicated below.</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460" w:type="dxa"/>
            <w:vAlign w:val="bottom"/>
            <w:tcBorders>
              <w:top w:val="single" w:sz="8" w:color="auto"/>
              <w:left w:val="single" w:sz="8" w:color="auto"/>
              <w:right w:val="single" w:sz="8" w:color="auto"/>
            </w:tcBorders>
            <w:gridSpan w:val="5"/>
          </w:tcPr>
          <w:p>
            <w:pPr>
              <w:ind w:left="14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540" w:type="dxa"/>
            <w:vAlign w:val="bottom"/>
            <w:tcBorders>
              <w:top w:val="single" w:sz="8" w:color="auto"/>
            </w:tcBorders>
          </w:tcPr>
          <w:p>
            <w:pPr>
              <w:spacing w:after="0"/>
              <w:rPr>
                <w:sz w:val="19"/>
                <w:szCs w:val="19"/>
                <w:color w:val="auto"/>
              </w:rPr>
            </w:pPr>
          </w:p>
        </w:tc>
        <w:tc>
          <w:tcPr>
            <w:tcW w:w="1880" w:type="dxa"/>
            <w:vAlign w:val="bottom"/>
            <w:tcBorders>
              <w:top w:val="single" w:sz="8" w:color="auto"/>
              <w:right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340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2"/>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5"/>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/s/Shuki Nir</w:t>
            </w:r>
          </w:p>
        </w:tc>
        <w:tc>
          <w:tcPr>
            <w:tcW w:w="3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Chief Executive Officer and Director (</w:t>
            </w:r>
            <w:r>
              <w:rPr>
                <w:rFonts w:ascii="Times New Roman" w:cs="Times New Roman" w:eastAsia="Times New Roman" w:hAnsi="Times New Roman"/>
                <w:sz w:val="16"/>
                <w:szCs w:val="16"/>
                <w:i w:val="1"/>
                <w:iCs w:val="1"/>
                <w:color w:val="auto"/>
              </w:rPr>
              <w:t>Principal</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37"/>
        </w:trPr>
        <w:tc>
          <w:tcPr>
            <w:tcW w:w="1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w w:val="99"/>
              </w:rPr>
              <w:t>Executive Officer</w:t>
            </w: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215"/>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/s/Asaf Alperovitz</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Chief Financial Officer (</w:t>
            </w:r>
            <w:r>
              <w:rPr>
                <w:rFonts w:ascii="Times New Roman" w:cs="Times New Roman" w:eastAsia="Times New Roman" w:hAnsi="Times New Roman"/>
                <w:sz w:val="16"/>
                <w:szCs w:val="16"/>
                <w:i w:val="1"/>
                <w:iCs w:val="1"/>
                <w:color w:val="auto"/>
              </w:rPr>
              <w:t>Principal Financial and</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14"/>
        </w:trPr>
        <w:tc>
          <w:tcPr>
            <w:tcW w:w="14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Accounting Officer</w:t>
            </w:r>
            <w:r>
              <w:rPr>
                <w:rFonts w:ascii="Times New Roman" w:cs="Times New Roman" w:eastAsia="Times New Roman" w:hAnsi="Times New Roman"/>
                <w:sz w:val="16"/>
                <w:szCs w:val="16"/>
                <w:color w:val="auto"/>
              </w:rPr>
              <w:t>)</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4"/>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51"/>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/s/Avery More</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99"/>
              </w:rPr>
              <w:t>Chairman of the Board</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52"/>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/s/Guy Gecht</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28"/>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/s/Betsy Atkins</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4"/>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51"/>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 Dana Gross</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52"/>
        </w:trPr>
        <w:tc>
          <w:tcPr>
            <w:tcW w:w="346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/s/Yoram Tietz</w:t>
            </w:r>
          </w:p>
        </w:tc>
        <w:tc>
          <w:tcPr>
            <w:tcW w:w="34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28"/>
        </w:trPr>
        <w:tc>
          <w:tcPr>
            <w:tcW w:w="346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/s/Gilad Almogy</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Director</w:t>
            </w:r>
          </w:p>
        </w:tc>
        <w:tc>
          <w:tcPr>
            <w:tcW w:w="34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3/23/2026</w:t>
            </w:r>
          </w:p>
        </w:tc>
      </w:tr>
      <w:tr>
        <w:trPr>
          <w:trHeight w:val="24"/>
        </w:trPr>
        <w:tc>
          <w:tcPr>
            <w:tcW w:w="1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404"/>
        </w:trPr>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gridSpan w:val="2"/>
          </w:tcPr>
          <w:p>
            <w:pPr>
              <w:jc w:val="center"/>
              <w:ind w:left="1420"/>
              <w:spacing w:after="0"/>
              <w:rPr>
                <w:sz w:val="20"/>
                <w:szCs w:val="20"/>
                <w:color w:val="auto"/>
              </w:rPr>
            </w:pPr>
            <w:r>
              <w:rPr>
                <w:rFonts w:ascii="Times New Roman" w:cs="Times New Roman" w:eastAsia="Times New Roman" w:hAnsi="Times New Roman"/>
                <w:sz w:val="16"/>
                <w:szCs w:val="16"/>
                <w:color w:val="auto"/>
                <w:w w:val="99"/>
              </w:rPr>
              <w:t>71</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
        </w:trPr>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36"/>
        </w:trPr>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bl>
    <w:p>
      <w:pPr>
        <w:sectPr>
          <w:pgSz w:w="11900" w:h="16840" w:orient="portrait"/>
          <w:cols w:equalWidth="0" w:num="1">
            <w:col w:w="10280"/>
          </w:cols>
          <w:pgMar w:left="820" w:top="708" w:right="804" w:bottom="1440" w:gutter="0" w:footer="0" w:header="0"/>
        </w:sectPr>
      </w:pPr>
    </w:p>
    <w:bookmarkStart w:id="145" w:name="page146"/>
    <w:bookmarkEnd w:id="145"/>
    <w:p>
      <w:pPr>
        <w:jc w:val="center"/>
        <w:ind w:right="-639"/>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518160</wp:posOffset>
                </wp:positionH>
                <wp:positionV relativeFrom="page">
                  <wp:posOffset>598805</wp:posOffset>
                </wp:positionV>
                <wp:extent cx="653224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40385">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47.15pt" to="555.15pt,47.15pt" o:allowincell="f" strokecolor="#000000" strokeweight="3.1799pt">
                <w10:wrap anchorx="page" anchory="page"/>
              </v:line>
            </w:pict>
          </mc:Fallback>
        </mc:AlternateContent>
        <mc:AlternateContent>
          <mc:Choice Requires="wps">
            <w:drawing>
              <wp:anchor simplePos="0" relativeHeight="251657728" behindDoc="1" locked="0" layoutInCell="0" allowOverlap="1">
                <wp:simplePos x="0" y="0"/>
                <wp:positionH relativeFrom="page">
                  <wp:posOffset>518160</wp:posOffset>
                </wp:positionH>
                <wp:positionV relativeFrom="page">
                  <wp:posOffset>639445</wp:posOffset>
                </wp:positionV>
                <wp:extent cx="653224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0.35pt" to="555.15pt,50.35pt" o:allowincell="f" strokecolor="#000000" strokeweight="0.7799pt">
                <w10:wrap anchorx="page" anchory="page"/>
              </v:line>
            </w:pict>
          </mc:Fallback>
        </mc:AlternateContent>
        <w:t>UNITED STATES</w:t>
      </w:r>
    </w:p>
    <w:p>
      <w:pPr>
        <w:spacing w:after="0" w:line="15"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0"/>
          <w:szCs w:val="20"/>
          <w:color w:val="auto"/>
        </w:rPr>
      </w:pPr>
    </w:p>
    <w:p>
      <w:pPr>
        <w:jc w:val="center"/>
        <w:ind w:right="-639"/>
        <w:spacing w:after="0"/>
        <w:rPr>
          <w:sz w:val="20"/>
          <w:szCs w:val="20"/>
          <w:color w:val="auto"/>
        </w:rPr>
      </w:pPr>
      <w:r>
        <w:rPr>
          <w:rFonts w:ascii="Arial" w:cs="Arial" w:eastAsia="Arial" w:hAnsi="Arial"/>
          <w:sz w:val="19"/>
          <w:szCs w:val="19"/>
          <w:b w:val="1"/>
          <w:bCs w:val="1"/>
          <w:color w:val="auto"/>
        </w:rPr>
        <w:t>Washington, D.C. 20549</w:t>
      </w:r>
    </w:p>
    <w:p>
      <w:pPr>
        <w:spacing w:after="0" w:line="169"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14A</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6" w:lineRule="exact"/>
        <w:rPr>
          <w:sz w:val="20"/>
          <w:szCs w:val="20"/>
          <w:color w:val="auto"/>
        </w:rPr>
      </w:pPr>
    </w:p>
    <w:p>
      <w:pPr>
        <w:jc w:val="center"/>
        <w:ind w:right="-639"/>
        <w:spacing w:after="0"/>
        <w:rPr>
          <w:sz w:val="20"/>
          <w:szCs w:val="20"/>
          <w:color w:val="auto"/>
        </w:rPr>
      </w:pPr>
      <w:r>
        <w:rPr>
          <w:rFonts w:ascii="Arial" w:cs="Arial" w:eastAsia="Arial" w:hAnsi="Arial"/>
          <w:sz w:val="19"/>
          <w:szCs w:val="19"/>
          <w:b w:val="1"/>
          <w:bCs w:val="1"/>
          <w:color w:val="auto"/>
        </w:rPr>
        <w:t>Securities Exchange Act of 1934</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Filed by the Registrant </w:t>
      </w:r>
      <w:r>
        <w:rPr>
          <w:rFonts w:ascii="Segoe UI Symbol" w:cs="Segoe UI Symbol" w:eastAsia="Segoe UI Symbol" w:hAnsi="Segoe UI Symbol"/>
          <w:sz w:val="16"/>
          <w:szCs w:val="16"/>
          <w:color w:val="auto"/>
        </w:rPr>
        <w:t>☒</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6"/>
          <w:szCs w:val="16"/>
          <w:color w:val="auto"/>
        </w:rPr>
        <w:t>Filed by a Party other than the Registrant   </w:t>
      </w:r>
      <w:r>
        <w:rPr>
          <w:rFonts w:ascii="Segoe UI Symbol" w:cs="Segoe UI Symbol" w:eastAsia="Segoe UI Symbol" w:hAnsi="Segoe UI Symbol"/>
          <w:sz w:val="16"/>
          <w:szCs w:val="16"/>
          <w:color w:val="auto"/>
        </w:rPr>
        <w: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84" w:lineRule="exact"/>
        <w:rPr>
          <w:sz w:val="20"/>
          <w:szCs w:val="20"/>
          <w:color w:val="auto"/>
        </w:rPr>
      </w:pPr>
    </w:p>
    <w:p>
      <w:pPr>
        <w:ind w:left="284" w:hanging="284"/>
        <w:spacing w:after="0"/>
        <w:tabs>
          <w:tab w:leader="none" w:pos="284" w:val="left"/>
        </w:tabs>
        <w:numPr>
          <w:ilvl w:val="0"/>
          <w:numId w:val="72"/>
        </w:numPr>
        <w:rPr>
          <w:rFonts w:ascii="Segoe UI Symbol" w:cs="Segoe UI Symbol" w:eastAsia="Segoe UI Symbol" w:hAnsi="Segoe UI Symbol"/>
          <w:sz w:val="16"/>
          <w:szCs w:val="16"/>
          <w:color w:val="auto"/>
        </w:rPr>
      </w:pPr>
      <w:r>
        <w:rPr>
          <w:rFonts w:ascii="Arial" w:cs="Arial" w:eastAsia="Arial" w:hAnsi="Arial"/>
          <w:sz w:val="16"/>
          <w:szCs w:val="16"/>
          <w:color w:val="auto"/>
        </w:rPr>
        <w:t>Preliminary Proxy Statement</w:t>
      </w:r>
    </w:p>
    <w:p>
      <w:pPr>
        <w:spacing w:after="0" w:line="213" w:lineRule="exact"/>
        <w:rPr>
          <w:rFonts w:ascii="Segoe UI Symbol" w:cs="Segoe UI Symbol" w:eastAsia="Segoe UI Symbol" w:hAnsi="Segoe UI Symbol"/>
          <w:sz w:val="16"/>
          <w:szCs w:val="16"/>
          <w:color w:val="auto"/>
        </w:rPr>
      </w:pPr>
    </w:p>
    <w:p>
      <w:pPr>
        <w:ind w:left="304" w:hanging="304"/>
        <w:spacing w:after="0"/>
        <w:tabs>
          <w:tab w:leader="none" w:pos="304" w:val="left"/>
        </w:tabs>
        <w:numPr>
          <w:ilvl w:val="0"/>
          <w:numId w:val="72"/>
        </w:numPr>
        <w:rPr>
          <w:rFonts w:ascii="Segoe UI Symbol" w:cs="Segoe UI Symbol" w:eastAsia="Segoe UI Symbol" w:hAnsi="Segoe UI Symbo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61" w:lineRule="exact"/>
        <w:rPr>
          <w:sz w:val="20"/>
          <w:szCs w:val="20"/>
          <w:color w:val="auto"/>
        </w:rPr>
      </w:pPr>
    </w:p>
    <w:p>
      <w:pPr>
        <w:ind w:left="284" w:hanging="284"/>
        <w:spacing w:after="0"/>
        <w:tabs>
          <w:tab w:leader="none" w:pos="284" w:val="left"/>
        </w:tabs>
        <w:numPr>
          <w:ilvl w:val="0"/>
          <w:numId w:val="73"/>
        </w:numPr>
        <w:rPr>
          <w:rFonts w:ascii="Segoe UI Symbol" w:cs="Segoe UI Symbol" w:eastAsia="Segoe UI Symbol" w:hAnsi="Segoe UI Symbol"/>
          <w:sz w:val="16"/>
          <w:szCs w:val="16"/>
          <w:color w:val="auto"/>
        </w:rPr>
      </w:pPr>
      <w:r>
        <w:rPr>
          <w:rFonts w:ascii="Arial" w:cs="Arial" w:eastAsia="Arial" w:hAnsi="Arial"/>
          <w:sz w:val="16"/>
          <w:szCs w:val="16"/>
          <w:color w:val="auto"/>
        </w:rPr>
        <w:t>Definitive Proxy Statement</w:t>
      </w:r>
    </w:p>
    <w:p>
      <w:pPr>
        <w:spacing w:after="0" w:line="142" w:lineRule="exact"/>
        <w:rPr>
          <w:sz w:val="20"/>
          <w:szCs w:val="20"/>
          <w:color w:val="auto"/>
        </w:rPr>
      </w:pPr>
    </w:p>
    <w:p>
      <w:pPr>
        <w:ind w:left="4"/>
        <w:spacing w:after="0"/>
        <w:rPr>
          <w:sz w:val="20"/>
          <w:szCs w:val="20"/>
          <w:color w:val="auto"/>
        </w:rPr>
      </w:pP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Definitive Additional Materials</w:t>
      </w:r>
    </w:p>
    <w:p>
      <w:pPr>
        <w:spacing w:after="0" w:line="188" w:lineRule="exact"/>
        <w:rPr>
          <w:sz w:val="20"/>
          <w:szCs w:val="20"/>
          <w:color w:val="auto"/>
        </w:rPr>
      </w:pPr>
    </w:p>
    <w:p>
      <w:pPr>
        <w:ind w:left="4"/>
        <w:spacing w:after="0"/>
        <w:rPr>
          <w:sz w:val="20"/>
          <w:szCs w:val="20"/>
          <w:color w:val="auto"/>
        </w:rPr>
      </w:pP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Soliciting Material Under §240.14a-12</w:t>
      </w:r>
    </w:p>
    <w:p>
      <w:pPr>
        <w:spacing w:after="0" w:line="219" w:lineRule="exact"/>
        <w:rPr>
          <w:sz w:val="20"/>
          <w:szCs w:val="20"/>
          <w:color w:val="auto"/>
        </w:rPr>
      </w:pPr>
    </w:p>
    <w:p>
      <w:pPr>
        <w:jc w:val="center"/>
        <w:ind w:right="-639"/>
        <w:spacing w:after="0"/>
        <w:rPr>
          <w:sz w:val="20"/>
          <w:szCs w:val="20"/>
          <w:color w:val="auto"/>
        </w:rPr>
      </w:pPr>
      <w:r>
        <w:rPr>
          <w:rFonts w:ascii="Arial" w:cs="Arial" w:eastAsia="Arial" w:hAnsi="Arial"/>
          <w:sz w:val="26"/>
          <w:szCs w:val="26"/>
          <w:b w:val="1"/>
          <w:bCs w:val="1"/>
          <w:color w:val="auto"/>
        </w:rPr>
        <w:t>SolarEdge Technologies, Inc.</w:t>
      </w:r>
    </w:p>
    <w:p>
      <w:pPr>
        <w:spacing w:after="0" w:line="31" w:lineRule="exact"/>
        <w:rPr>
          <w:sz w:val="20"/>
          <w:szCs w:val="20"/>
          <w:color w:val="auto"/>
        </w:rPr>
      </w:pPr>
    </w:p>
    <w:p>
      <w:pPr>
        <w:jc w:val="center"/>
        <w:ind w:right="-639"/>
        <w:spacing w:after="0"/>
        <w:rPr>
          <w:sz w:val="20"/>
          <w:szCs w:val="20"/>
          <w:color w:val="auto"/>
        </w:rPr>
      </w:pPr>
      <w:r>
        <w:rPr>
          <w:rFonts w:ascii="Arial" w:cs="Arial" w:eastAsia="Arial" w:hAnsi="Arial"/>
          <w:sz w:val="16"/>
          <w:szCs w:val="16"/>
          <w:color w:val="auto"/>
        </w:rPr>
        <w:t>(Name of Registrant as Specified In Its Charter)</w:t>
      </w:r>
    </w:p>
    <w:p>
      <w:pPr>
        <w:jc w:val="center"/>
        <w:ind w:right="-63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 of Filing Fee (Check all boxes that apply):</w:t>
      </w:r>
    </w:p>
    <w:p>
      <w:pPr>
        <w:spacing w:after="0" w:line="183" w:lineRule="exact"/>
        <w:rPr>
          <w:sz w:val="20"/>
          <w:szCs w:val="20"/>
          <w:color w:val="auto"/>
        </w:rPr>
      </w:pPr>
    </w:p>
    <w:p>
      <w:pPr>
        <w:ind w:left="284" w:hanging="284"/>
        <w:spacing w:after="0"/>
        <w:tabs>
          <w:tab w:leader="none" w:pos="284" w:val="left"/>
        </w:tabs>
        <w:numPr>
          <w:ilvl w:val="0"/>
          <w:numId w:val="74"/>
        </w:numPr>
        <w:rPr>
          <w:rFonts w:ascii="Segoe UI Symbol" w:cs="Segoe UI Symbol" w:eastAsia="Segoe UI Symbol" w:hAnsi="Segoe UI Symbol"/>
          <w:sz w:val="16"/>
          <w:szCs w:val="16"/>
          <w:color w:val="auto"/>
        </w:rPr>
      </w:pPr>
      <w:r>
        <w:rPr>
          <w:rFonts w:ascii="Arial" w:cs="Arial" w:eastAsia="Arial" w:hAnsi="Arial"/>
          <w:sz w:val="16"/>
          <w:szCs w:val="16"/>
          <w:color w:val="auto"/>
        </w:rPr>
        <w:t>No fee required</w:t>
      </w:r>
    </w:p>
    <w:p>
      <w:pPr>
        <w:spacing w:after="0" w:line="143" w:lineRule="exact"/>
        <w:rPr>
          <w:sz w:val="20"/>
          <w:szCs w:val="20"/>
          <w:color w:val="auto"/>
        </w:rPr>
      </w:pPr>
    </w:p>
    <w:p>
      <w:pPr>
        <w:ind w:left="4"/>
        <w:spacing w:after="0"/>
        <w:rPr>
          <w:sz w:val="20"/>
          <w:szCs w:val="20"/>
          <w:color w:val="auto"/>
        </w:rPr>
      </w:pP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Fee paid previously with preliminary materials</w:t>
      </w:r>
    </w:p>
    <w:p>
      <w:pPr>
        <w:spacing w:after="0" w:line="187" w:lineRule="exact"/>
        <w:rPr>
          <w:sz w:val="20"/>
          <w:szCs w:val="20"/>
          <w:color w:val="auto"/>
        </w:rPr>
      </w:pPr>
    </w:p>
    <w:p>
      <w:pPr>
        <w:ind w:left="4"/>
        <w:spacing w:after="0"/>
        <w:rPr>
          <w:sz w:val="20"/>
          <w:szCs w:val="20"/>
          <w:color w:val="auto"/>
        </w:rPr>
      </w:pP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Fee computed on table in exhibit required by Item 25(b) per Exchange Act Rules 14a-6(i)(1) and 0-11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346075</wp:posOffset>
                </wp:positionV>
                <wp:extent cx="653224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25pt" to="514.35pt,27.25pt" o:allowincell="f" strokecolor="#000000" strokeweight="1.62pt"/>
            </w:pict>
          </mc:Fallback>
        </mc:AlternateContent>
      </w:r>
    </w:p>
    <w:p>
      <w:pPr>
        <w:sectPr>
          <w:pgSz w:w="11900" w:h="16840" w:orient="portrait"/>
          <w:cols w:equalWidth="0" w:num="1">
            <w:col w:w="9648"/>
          </w:cols>
          <w:pgMar w:left="816" w:top="1215" w:right="1440" w:bottom="1440"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518160</wp:posOffset>
            </wp:positionH>
            <wp:positionV relativeFrom="page">
              <wp:posOffset>635000</wp:posOffset>
            </wp:positionV>
            <wp:extent cx="6532880" cy="65938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
                      <a:extLst>
                        <a:ext uri="{28A0092B-C50C-407E-A947-70E740481C1C}"/>
                      </a:extLst>
                    </a:blip>
                    <a:srcRect/>
                    <a:stretch>
                      <a:fillRect/>
                    </a:stretch>
                  </pic:blipFill>
                  <pic:spPr bwMode="auto">
                    <a:xfrm>
                      <a:off x="0" y="0"/>
                      <a:ext cx="6532880" cy="65938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2637790</wp:posOffset>
            </wp:positionH>
            <wp:positionV relativeFrom="page">
              <wp:posOffset>751840</wp:posOffset>
            </wp:positionV>
            <wp:extent cx="2292985" cy="593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92985" cy="59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001446"/>
        </w:rPr>
        <w:t>Dear fellow shareholders,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001446"/>
        </w:rPr>
        <w:t>SolarEdge is a global leader in renewable energy solutions, built on innovation, engineering excellence, and strong customer relationships. Our mission is to develop and scale technologies that improve how we generate, manage, store and use electricity at a time when global power demand is rising rapidly.</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001446"/>
        </w:rPr>
        <w:t>2025 was a defining year for SolarEdge. It was a year of honest self-assessment, decisive action, and tangible progress in our turnaround, including strong year-over-year revenue growth, gross margin expansion in each quarter, and a return to positive free cash flow for the full year. We also advanced our next-generation roadmap, including the Single SKU concept and initial SolarEdge Nexis shipments, and continued to ramp up U.S. manufacturing—including export of U.S.-manufactured products.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001446"/>
        </w:rPr>
        <w:t>Our turnaround strategy has been grounded in four core priorities: strengthening our financial profile, gaining market share, accelerating innovation, and ramping our U.S. manufacturing capacity. These priorities are operational and measurable, and they continue to guide our decision-making across the organization as we shift from stabilizing the business to executing at scale.</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001446"/>
        </w:rPr>
        <w:t>First, we strengthened our financial profile through disciplined cash, cost, and working capital management. We reduced inventory for multiple consecutive quarters, streamlined and exited noncore activities and geographies, and improved operating performance quarter by quarter. Importantly, we generated positive free cash flow for the full year, a meaningful change from 2024, and ended 2025 with a healthy cash and investments position to support our growth plans.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001446"/>
        </w:rPr>
        <w:t>Second, we refocused on customers and operational execution. In the U.S., we increased market share across residential, commercial and storage, supported by improved quality and service, deep relationships with third-party ownership (TPO) partners, and products designed to meet domestic content and non-FEOC requirements. In Europe, we continue to focus on prolonged channel inventory normalization, working closely with installers and distributors and rebuilding engagement, and we began to see initial share gains and improving trends as the year progressed.</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001446"/>
        </w:rPr>
        <w:t>Third, innovation remains central to our long-term value creation. During 2025, we introduced the Single SKU concept, a software defined platform that reduces complexity by allowing an inverter SKU to be programmed to the desired kilowatt rating in the field. We also advanced our next generation SolarEdge Nexis platform, shipping initial units and progressing toward broader rollout, alongside continued investment in software and energy management capabilities that support integrated solar, storage, EV charging, and load control solutions. We also began investing in AI data center power solutions, where power is increasingly the limiting factor for AI expansion and the industry is moving toward 800V DC architectures. Building on two decades of power electronics expertise, we are advancing a solid state transformer platform designed to convert medium voltage directly to 800V DC with very high efficiency, and we have begun engaging with potential customers and ecosystem partners.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291465</wp:posOffset>
                </wp:positionV>
                <wp:extent cx="653224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2.95pt" to="514.15pt,22.95pt" o:allowincell="f" strokecolor="#000000" strokeweight="1.6199pt"/>
            </w:pict>
          </mc:Fallback>
        </mc:AlternateContent>
      </w:r>
    </w:p>
    <w:p>
      <w:pPr>
        <w:sectPr>
          <w:pgSz w:w="11900" w:h="16840" w:orient="portrait"/>
          <w:cols w:equalWidth="0" w:num="1">
            <w:col w:w="10280"/>
          </w:cols>
          <w:pgMar w:left="820" w:top="1440" w:right="804" w:bottom="1440" w:gutter="0" w:footer="0" w:header="0"/>
        </w:sectPr>
      </w:pPr>
    </w:p>
    <w:bookmarkStart w:id="148" w:name="page149"/>
    <w:bookmarkEnd w:id="148"/>
    <w:p>
      <w:pPr>
        <w:jc w:val="both"/>
        <w:spacing w:after="0" w:line="275" w:lineRule="auto"/>
        <w:rPr>
          <w:sz w:val="20"/>
          <w:szCs w:val="20"/>
          <w:color w:val="auto"/>
        </w:rPr>
      </w:pPr>
      <w:r>
        <w:rPr>
          <w:rFonts w:ascii="Arial" w:cs="Arial" w:eastAsia="Arial" w:hAnsi="Arial"/>
          <w:sz w:val="14"/>
          <w:szCs w:val="14"/>
          <w:color w:val="001446"/>
        </w:rPr>
        <w:t>Finally, we continued to ramp our U.S. manufacturing footprint to reinforce supply chain resilience, improve our cost’s structure, and support customers seeking American-manufactured solutions. Our footprint includes residential inverters in Texas, optimizers and commercial inverters in Florida, and batteries in Utah. We reached an important milestone by beginning to export U.S.-manufactured products to international markets.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001446"/>
        </w:rPr>
        <w:t>I am extremely proud of the SolarEdge team’s continued focus on disciplined execution, strong governance, and long-term shareholder value. Over the past year, we continued to prioritize our engagement with shareholders and remained committed to governance practices that promote accountability and effective oversight. Whether or not you plan to attend the Annual Meeting, please vote as soon as possible so your shares are represented.</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001446"/>
        </w:rPr>
        <w:t>While challenges remain and the external environment continues to evolve, we enter 2026 with clearer momentum and a stronger foundation. We intend to maintain the discipline we rebuilt in 2025 while shifting to an offense mindset, moving toward profitable growth, continue gaining share in our core markets, scaling Nexis, and investing in new high growth adjacencies such as AI data center power solutions.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001446"/>
        </w:rPr>
        <w:t>We measure our success by building a more resilient, more profitable SolarEdge—one that earns customer trust, compounds innovation over time, and delivers sustainable long-term returns for our shareholders. On behalf of the Board of Directors and the entire SolarEdge team, thank you for your continued trust and support. We remain committed to transparent communication and rigorous execution, and we look forward to updating you on our progress in the year ahead.</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00144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247650</wp:posOffset>
            </wp:positionV>
            <wp:extent cx="1911985" cy="10896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
                      <a:extLst>
                        <a:ext uri="{28A0092B-C50C-407E-A947-70E740481C1C}"/>
                      </a:extLst>
                    </a:blip>
                    <a:srcRect/>
                    <a:stretch>
                      <a:fillRect/>
                    </a:stretch>
                  </pic:blipFill>
                  <pic:spPr bwMode="auto">
                    <a:xfrm>
                      <a:off x="0" y="0"/>
                      <a:ext cx="1911985" cy="108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60"/>
        <w:spacing w:after="0"/>
        <w:rPr>
          <w:sz w:val="20"/>
          <w:szCs w:val="20"/>
          <w:color w:val="auto"/>
        </w:rPr>
      </w:pPr>
      <w:r>
        <w:rPr>
          <w:rFonts w:ascii="Arial" w:cs="Arial" w:eastAsia="Arial" w:hAnsi="Arial"/>
          <w:sz w:val="14"/>
          <w:szCs w:val="14"/>
          <w:color w:val="001446"/>
        </w:rPr>
        <w:t>Shuki Nir</w:t>
      </w:r>
    </w:p>
    <w:p>
      <w:pPr>
        <w:spacing w:after="0" w:line="11" w:lineRule="exact"/>
        <w:rPr>
          <w:sz w:val="20"/>
          <w:szCs w:val="20"/>
          <w:color w:val="auto"/>
        </w:rPr>
      </w:pPr>
    </w:p>
    <w:p>
      <w:pPr>
        <w:ind w:left="2160"/>
        <w:spacing w:after="0"/>
        <w:rPr>
          <w:sz w:val="20"/>
          <w:szCs w:val="20"/>
          <w:color w:val="auto"/>
        </w:rPr>
      </w:pPr>
      <w:r>
        <w:rPr>
          <w:rFonts w:ascii="Arial" w:cs="Arial" w:eastAsia="Arial" w:hAnsi="Arial"/>
          <w:sz w:val="14"/>
          <w:szCs w:val="14"/>
          <w:color w:val="001446"/>
        </w:rPr>
        <w:t>CEO</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4"/>
          <w:szCs w:val="14"/>
          <w:color w:val="001446"/>
        </w:rPr>
        <w:t>1 HaMada Street, Herziliya Pituach, Israel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514985</wp:posOffset>
                </wp:positionV>
                <wp:extent cx="653224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0.55pt" to="514.15pt,40.55pt" o:allowincell="f" strokecolor="#000000" strokeweight="1.5599pt"/>
            </w:pict>
          </mc:Fallback>
        </mc:AlternateContent>
      </w:r>
    </w:p>
    <w:p>
      <w:pPr>
        <w:sectPr>
          <w:pgSz w:w="11900" w:h="16840" w:orient="portrait"/>
          <w:cols w:equalWidth="0" w:num="1">
            <w:col w:w="10280"/>
          </w:cols>
          <w:pgMar w:left="820" w:top="1168" w:right="804"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543560</wp:posOffset>
            </wp:positionH>
            <wp:positionV relativeFrom="page">
              <wp:posOffset>690880</wp:posOffset>
            </wp:positionV>
            <wp:extent cx="2141220" cy="4413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41220" cy="441325"/>
                    </a:xfrm>
                    <a:prstGeom prst="rect">
                      <a:avLst/>
                    </a:prstGeom>
                    <a:noFill/>
                  </pic:spPr>
                </pic:pic>
              </a:graphicData>
            </a:graphic>
          </wp:anchor>
        </w:drawing>
      </w:r>
    </w:p>
    <w:p>
      <w:pPr>
        <w:spacing w:after="0" w:line="220" w:lineRule="exact"/>
        <w:rPr>
          <w:sz w:val="20"/>
          <w:szCs w:val="20"/>
          <w:color w:val="auto"/>
        </w:rPr>
      </w:pPr>
    </w:p>
    <w:p>
      <w:pPr>
        <w:ind w:right="4800"/>
        <w:spacing w:after="0" w:line="289" w:lineRule="auto"/>
        <w:rPr>
          <w:sz w:val="20"/>
          <w:szCs w:val="20"/>
          <w:color w:val="auto"/>
        </w:rPr>
      </w:pPr>
      <w:r>
        <w:rPr>
          <w:rFonts w:ascii="Arial" w:cs="Arial" w:eastAsia="Arial" w:hAnsi="Arial"/>
          <w:sz w:val="45"/>
          <w:szCs w:val="45"/>
          <w:b w:val="1"/>
          <w:bCs w:val="1"/>
          <w:color w:val="001446"/>
        </w:rPr>
        <w:t>Notice Of Annual Meeting Of Stockholders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To Our Stockholders:</w:t>
      </w:r>
    </w:p>
    <w:p>
      <w:pPr>
        <w:spacing w:after="0" w:line="203"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color w:val="001446"/>
        </w:rPr>
        <w:t>NOTICE IS HEREBY GIVEN that the 2026 Annual Meeting of Stockholders of SolarEdge Technologies, Inc. (the "Company") will be held at 200 Park Avenue, New York, NY 10166-0193 on June 3, 2026, at 9:00 am Eastern Time, for the following purposes:</w:t>
      </w:r>
    </w:p>
    <w:p>
      <w:pPr>
        <w:spacing w:after="0" w:line="120" w:lineRule="exact"/>
        <w:rPr>
          <w:sz w:val="20"/>
          <w:szCs w:val="20"/>
          <w:color w:val="auto"/>
        </w:rPr>
      </w:pPr>
    </w:p>
    <w:p>
      <w:pPr>
        <w:ind w:left="580" w:hanging="296"/>
        <w:spacing w:after="0" w:line="253" w:lineRule="auto"/>
        <w:tabs>
          <w:tab w:leader="none" w:pos="580" w:val="left"/>
        </w:tabs>
        <w:numPr>
          <w:ilvl w:val="0"/>
          <w:numId w:val="75"/>
        </w:numPr>
        <w:rPr>
          <w:rFonts w:ascii="Arial" w:cs="Arial" w:eastAsia="Arial" w:hAnsi="Arial"/>
          <w:sz w:val="14"/>
          <w:szCs w:val="14"/>
          <w:color w:val="FF0000"/>
        </w:rPr>
      </w:pPr>
      <w:r>
        <w:rPr>
          <w:rFonts w:ascii="Arial" w:cs="Arial" w:eastAsia="Arial" w:hAnsi="Arial"/>
          <w:sz w:val="14"/>
          <w:szCs w:val="14"/>
          <w:color w:val="001446"/>
        </w:rPr>
        <w:t>To elect the seven director nominees named in the Proxy Statement as directors of the Company to hold office for a one-year term until the 2027 Annual Meeting of Stockholders and until their respective successors have been elected and qualified, or until their earlier death, resignation or removal.</w:t>
      </w:r>
    </w:p>
    <w:p>
      <w:pPr>
        <w:ind w:left="580" w:right="240" w:hanging="296"/>
        <w:spacing w:after="0" w:line="250" w:lineRule="auto"/>
        <w:tabs>
          <w:tab w:leader="none" w:pos="580" w:val="left"/>
        </w:tabs>
        <w:numPr>
          <w:ilvl w:val="0"/>
          <w:numId w:val="75"/>
        </w:numPr>
        <w:rPr>
          <w:rFonts w:ascii="Arial" w:cs="Arial" w:eastAsia="Arial" w:hAnsi="Arial"/>
          <w:sz w:val="14"/>
          <w:szCs w:val="14"/>
          <w:color w:val="FF0000"/>
        </w:rPr>
      </w:pPr>
      <w:r>
        <w:rPr>
          <w:rFonts w:ascii="Arial" w:cs="Arial" w:eastAsia="Arial" w:hAnsi="Arial"/>
          <w:sz w:val="14"/>
          <w:szCs w:val="14"/>
          <w:color w:val="001446"/>
        </w:rPr>
        <w:t>To ratify the appointment of Kost Forer Gabbay &amp; Kasierer, a member of EY Global as our independent registered public accounting firm for the year ending December 31, 2026.</w:t>
      </w:r>
    </w:p>
    <w:p>
      <w:pPr>
        <w:ind w:left="580" w:hanging="296"/>
        <w:spacing w:after="0"/>
        <w:tabs>
          <w:tab w:leader="none" w:pos="580" w:val="left"/>
        </w:tabs>
        <w:numPr>
          <w:ilvl w:val="0"/>
          <w:numId w:val="75"/>
        </w:numPr>
        <w:rPr>
          <w:rFonts w:ascii="Arial" w:cs="Arial" w:eastAsia="Arial" w:hAnsi="Arial"/>
          <w:sz w:val="14"/>
          <w:szCs w:val="14"/>
          <w:color w:val="FF0000"/>
        </w:rPr>
      </w:pPr>
      <w:r>
        <w:rPr>
          <w:rFonts w:ascii="Arial" w:cs="Arial" w:eastAsia="Arial" w:hAnsi="Arial"/>
          <w:sz w:val="14"/>
          <w:szCs w:val="14"/>
          <w:color w:val="001446"/>
        </w:rPr>
        <w:t>To approve, on an advisory and non-binding basis, the compensation of our named executive officers (commonly referred to as a "Say-on-Pay" vote).</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0"/>
          <w:numId w:val="75"/>
        </w:numPr>
        <w:rPr>
          <w:rFonts w:ascii="Arial" w:cs="Arial" w:eastAsia="Arial" w:hAnsi="Arial"/>
          <w:sz w:val="14"/>
          <w:szCs w:val="14"/>
          <w:color w:val="FF0000"/>
        </w:rPr>
      </w:pPr>
      <w:r>
        <w:rPr>
          <w:rFonts w:ascii="Arial" w:cs="Arial" w:eastAsia="Arial" w:hAnsi="Arial"/>
          <w:sz w:val="14"/>
          <w:szCs w:val="14"/>
          <w:color w:val="001446"/>
        </w:rPr>
        <w:t>To approve the amendment to the Company’s Restated Certificate of Incorporation to limit the liability of certain officers as permitted by law.</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0"/>
          <w:numId w:val="75"/>
        </w:numPr>
        <w:rPr>
          <w:rFonts w:ascii="Arial" w:cs="Arial" w:eastAsia="Arial" w:hAnsi="Arial"/>
          <w:sz w:val="14"/>
          <w:szCs w:val="14"/>
          <w:color w:val="FF0000"/>
        </w:rPr>
      </w:pPr>
      <w:r>
        <w:rPr>
          <w:rFonts w:ascii="Arial" w:cs="Arial" w:eastAsia="Arial" w:hAnsi="Arial"/>
          <w:sz w:val="14"/>
          <w:szCs w:val="14"/>
          <w:color w:val="001446"/>
        </w:rPr>
        <w:t>To transact such other business as may properly come before the meeting or any adjournment or postponement thereof.</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001446"/>
        </w:rPr>
        <w:t>The foregoing items of business are more fully described in the Proxy Statement accompanying this notice.</w:t>
      </w:r>
    </w:p>
    <w:p>
      <w:pPr>
        <w:spacing w:after="0" w:line="175"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color w:val="001446"/>
        </w:rPr>
        <w:t>Only stockholders of record at the close of business on April 6, 2026, are entitled to notice of, and to vote at, the meeting or any adjournment or postponement thereof.</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001446"/>
        </w:rPr>
        <w:t>As part of our desire to operate more sustainably, we are providing access to our proxy materials over the Internet under the U.S. Securities and Exchange Commission’s “notice and access” rules. As a result, we are mailing a Notice of Internet Availability of our Proxy Materials to many of our stockholders (the “Notice”) instead of a paper copy of this proxy statement and our 2025 Annual Report. The Notice contains instructions on how to access those documents over the Internet. The Notice also contains instructions on how each of those stockholders can receive a paper copy of our proxy materials, including this proxy statement, our 2025 Annual Report, and a form of proxy card or voting instruction card. All stockholders who do not receive the Notice, including stockholders who have previously requested to receive paper copies of proxy materials, will receive a paper copy of the proxy materials by mail unless they have previously requested delivery of proxy materials electronically. By employing this distribution process, we strive to conserve natural resources and reduce the resources involved in printing and distributing our proxy materials.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E-Delivery</w:t>
      </w:r>
    </w:p>
    <w:p>
      <w:pPr>
        <w:spacing w:after="0" w:line="15"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color w:val="001446"/>
        </w:rPr>
        <w:t>In addition, the Notice provides information regarding how you may request to receive proxy materials electronically by email on an ongoing basis. For those stockholders who previously requested to receive proxy materials in printed form by mail or electronically by email on an ongoing basis, you will receive those materials as you requested.</w:t>
      </w:r>
    </w:p>
    <w:p>
      <w:pPr>
        <w:spacing w:after="0" w:line="121" w:lineRule="exact"/>
        <w:rPr>
          <w:sz w:val="20"/>
          <w:szCs w:val="20"/>
          <w:color w:val="auto"/>
        </w:rPr>
      </w:pPr>
    </w:p>
    <w:p>
      <w:pPr>
        <w:ind w:right="440"/>
        <w:spacing w:after="0" w:line="299" w:lineRule="auto"/>
        <w:rPr>
          <w:sz w:val="20"/>
          <w:szCs w:val="20"/>
          <w:color w:val="auto"/>
        </w:rPr>
      </w:pPr>
      <w:r>
        <w:rPr>
          <w:rFonts w:ascii="Arial" w:cs="Arial" w:eastAsia="Arial" w:hAnsi="Arial"/>
          <w:sz w:val="14"/>
          <w:szCs w:val="14"/>
          <w:color w:val="001446"/>
        </w:rPr>
        <w:t>Stockholders of record may vote in advance of the Annual Meeting by proxy over the Internet or by telephone, or, if you received paper copies of the proxy materials by mail, you may also vote by mail by following the instructions on the proxy card or Notice.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273050</wp:posOffset>
                </wp:positionV>
                <wp:extent cx="653224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514.15pt,21.5pt" o:allowincell="f" strokecolor="#000000" strokeweight="1.6199pt"/>
            </w:pict>
          </mc:Fallback>
        </mc:AlternateContent>
      </w:r>
    </w:p>
    <w:p>
      <w:pPr>
        <w:sectPr>
          <w:pgSz w:w="11900" w:h="16840" w:orient="portrait"/>
          <w:cols w:equalWidth="0" w:num="1">
            <w:col w:w="10240"/>
          </w:cols>
          <w:pgMar w:left="820" w:top="1440" w:right="844" w:bottom="1440" w:gutter="0" w:footer="0" w:header="0"/>
        </w:sectPr>
      </w:pPr>
    </w:p>
    <w:bookmarkStart w:id="150" w:name="page151"/>
    <w:bookmarkEnd w:id="150"/>
    <w:p>
      <w:pPr>
        <w:spacing w:after="0" w:line="275" w:lineRule="auto"/>
        <w:rPr>
          <w:sz w:val="20"/>
          <w:szCs w:val="20"/>
          <w:color w:val="auto"/>
        </w:rPr>
      </w:pPr>
      <w:r>
        <w:rPr>
          <w:rFonts w:ascii="Arial" w:cs="Arial" w:eastAsia="Arial" w:hAnsi="Arial"/>
          <w:sz w:val="14"/>
          <w:szCs w:val="14"/>
          <w:color w:val="001446"/>
        </w:rPr>
        <w:t>Beneficial owners should review these proxy materials and their voting instruction card or Notice, for how to vote in advance of and participate in the Annual Meeting. For 10 days before the meeting, the list of stockholders entitled to vote at the Annual Meeting shall be available for examination by stockholders at the principal place of business of the Company at 1 HaMada St., Herzliya Pituach, Israel.</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001446"/>
        </w:rPr>
        <w:t>The Notice and the proxy materials have been made available to our stockholders on or about April 23, 2026.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Whether or not you expect to attend the meeting, we hope you will vote as soon as possible so that your shares may be represented at the meeting.</w:t>
      </w:r>
    </w:p>
    <w:p>
      <w:pPr>
        <w:spacing w:after="0" w:line="179" w:lineRule="exact"/>
        <w:rPr>
          <w:sz w:val="20"/>
          <w:szCs w:val="20"/>
          <w:color w:val="auto"/>
        </w:rPr>
      </w:pPr>
    </w:p>
    <w:p>
      <w:pPr>
        <w:ind w:left="1840"/>
        <w:spacing w:after="0"/>
        <w:rPr>
          <w:sz w:val="20"/>
          <w:szCs w:val="20"/>
          <w:color w:val="auto"/>
        </w:rPr>
      </w:pPr>
      <w:r>
        <w:rPr>
          <w:rFonts w:ascii="Arial" w:cs="Arial" w:eastAsia="Arial" w:hAnsi="Arial"/>
          <w:sz w:val="14"/>
          <w:szCs w:val="14"/>
          <w:color w:val="001446"/>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1894205" cy="10966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
                      <a:extLst>
                        <a:ext uri="{28A0092B-C50C-407E-A947-70E740481C1C}"/>
                      </a:extLst>
                    </a:blip>
                    <a:srcRect/>
                    <a:stretch>
                      <a:fillRect/>
                    </a:stretch>
                  </pic:blipFill>
                  <pic:spPr bwMode="auto">
                    <a:xfrm>
                      <a:off x="0" y="0"/>
                      <a:ext cx="1894205" cy="109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4"/>
          <w:szCs w:val="14"/>
          <w:color w:val="001446"/>
        </w:rPr>
        <w:t>Dalia Litay</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4"/>
          <w:szCs w:val="14"/>
          <w:color w:val="001446"/>
        </w:rPr>
        <w:t>Chief Legal Officer &amp; Corporate Secretary</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4"/>
          <w:szCs w:val="14"/>
          <w:color w:val="001446"/>
        </w:rPr>
        <w:t>1 HaMada Street, Herziliya Pituach, Israel</w:t>
      </w:r>
    </w:p>
    <w:p>
      <w:pPr>
        <w:spacing w:after="0" w:line="200" w:lineRule="exact"/>
        <w:rPr>
          <w:sz w:val="20"/>
          <w:szCs w:val="20"/>
          <w:color w:val="auto"/>
        </w:rPr>
      </w:pPr>
    </w:p>
    <w:p>
      <w:pPr>
        <w:spacing w:after="0" w:line="303" w:lineRule="exact"/>
        <w:rPr>
          <w:sz w:val="20"/>
          <w:szCs w:val="20"/>
          <w:color w:val="auto"/>
        </w:rPr>
      </w:pPr>
    </w:p>
    <w:p>
      <w:pPr>
        <w:ind w:right="260"/>
        <w:spacing w:after="0" w:line="317" w:lineRule="auto"/>
        <w:rPr>
          <w:sz w:val="20"/>
          <w:szCs w:val="20"/>
          <w:color w:val="auto"/>
        </w:rPr>
      </w:pPr>
      <w:r>
        <w:rPr>
          <w:rFonts w:ascii="Arial" w:cs="Arial" w:eastAsia="Arial" w:hAnsi="Arial"/>
          <w:sz w:val="14"/>
          <w:szCs w:val="14"/>
          <w:b w:val="1"/>
          <w:bCs w:val="1"/>
          <w:color w:val="001446"/>
        </w:rPr>
        <w:t xml:space="preserve">Important Notice Regarding the Availability of Proxy Materials for the Annual Meeting of Stockholders to Be Held on June 3, 2026: This Notice of Annual Meeting, this Proxy Statement and our 2025 Annual Report are available on the Internet at </w:t>
      </w:r>
      <w:r>
        <w:rPr>
          <w:rFonts w:ascii="Arial" w:cs="Arial" w:eastAsia="Arial" w:hAnsi="Arial"/>
          <w:sz w:val="14"/>
          <w:szCs w:val="14"/>
          <w:b w:val="1"/>
          <w:bCs w:val="1"/>
          <w:u w:val="single" w:color="auto"/>
          <w:color w:val="001446"/>
        </w:rPr>
        <w:t>www.</w:t>
      </w:r>
      <w:r>
        <w:rPr>
          <w:rFonts w:ascii="Arial" w:cs="Arial" w:eastAsia="Arial" w:hAnsi="Arial"/>
          <w:sz w:val="14"/>
          <w:szCs w:val="14"/>
          <w:b w:val="1"/>
          <w:bCs w:val="1"/>
          <w:color w:val="001446"/>
        </w:rPr>
        <w:t>p</w:t>
      </w:r>
      <w:r>
        <w:rPr>
          <w:rFonts w:ascii="Arial" w:cs="Arial" w:eastAsia="Arial" w:hAnsi="Arial"/>
          <w:sz w:val="14"/>
          <w:szCs w:val="14"/>
          <w:b w:val="1"/>
          <w:bCs w:val="1"/>
          <w:u w:val="single" w:color="auto"/>
          <w:color w:val="001446"/>
        </w:rPr>
        <w:t>rox</w:t>
      </w:r>
      <w:r>
        <w:rPr>
          <w:rFonts w:ascii="Arial" w:cs="Arial" w:eastAsia="Arial" w:hAnsi="Arial"/>
          <w:sz w:val="14"/>
          <w:szCs w:val="14"/>
          <w:b w:val="1"/>
          <w:bCs w:val="1"/>
          <w:color w:val="001446"/>
        </w:rPr>
        <w:t>y</w:t>
      </w:r>
      <w:r>
        <w:rPr>
          <w:rFonts w:ascii="Arial" w:cs="Arial" w:eastAsia="Arial" w:hAnsi="Arial"/>
          <w:sz w:val="14"/>
          <w:szCs w:val="14"/>
          <w:b w:val="1"/>
          <w:bCs w:val="1"/>
          <w:u w:val="single" w:color="auto"/>
          <w:color w:val="001446"/>
        </w:rPr>
        <w:t>vote.com</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260350</wp:posOffset>
                </wp:positionV>
                <wp:extent cx="653224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0.5pt" to="514.15pt,20.5pt" o:allowincell="f" strokecolor="#000000" strokeweight="1.6199pt"/>
            </w:pict>
          </mc:Fallback>
        </mc:AlternateContent>
      </w:r>
    </w:p>
    <w:p>
      <w:pPr>
        <w:sectPr>
          <w:pgSz w:w="11900" w:h="16840" w:orient="portrait"/>
          <w:cols w:equalWidth="0" w:num="1">
            <w:col w:w="10120"/>
          </w:cols>
          <w:pgMar w:left="820" w:top="1168" w:right="964" w:bottom="1440" w:gutter="0" w:footer="0" w:header="0"/>
        </w:sectPr>
      </w:pPr>
    </w:p>
    <w:bookmarkStart w:id="151" w:name="page152"/>
    <w:bookmarkEnd w:id="151"/>
    <w:p>
      <w:pPr>
        <w:spacing w:after="0"/>
        <w:rPr>
          <w:sz w:val="20"/>
          <w:szCs w:val="20"/>
          <w:color w:val="auto"/>
        </w:rPr>
      </w:pPr>
      <w:r>
        <w:rPr>
          <w:rFonts w:ascii="Arial" w:cs="Arial" w:eastAsia="Arial" w:hAnsi="Arial"/>
          <w:sz w:val="35"/>
          <w:szCs w:val="35"/>
          <w:b w:val="1"/>
          <w:bCs w:val="1"/>
          <w:color w:val="2E90D6"/>
        </w:rPr>
        <w:t>Proxy Executive Summary</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001446"/>
        </w:rPr>
        <w:t>This summary highlights information contained elsewhere in this proxy statement.</w:t>
      </w:r>
    </w:p>
    <w:p>
      <w:pPr>
        <w:spacing w:after="0" w:line="11"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001446"/>
        </w:rPr>
        <w:t>This summary does not contain all of the information that you should consider. You should read the entire proxy statement and SolarEdge’s 2025 Annual Report on Form 10-K (as Amended, “2025 Annual Report”) before voting.</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Meeting Agenda and Voting Recommendations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20" w:type="dxa"/>
            <w:vAlign w:val="bottom"/>
            <w:shd w:val="clear" w:color="auto" w:fill="001446"/>
          </w:tcPr>
          <w:p>
            <w:pPr>
              <w:ind w:left="80"/>
              <w:spacing w:after="0"/>
              <w:rPr>
                <w:sz w:val="20"/>
                <w:szCs w:val="20"/>
                <w:color w:val="auto"/>
              </w:rPr>
            </w:pPr>
            <w:r>
              <w:rPr>
                <w:rFonts w:ascii="Arial" w:cs="Arial" w:eastAsia="Arial" w:hAnsi="Arial"/>
                <w:sz w:val="14"/>
                <w:szCs w:val="14"/>
                <w:b w:val="1"/>
                <w:bCs w:val="1"/>
                <w:color w:val="FFFFFF"/>
              </w:rPr>
              <w:t>Item</w:t>
            </w:r>
          </w:p>
        </w:tc>
        <w:tc>
          <w:tcPr>
            <w:tcW w:w="4200" w:type="dxa"/>
            <w:vAlign w:val="bottom"/>
            <w:gridSpan w:val="2"/>
            <w:shd w:val="clear" w:color="auto" w:fill="001446"/>
          </w:tcPr>
          <w:p>
            <w:pPr>
              <w:ind w:left="120"/>
              <w:spacing w:after="0"/>
              <w:rPr>
                <w:sz w:val="20"/>
                <w:szCs w:val="20"/>
                <w:color w:val="auto"/>
              </w:rPr>
            </w:pPr>
            <w:r>
              <w:rPr>
                <w:rFonts w:ascii="Arial" w:cs="Arial" w:eastAsia="Arial" w:hAnsi="Arial"/>
                <w:sz w:val="14"/>
                <w:szCs w:val="14"/>
                <w:b w:val="1"/>
                <w:bCs w:val="1"/>
                <w:color w:val="FFFFFF"/>
              </w:rPr>
              <w:t>Proposal</w:t>
            </w:r>
          </w:p>
        </w:tc>
        <w:tc>
          <w:tcPr>
            <w:tcW w:w="1940" w:type="dxa"/>
            <w:vAlign w:val="bottom"/>
            <w:shd w:val="clear" w:color="auto" w:fill="001446"/>
          </w:tcPr>
          <w:p>
            <w:pPr>
              <w:ind w:left="100"/>
              <w:spacing w:after="0"/>
              <w:rPr>
                <w:sz w:val="20"/>
                <w:szCs w:val="20"/>
                <w:color w:val="auto"/>
              </w:rPr>
            </w:pPr>
            <w:r>
              <w:rPr>
                <w:rFonts w:ascii="Arial" w:cs="Arial" w:eastAsia="Arial" w:hAnsi="Arial"/>
                <w:sz w:val="14"/>
                <w:szCs w:val="14"/>
                <w:b w:val="1"/>
                <w:bCs w:val="1"/>
                <w:color w:val="FFFFFF"/>
              </w:rPr>
              <w:t>Board Voting</w:t>
            </w:r>
          </w:p>
        </w:tc>
        <w:tc>
          <w:tcPr>
            <w:tcW w:w="1560" w:type="dxa"/>
            <w:vAlign w:val="bottom"/>
            <w:shd w:val="clear" w:color="auto" w:fill="001446"/>
          </w:tcPr>
          <w:p>
            <w:pPr>
              <w:ind w:left="600"/>
              <w:spacing w:after="0"/>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206"/>
        </w:trPr>
        <w:tc>
          <w:tcPr>
            <w:tcW w:w="520" w:type="dxa"/>
            <w:vAlign w:val="bottom"/>
            <w:shd w:val="clear" w:color="auto" w:fill="001446"/>
          </w:tcPr>
          <w:p>
            <w:pPr>
              <w:spacing w:after="0"/>
              <w:rPr>
                <w:sz w:val="17"/>
                <w:szCs w:val="17"/>
                <w:color w:val="auto"/>
              </w:rPr>
            </w:pPr>
          </w:p>
        </w:tc>
        <w:tc>
          <w:tcPr>
            <w:tcW w:w="340" w:type="dxa"/>
            <w:vAlign w:val="bottom"/>
            <w:shd w:val="clear" w:color="auto" w:fill="001446"/>
          </w:tcPr>
          <w:p>
            <w:pPr>
              <w:spacing w:after="0"/>
              <w:rPr>
                <w:sz w:val="17"/>
                <w:szCs w:val="17"/>
                <w:color w:val="auto"/>
              </w:rPr>
            </w:pPr>
          </w:p>
        </w:tc>
        <w:tc>
          <w:tcPr>
            <w:tcW w:w="3860" w:type="dxa"/>
            <w:vAlign w:val="bottom"/>
            <w:shd w:val="clear" w:color="auto" w:fill="001446"/>
          </w:tcPr>
          <w:p>
            <w:pPr>
              <w:spacing w:after="0"/>
              <w:rPr>
                <w:sz w:val="17"/>
                <w:szCs w:val="17"/>
                <w:color w:val="auto"/>
              </w:rPr>
            </w:pPr>
          </w:p>
        </w:tc>
        <w:tc>
          <w:tcPr>
            <w:tcW w:w="1940" w:type="dxa"/>
            <w:vAlign w:val="bottom"/>
            <w:shd w:val="clear" w:color="auto" w:fill="001446"/>
          </w:tcPr>
          <w:p>
            <w:pPr>
              <w:ind w:left="100"/>
              <w:spacing w:after="0"/>
              <w:rPr>
                <w:sz w:val="20"/>
                <w:szCs w:val="20"/>
                <w:color w:val="auto"/>
              </w:rPr>
            </w:pPr>
            <w:r>
              <w:rPr>
                <w:rFonts w:ascii="Arial" w:cs="Arial" w:eastAsia="Arial" w:hAnsi="Arial"/>
                <w:sz w:val="14"/>
                <w:szCs w:val="14"/>
                <w:b w:val="1"/>
                <w:bCs w:val="1"/>
                <w:color w:val="FFFFFF"/>
              </w:rPr>
              <w:t>Recommendation</w:t>
            </w:r>
          </w:p>
        </w:tc>
        <w:tc>
          <w:tcPr>
            <w:tcW w:w="1560" w:type="dxa"/>
            <w:vAlign w:val="bottom"/>
            <w:shd w:val="clear" w:color="auto" w:fill="001446"/>
          </w:tcPr>
          <w:p>
            <w:pPr>
              <w:ind w:left="600"/>
              <w:spacing w:after="0"/>
              <w:rPr>
                <w:sz w:val="20"/>
                <w:szCs w:val="20"/>
                <w:color w:val="auto"/>
              </w:rPr>
            </w:pPr>
            <w:r>
              <w:rPr>
                <w:rFonts w:ascii="Arial" w:cs="Arial" w:eastAsia="Arial" w:hAnsi="Arial"/>
                <w:sz w:val="14"/>
                <w:szCs w:val="14"/>
                <w:b w:val="1"/>
                <w:bCs w:val="1"/>
                <w:color w:val="FFFFFF"/>
              </w:rPr>
              <w:t>Reference</w:t>
            </w:r>
          </w:p>
        </w:tc>
        <w:tc>
          <w:tcPr>
            <w:tcW w:w="0" w:type="dxa"/>
            <w:vAlign w:val="bottom"/>
          </w:tcPr>
          <w:p>
            <w:pPr>
              <w:spacing w:after="0"/>
              <w:rPr>
                <w:sz w:val="1"/>
                <w:szCs w:val="1"/>
                <w:color w:val="auto"/>
              </w:rPr>
            </w:pPr>
          </w:p>
        </w:tc>
      </w:tr>
      <w:tr>
        <w:trPr>
          <w:trHeight w:val="94"/>
        </w:trPr>
        <w:tc>
          <w:tcPr>
            <w:tcW w:w="520" w:type="dxa"/>
            <w:vAlign w:val="bottom"/>
            <w:shd w:val="clear" w:color="auto" w:fill="001446"/>
          </w:tcPr>
          <w:p>
            <w:pPr>
              <w:spacing w:after="0"/>
              <w:rPr>
                <w:sz w:val="8"/>
                <w:szCs w:val="8"/>
                <w:color w:val="auto"/>
              </w:rPr>
            </w:pPr>
          </w:p>
        </w:tc>
        <w:tc>
          <w:tcPr>
            <w:tcW w:w="4200" w:type="dxa"/>
            <w:vAlign w:val="bottom"/>
            <w:gridSpan w:val="2"/>
            <w:shd w:val="clear" w:color="auto" w:fill="001446"/>
          </w:tcPr>
          <w:p>
            <w:pPr>
              <w:spacing w:after="0"/>
              <w:rPr>
                <w:sz w:val="8"/>
                <w:szCs w:val="8"/>
                <w:color w:val="auto"/>
              </w:rPr>
            </w:pPr>
          </w:p>
        </w:tc>
        <w:tc>
          <w:tcPr>
            <w:tcW w:w="1940" w:type="dxa"/>
            <w:vAlign w:val="bottom"/>
            <w:shd w:val="clear" w:color="auto" w:fill="001446"/>
          </w:tcPr>
          <w:p>
            <w:pPr>
              <w:spacing w:after="0"/>
              <w:rPr>
                <w:sz w:val="8"/>
                <w:szCs w:val="8"/>
                <w:color w:val="auto"/>
              </w:rPr>
            </w:pPr>
          </w:p>
        </w:tc>
        <w:tc>
          <w:tcPr>
            <w:tcW w:w="1560" w:type="dxa"/>
            <w:vAlign w:val="bottom"/>
            <w:shd w:val="clear" w:color="auto" w:fill="001446"/>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520" w:type="dxa"/>
            <w:vAlign w:val="bottom"/>
          </w:tcPr>
          <w:p>
            <w:pPr>
              <w:ind w:left="80"/>
              <w:spacing w:after="0"/>
              <w:rPr>
                <w:sz w:val="20"/>
                <w:szCs w:val="20"/>
                <w:color w:val="auto"/>
              </w:rPr>
            </w:pPr>
            <w:r>
              <w:rPr>
                <w:rFonts w:ascii="Arial" w:cs="Arial" w:eastAsia="Arial" w:hAnsi="Arial"/>
                <w:sz w:val="14"/>
                <w:szCs w:val="14"/>
                <w:b w:val="1"/>
                <w:bCs w:val="1"/>
                <w:color w:val="001446"/>
              </w:rPr>
              <w:t>1</w:t>
            </w: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Election of directors:</w:t>
            </w:r>
          </w:p>
        </w:tc>
        <w:tc>
          <w:tcPr>
            <w:tcW w:w="1940" w:type="dxa"/>
            <w:vAlign w:val="bottom"/>
          </w:tcPr>
          <w:p>
            <w:pPr>
              <w:jc w:val="right"/>
              <w:ind w:right="528"/>
              <w:spacing w:after="0"/>
              <w:rPr>
                <w:sz w:val="20"/>
                <w:szCs w:val="20"/>
                <w:color w:val="auto"/>
              </w:rPr>
            </w:pPr>
            <w:r>
              <w:rPr>
                <w:rFonts w:ascii="Arial" w:cs="Arial" w:eastAsia="Arial" w:hAnsi="Arial"/>
                <w:sz w:val="14"/>
                <w:szCs w:val="14"/>
                <w:color w:val="001446"/>
              </w:rPr>
              <w:t>For Each Nominee</w:t>
            </w:r>
          </w:p>
        </w:tc>
        <w:tc>
          <w:tcPr>
            <w:tcW w:w="1560" w:type="dxa"/>
            <w:vAlign w:val="bottom"/>
          </w:tcPr>
          <w:p>
            <w:pPr>
              <w:jc w:val="center"/>
              <w:ind w:left="425"/>
              <w:spacing w:after="0"/>
              <w:rPr>
                <w:sz w:val="20"/>
                <w:szCs w:val="20"/>
                <w:color w:val="auto"/>
              </w:rPr>
            </w:pPr>
            <w:r>
              <w:rPr>
                <w:rFonts w:ascii="Arial" w:cs="Arial" w:eastAsia="Arial" w:hAnsi="Arial"/>
                <w:sz w:val="16"/>
                <w:szCs w:val="16"/>
                <w:color w:val="001446"/>
              </w:rPr>
              <w:t>17</w:t>
            </w:r>
          </w:p>
        </w:tc>
        <w:tc>
          <w:tcPr>
            <w:tcW w:w="0" w:type="dxa"/>
            <w:vAlign w:val="bottom"/>
          </w:tcPr>
          <w:p>
            <w:pPr>
              <w:spacing w:after="0"/>
              <w:rPr>
                <w:sz w:val="1"/>
                <w:szCs w:val="1"/>
                <w:color w:val="auto"/>
              </w:rPr>
            </w:pPr>
          </w:p>
        </w:tc>
      </w:tr>
      <w:tr>
        <w:trPr>
          <w:trHeight w:val="356"/>
        </w:trPr>
        <w:tc>
          <w:tcPr>
            <w:tcW w:w="520" w:type="dxa"/>
            <w:vAlign w:val="bottom"/>
          </w:tcPr>
          <w:p>
            <w:pPr>
              <w:spacing w:after="0"/>
              <w:rPr>
                <w:sz w:val="24"/>
                <w:szCs w:val="24"/>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Nominees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001446"/>
              </w:rPr>
              <w:t>1a.</w:t>
            </w:r>
          </w:p>
        </w:tc>
        <w:tc>
          <w:tcPr>
            <w:tcW w:w="3860" w:type="dxa"/>
            <w:vAlign w:val="bottom"/>
          </w:tcPr>
          <w:p>
            <w:pPr>
              <w:ind w:left="60"/>
              <w:spacing w:after="0"/>
              <w:rPr>
                <w:sz w:val="20"/>
                <w:szCs w:val="20"/>
                <w:color w:val="auto"/>
              </w:rPr>
            </w:pPr>
            <w:r>
              <w:rPr>
                <w:rFonts w:ascii="Arial" w:cs="Arial" w:eastAsia="Arial" w:hAnsi="Arial"/>
                <w:sz w:val="14"/>
                <w:szCs w:val="14"/>
                <w:color w:val="001446"/>
              </w:rPr>
              <w:t>Avery More</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001446"/>
              </w:rPr>
              <w:t>1b.</w:t>
            </w:r>
          </w:p>
        </w:tc>
        <w:tc>
          <w:tcPr>
            <w:tcW w:w="3860" w:type="dxa"/>
            <w:vAlign w:val="bottom"/>
          </w:tcPr>
          <w:p>
            <w:pPr>
              <w:ind w:left="20"/>
              <w:spacing w:after="0"/>
              <w:rPr>
                <w:sz w:val="20"/>
                <w:szCs w:val="20"/>
                <w:color w:val="auto"/>
              </w:rPr>
            </w:pPr>
            <w:r>
              <w:rPr>
                <w:rFonts w:ascii="Arial" w:cs="Arial" w:eastAsia="Arial" w:hAnsi="Arial"/>
                <w:sz w:val="14"/>
                <w:szCs w:val="14"/>
                <w:color w:val="001446"/>
              </w:rPr>
              <w:t>Gilad Almogy</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001446"/>
              </w:rPr>
              <w:t>1c.</w:t>
            </w:r>
          </w:p>
        </w:tc>
        <w:tc>
          <w:tcPr>
            <w:tcW w:w="3860" w:type="dxa"/>
            <w:vAlign w:val="bottom"/>
          </w:tcPr>
          <w:p>
            <w:pPr>
              <w:ind w:left="60"/>
              <w:spacing w:after="0"/>
              <w:rPr>
                <w:sz w:val="20"/>
                <w:szCs w:val="20"/>
                <w:color w:val="auto"/>
              </w:rPr>
            </w:pPr>
            <w:r>
              <w:rPr>
                <w:rFonts w:ascii="Arial" w:cs="Arial" w:eastAsia="Arial" w:hAnsi="Arial"/>
                <w:sz w:val="14"/>
                <w:szCs w:val="14"/>
                <w:color w:val="001446"/>
              </w:rPr>
              <w:t>Betsy Atkins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001446"/>
              </w:rPr>
              <w:t>1d.</w:t>
            </w:r>
          </w:p>
        </w:tc>
        <w:tc>
          <w:tcPr>
            <w:tcW w:w="3860" w:type="dxa"/>
            <w:vAlign w:val="bottom"/>
          </w:tcPr>
          <w:p>
            <w:pPr>
              <w:ind w:left="60"/>
              <w:spacing w:after="0"/>
              <w:rPr>
                <w:sz w:val="20"/>
                <w:szCs w:val="20"/>
                <w:color w:val="auto"/>
              </w:rPr>
            </w:pPr>
            <w:r>
              <w:rPr>
                <w:rFonts w:ascii="Arial" w:cs="Arial" w:eastAsia="Arial" w:hAnsi="Arial"/>
                <w:sz w:val="14"/>
                <w:szCs w:val="14"/>
                <w:color w:val="001446"/>
              </w:rPr>
              <w:t>Dana Gross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001446"/>
              </w:rPr>
              <w:t>1e.</w:t>
            </w:r>
          </w:p>
        </w:tc>
        <w:tc>
          <w:tcPr>
            <w:tcW w:w="3860" w:type="dxa"/>
            <w:vAlign w:val="bottom"/>
          </w:tcPr>
          <w:p>
            <w:pPr>
              <w:ind w:left="60"/>
              <w:spacing w:after="0"/>
              <w:rPr>
                <w:sz w:val="20"/>
                <w:szCs w:val="20"/>
                <w:color w:val="auto"/>
              </w:rPr>
            </w:pPr>
            <w:r>
              <w:rPr>
                <w:rFonts w:ascii="Arial" w:cs="Arial" w:eastAsia="Arial" w:hAnsi="Arial"/>
                <w:sz w:val="14"/>
                <w:szCs w:val="14"/>
                <w:color w:val="001446"/>
              </w:rPr>
              <w:t>Guy Gecht</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1f. Yehoshua (Shuki) Nir</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001446"/>
              </w:rPr>
              <w:t>1g.</w:t>
            </w:r>
          </w:p>
        </w:tc>
        <w:tc>
          <w:tcPr>
            <w:tcW w:w="3860" w:type="dxa"/>
            <w:vAlign w:val="bottom"/>
          </w:tcPr>
          <w:p>
            <w:pPr>
              <w:ind w:left="20"/>
              <w:spacing w:after="0"/>
              <w:rPr>
                <w:sz w:val="20"/>
                <w:szCs w:val="20"/>
                <w:color w:val="auto"/>
              </w:rPr>
            </w:pPr>
            <w:r>
              <w:rPr>
                <w:rFonts w:ascii="Arial" w:cs="Arial" w:eastAsia="Arial" w:hAnsi="Arial"/>
                <w:sz w:val="14"/>
                <w:szCs w:val="14"/>
                <w:color w:val="001446"/>
              </w:rPr>
              <w:t>Yoram Tietz</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auto"/>
            </w:tcBorders>
          </w:tcPr>
          <w:p>
            <w:pPr>
              <w:spacing w:after="0"/>
              <w:rPr>
                <w:sz w:val="7"/>
                <w:szCs w:val="7"/>
                <w:color w:val="auto"/>
              </w:rPr>
            </w:pPr>
          </w:p>
        </w:tc>
        <w:tc>
          <w:tcPr>
            <w:tcW w:w="420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20" w:type="dxa"/>
            <w:vAlign w:val="bottom"/>
          </w:tcPr>
          <w:p>
            <w:pPr>
              <w:ind w:left="80"/>
              <w:spacing w:after="0"/>
              <w:rPr>
                <w:sz w:val="20"/>
                <w:szCs w:val="20"/>
                <w:color w:val="auto"/>
              </w:rPr>
            </w:pPr>
            <w:r>
              <w:rPr>
                <w:rFonts w:ascii="Arial" w:cs="Arial" w:eastAsia="Arial" w:hAnsi="Arial"/>
                <w:sz w:val="14"/>
                <w:szCs w:val="14"/>
                <w:b w:val="1"/>
                <w:bCs w:val="1"/>
                <w:color w:val="001446"/>
              </w:rPr>
              <w:t>2</w:t>
            </w: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Ratification of the appointment of Kost Forer Gabbay &amp;</w:t>
            </w:r>
          </w:p>
        </w:tc>
        <w:tc>
          <w:tcPr>
            <w:tcW w:w="1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Kasierer, a member of EY Global as the Company’s</w:t>
            </w:r>
          </w:p>
        </w:tc>
        <w:tc>
          <w:tcPr>
            <w:tcW w:w="1940" w:type="dxa"/>
            <w:vAlign w:val="bottom"/>
            <w:vMerge w:val="restart"/>
          </w:tcPr>
          <w:p>
            <w:pPr>
              <w:jc w:val="right"/>
              <w:ind w:right="528"/>
              <w:spacing w:after="0"/>
              <w:rPr>
                <w:sz w:val="20"/>
                <w:szCs w:val="20"/>
                <w:color w:val="auto"/>
              </w:rPr>
            </w:pPr>
            <w:r>
              <w:rPr>
                <w:rFonts w:ascii="Arial" w:cs="Arial" w:eastAsia="Arial" w:hAnsi="Arial"/>
                <w:sz w:val="14"/>
                <w:szCs w:val="14"/>
                <w:color w:val="001446"/>
              </w:rPr>
              <w:t>For</w:t>
            </w:r>
          </w:p>
        </w:tc>
        <w:tc>
          <w:tcPr>
            <w:tcW w:w="1560" w:type="dxa"/>
            <w:vAlign w:val="bottom"/>
            <w:vMerge w:val="restart"/>
          </w:tcPr>
          <w:p>
            <w:pPr>
              <w:jc w:val="center"/>
              <w:ind w:left="425"/>
              <w:spacing w:after="0"/>
              <w:rPr>
                <w:sz w:val="20"/>
                <w:szCs w:val="20"/>
                <w:color w:val="auto"/>
              </w:rPr>
            </w:pPr>
            <w:r>
              <w:rPr>
                <w:rFonts w:ascii="Arial" w:cs="Arial" w:eastAsia="Arial" w:hAnsi="Arial"/>
                <w:sz w:val="16"/>
                <w:szCs w:val="16"/>
                <w:color w:val="001446"/>
              </w:rPr>
              <w:t>41</w:t>
            </w: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4200" w:type="dxa"/>
            <w:vAlign w:val="bottom"/>
            <w:gridSpan w:val="2"/>
            <w:vMerge w:val="restart"/>
          </w:tcPr>
          <w:p>
            <w:pPr>
              <w:ind w:left="120"/>
              <w:spacing w:after="0"/>
              <w:rPr>
                <w:sz w:val="20"/>
                <w:szCs w:val="20"/>
                <w:color w:val="auto"/>
              </w:rPr>
            </w:pPr>
            <w:r>
              <w:rPr>
                <w:rFonts w:ascii="Arial" w:cs="Arial" w:eastAsia="Arial" w:hAnsi="Arial"/>
                <w:sz w:val="14"/>
                <w:szCs w:val="14"/>
                <w:color w:val="001446"/>
              </w:rPr>
              <w:t>independent registered public accounting firm for the year</w:t>
            </w:r>
          </w:p>
        </w:tc>
        <w:tc>
          <w:tcPr>
            <w:tcW w:w="19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520" w:type="dxa"/>
            <w:vAlign w:val="bottom"/>
          </w:tcPr>
          <w:p>
            <w:pPr>
              <w:spacing w:after="0"/>
              <w:rPr>
                <w:sz w:val="3"/>
                <w:szCs w:val="3"/>
                <w:color w:val="auto"/>
              </w:rPr>
            </w:pPr>
          </w:p>
        </w:tc>
        <w:tc>
          <w:tcPr>
            <w:tcW w:w="4200" w:type="dxa"/>
            <w:vAlign w:val="bottom"/>
            <w:gridSpan w:val="2"/>
            <w:vMerge w:val="continue"/>
          </w:tcPr>
          <w:p>
            <w:pPr>
              <w:spacing w:after="0"/>
              <w:rPr>
                <w:sz w:val="3"/>
                <w:szCs w:val="3"/>
                <w:color w:val="auto"/>
              </w:rPr>
            </w:pPr>
          </w:p>
        </w:tc>
        <w:tc>
          <w:tcPr>
            <w:tcW w:w="19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ending December 31, 2026.</w:t>
            </w: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7E7E7E"/>
            </w:tcBorders>
          </w:tcPr>
          <w:p>
            <w:pPr>
              <w:spacing w:after="0"/>
              <w:rPr>
                <w:sz w:val="7"/>
                <w:szCs w:val="7"/>
                <w:color w:val="auto"/>
              </w:rPr>
            </w:pPr>
          </w:p>
        </w:tc>
        <w:tc>
          <w:tcPr>
            <w:tcW w:w="4200" w:type="dxa"/>
            <w:vAlign w:val="bottom"/>
            <w:tcBorders>
              <w:bottom w:val="single" w:sz="8" w:color="7E7E7E"/>
            </w:tcBorders>
            <w:gridSpan w:val="2"/>
          </w:tcPr>
          <w:p>
            <w:pPr>
              <w:spacing w:after="0"/>
              <w:rPr>
                <w:sz w:val="7"/>
                <w:szCs w:val="7"/>
                <w:color w:val="auto"/>
              </w:rPr>
            </w:pPr>
          </w:p>
        </w:tc>
        <w:tc>
          <w:tcPr>
            <w:tcW w:w="1940" w:type="dxa"/>
            <w:vAlign w:val="bottom"/>
            <w:tcBorders>
              <w:bottom w:val="single" w:sz="8" w:color="7E7E7E"/>
            </w:tcBorders>
          </w:tcPr>
          <w:p>
            <w:pPr>
              <w:spacing w:after="0"/>
              <w:rPr>
                <w:sz w:val="7"/>
                <w:szCs w:val="7"/>
                <w:color w:val="auto"/>
              </w:rPr>
            </w:pPr>
          </w:p>
        </w:tc>
        <w:tc>
          <w:tcPr>
            <w:tcW w:w="1560" w:type="dxa"/>
            <w:vAlign w:val="bottom"/>
            <w:tcBorders>
              <w:bottom w:val="single" w:sz="8" w:color="7E7E7E"/>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20" w:type="dxa"/>
            <w:vAlign w:val="bottom"/>
          </w:tcPr>
          <w:p>
            <w:pPr>
              <w:ind w:left="80"/>
              <w:spacing w:after="0"/>
              <w:rPr>
                <w:sz w:val="20"/>
                <w:szCs w:val="20"/>
                <w:color w:val="auto"/>
              </w:rPr>
            </w:pPr>
            <w:r>
              <w:rPr>
                <w:rFonts w:ascii="Arial" w:cs="Arial" w:eastAsia="Arial" w:hAnsi="Arial"/>
                <w:sz w:val="14"/>
                <w:szCs w:val="14"/>
                <w:b w:val="1"/>
                <w:bCs w:val="1"/>
                <w:color w:val="001446"/>
              </w:rPr>
              <w:t>3</w:t>
            </w: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Approval of, on an advisory and non-binding basis, the</w:t>
            </w:r>
          </w:p>
        </w:tc>
        <w:tc>
          <w:tcPr>
            <w:tcW w:w="1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compensation of our named executive officers (the “Say-on-</w:t>
            </w:r>
          </w:p>
        </w:tc>
        <w:tc>
          <w:tcPr>
            <w:tcW w:w="1940" w:type="dxa"/>
            <w:vAlign w:val="bottom"/>
          </w:tcPr>
          <w:p>
            <w:pPr>
              <w:jc w:val="right"/>
              <w:ind w:right="528"/>
              <w:spacing w:after="0"/>
              <w:rPr>
                <w:sz w:val="20"/>
                <w:szCs w:val="20"/>
                <w:color w:val="auto"/>
              </w:rPr>
            </w:pPr>
            <w:r>
              <w:rPr>
                <w:rFonts w:ascii="Arial" w:cs="Arial" w:eastAsia="Arial" w:hAnsi="Arial"/>
                <w:sz w:val="14"/>
                <w:szCs w:val="14"/>
                <w:color w:val="001446"/>
              </w:rPr>
              <w:t>For</w:t>
            </w:r>
          </w:p>
        </w:tc>
        <w:tc>
          <w:tcPr>
            <w:tcW w:w="1560" w:type="dxa"/>
            <w:vAlign w:val="bottom"/>
          </w:tcPr>
          <w:p>
            <w:pPr>
              <w:jc w:val="center"/>
              <w:ind w:left="445"/>
              <w:spacing w:after="0"/>
              <w:rPr>
                <w:sz w:val="20"/>
                <w:szCs w:val="20"/>
                <w:color w:val="auto"/>
              </w:rPr>
            </w:pPr>
            <w:r>
              <w:rPr>
                <w:rFonts w:ascii="Arial" w:cs="Arial" w:eastAsia="Arial" w:hAnsi="Arial"/>
                <w:sz w:val="14"/>
                <w:szCs w:val="14"/>
                <w:color w:val="001446"/>
              </w:rPr>
              <w:t>43</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Pay” vote).</w:t>
            </w: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520" w:type="dxa"/>
            <w:vAlign w:val="bottom"/>
            <w:tcBorders>
              <w:bottom w:val="single" w:sz="8" w:color="auto"/>
            </w:tcBorders>
          </w:tcPr>
          <w:p>
            <w:pPr>
              <w:spacing w:after="0"/>
              <w:rPr>
                <w:sz w:val="7"/>
                <w:szCs w:val="7"/>
                <w:color w:val="auto"/>
              </w:rPr>
            </w:pPr>
          </w:p>
        </w:tc>
        <w:tc>
          <w:tcPr>
            <w:tcW w:w="420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20" w:type="dxa"/>
            <w:vAlign w:val="bottom"/>
          </w:tcPr>
          <w:p>
            <w:pPr>
              <w:ind w:left="80"/>
              <w:spacing w:after="0"/>
              <w:rPr>
                <w:sz w:val="20"/>
                <w:szCs w:val="20"/>
                <w:color w:val="auto"/>
              </w:rPr>
            </w:pPr>
            <w:r>
              <w:rPr>
                <w:rFonts w:ascii="Arial" w:cs="Arial" w:eastAsia="Arial" w:hAnsi="Arial"/>
                <w:sz w:val="14"/>
                <w:szCs w:val="14"/>
                <w:b w:val="1"/>
                <w:bCs w:val="1"/>
                <w:color w:val="001446"/>
              </w:rPr>
              <w:t>4</w:t>
            </w: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Approval of the amendment to the Company’s Restated</w:t>
            </w:r>
          </w:p>
        </w:tc>
        <w:tc>
          <w:tcPr>
            <w:tcW w:w="1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Certificate of Incorporation to limit the liability of certain officers</w:t>
            </w:r>
          </w:p>
        </w:tc>
        <w:tc>
          <w:tcPr>
            <w:tcW w:w="1940" w:type="dxa"/>
            <w:vAlign w:val="bottom"/>
          </w:tcPr>
          <w:p>
            <w:pPr>
              <w:jc w:val="right"/>
              <w:ind w:right="528"/>
              <w:spacing w:after="0"/>
              <w:rPr>
                <w:sz w:val="20"/>
                <w:szCs w:val="20"/>
                <w:color w:val="auto"/>
              </w:rPr>
            </w:pPr>
            <w:r>
              <w:rPr>
                <w:rFonts w:ascii="Arial" w:cs="Arial" w:eastAsia="Arial" w:hAnsi="Arial"/>
                <w:sz w:val="14"/>
                <w:szCs w:val="14"/>
                <w:color w:val="001446"/>
              </w:rPr>
              <w:t>For</w:t>
            </w:r>
          </w:p>
        </w:tc>
        <w:tc>
          <w:tcPr>
            <w:tcW w:w="1560" w:type="dxa"/>
            <w:vAlign w:val="bottom"/>
          </w:tcPr>
          <w:p>
            <w:pPr>
              <w:jc w:val="center"/>
              <w:ind w:left="445"/>
              <w:spacing w:after="0"/>
              <w:rPr>
                <w:sz w:val="20"/>
                <w:szCs w:val="20"/>
                <w:color w:val="auto"/>
              </w:rPr>
            </w:pPr>
            <w:r>
              <w:rPr>
                <w:rFonts w:ascii="Arial" w:cs="Arial" w:eastAsia="Arial" w:hAnsi="Arial"/>
                <w:sz w:val="14"/>
                <w:szCs w:val="14"/>
                <w:color w:val="001446"/>
              </w:rPr>
              <w:t>44</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001446"/>
              </w:rPr>
              <w:t>as permitted by law.</w:t>
            </w: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7E7E7E"/>
            </w:tcBorders>
          </w:tcPr>
          <w:p>
            <w:pPr>
              <w:spacing w:after="0"/>
              <w:rPr>
                <w:sz w:val="7"/>
                <w:szCs w:val="7"/>
                <w:color w:val="auto"/>
              </w:rPr>
            </w:pPr>
          </w:p>
        </w:tc>
        <w:tc>
          <w:tcPr>
            <w:tcW w:w="340" w:type="dxa"/>
            <w:vAlign w:val="bottom"/>
            <w:tcBorders>
              <w:bottom w:val="single" w:sz="8" w:color="7E7E7E"/>
            </w:tcBorders>
          </w:tcPr>
          <w:p>
            <w:pPr>
              <w:spacing w:after="0"/>
              <w:rPr>
                <w:sz w:val="7"/>
                <w:szCs w:val="7"/>
                <w:color w:val="auto"/>
              </w:rPr>
            </w:pPr>
          </w:p>
        </w:tc>
        <w:tc>
          <w:tcPr>
            <w:tcW w:w="3860" w:type="dxa"/>
            <w:vAlign w:val="bottom"/>
            <w:tcBorders>
              <w:bottom w:val="single" w:sz="8" w:color="7E7E7E"/>
            </w:tcBorders>
          </w:tcPr>
          <w:p>
            <w:pPr>
              <w:spacing w:after="0"/>
              <w:rPr>
                <w:sz w:val="7"/>
                <w:szCs w:val="7"/>
                <w:color w:val="auto"/>
              </w:rPr>
            </w:pPr>
          </w:p>
        </w:tc>
        <w:tc>
          <w:tcPr>
            <w:tcW w:w="1940" w:type="dxa"/>
            <w:vAlign w:val="bottom"/>
            <w:tcBorders>
              <w:bottom w:val="single" w:sz="8" w:color="7E7E7E"/>
            </w:tcBorders>
          </w:tcPr>
          <w:p>
            <w:pPr>
              <w:spacing w:after="0"/>
              <w:rPr>
                <w:sz w:val="7"/>
                <w:szCs w:val="7"/>
                <w:color w:val="auto"/>
              </w:rPr>
            </w:pPr>
          </w:p>
        </w:tc>
        <w:tc>
          <w:tcPr>
            <w:tcW w:w="1560" w:type="dxa"/>
            <w:vAlign w:val="bottom"/>
            <w:tcBorders>
              <w:bottom w:val="single" w:sz="8" w:color="7E7E7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Our Company</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4"/>
          <w:szCs w:val="14"/>
          <w:color w:val="001446"/>
        </w:rPr>
        <w:t>SolarEdge is a global leader in smart energy technology that changed the way power is harvested and managed in photovoltaic (also known as PV) systems. Our direct current (“DC”), optimized inverter system maximizes power generation while lowering the cost of energy produced by the PV system for improved return on investment. Additional benefits of the DC optimized inverter system include: comprehensive and advanced safety features, improved design flexibility, efficient integration (DC coupled) with SolarEdge storage solutions, and improved operation and maintenance, with remote monitoring at the module-level. The typical SolarEdge DC optimized inverter system consists of inverters, Optimizers, a communication device which enables access to a cloud-based Monitoring Platform and, in many cases, a battery and additional smart energy management solutions and devices, such as EV chargers and load controllers. As part of our hardware sales, we also provide the energy management software which controls, manages and optimizes the energy production, storage and use of energy generated by our systems. Our solutions address a broad range of solar market segments, from residential solar installations to commercial and small utility scale solar installations.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400050</wp:posOffset>
                </wp:positionV>
                <wp:extent cx="653224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1.5pt" to="514.15pt,31.5pt" o:allowincell="f" strokecolor="#000000" strokeweight="1.5599pt"/>
            </w:pict>
          </mc:Fallback>
        </mc:AlternateContent>
      </w:r>
    </w:p>
    <w:p>
      <w:pPr>
        <w:sectPr>
          <w:pgSz w:w="11900" w:h="16840" w:orient="portrait"/>
          <w:cols w:equalWidth="0" w:num="1">
            <w:col w:w="10280"/>
          </w:cols>
          <w:pgMar w:left="820" w:top="1142" w:right="804" w:bottom="1440" w:gutter="0" w:footer="0" w:header="0"/>
        </w:sectPr>
      </w:pPr>
    </w:p>
    <w:bookmarkStart w:id="152" w:name="page153"/>
    <w:bookmarkEnd w:id="152"/>
    <w:p>
      <w:pPr>
        <w:spacing w:after="0"/>
        <w:rPr>
          <w:sz w:val="20"/>
          <w:szCs w:val="20"/>
          <w:color w:val="auto"/>
        </w:rPr>
      </w:pPr>
      <w:r>
        <w:rPr>
          <w:rFonts w:ascii="Arial" w:cs="Arial" w:eastAsia="Arial" w:hAnsi="Arial"/>
          <w:sz w:val="35"/>
          <w:szCs w:val="35"/>
          <w:color w:val="2E90D6"/>
        </w:rPr>
        <w:t>Financial Highlights and Link to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6593840" cy="4099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
                      <a:extLst>
                        <a:ext uri="{28A0092B-C50C-407E-A947-70E740481C1C}"/>
                      </a:extLst>
                    </a:blip>
                    <a:srcRect/>
                    <a:stretch>
                      <a:fillRect/>
                    </a:stretch>
                  </pic:blipFill>
                  <pic:spPr bwMode="auto">
                    <a:xfrm>
                      <a:off x="0" y="0"/>
                      <a:ext cx="6593840" cy="409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01446"/>
        </w:rPr>
        <w:t>How Our Compensation Program Supports Our Business Strategy</w:t>
      </w:r>
    </w:p>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4"/>
          <w:szCs w:val="14"/>
          <w:color w:val="001446"/>
        </w:rPr>
        <w:t>Our executive compensation program is designed to align stockholders’ interests with the Company’s performance, retain and incentivize our senior executives, drive long-term business goals and encourage responsible risk-taking. These goals are achieved by linking individual pay with the Company’s overall performance on financial and business strategic goals. All senior executives have a large portion of compensation that is variable and covers annual and multi-year performance periods. Long-term incentive awards are designed to align executives with the Company’s long-term performance. In 2025, as in recent years, the long-term award mix under the annual equity incentive program was comprised 50% of performance stock units (“PSUs”) and 50% of time-based restricted stock units (“RSUs”).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400050</wp:posOffset>
                </wp:positionV>
                <wp:extent cx="653224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1.5pt" to="514.15pt,31.5pt" o:allowincell="f" strokecolor="#000000" strokeweight="1.62pt"/>
            </w:pict>
          </mc:Fallback>
        </mc:AlternateContent>
      </w:r>
    </w:p>
    <w:p>
      <w:pPr>
        <w:sectPr>
          <w:pgSz w:w="11900" w:h="16840" w:orient="portrait"/>
          <w:cols w:equalWidth="0" w:num="1">
            <w:col w:w="10180"/>
          </w:cols>
          <w:pgMar w:left="820" w:top="1146" w:right="904" w:bottom="1440" w:gutter="0" w:footer="0" w:header="0"/>
        </w:sectPr>
      </w:pPr>
    </w:p>
    <w:bookmarkStart w:id="153" w:name="page154"/>
    <w:bookmarkEnd w:id="153"/>
    <w:p>
      <w:pPr>
        <w:ind w:left="4"/>
        <w:spacing w:after="0"/>
        <w:rPr>
          <w:sz w:val="20"/>
          <w:szCs w:val="20"/>
          <w:color w:val="auto"/>
        </w:rPr>
      </w:pPr>
      <w:r>
        <w:rPr>
          <w:rFonts w:ascii="Arial" w:cs="Arial" w:eastAsia="Arial" w:hAnsi="Arial"/>
          <w:sz w:val="35"/>
          <w:szCs w:val="35"/>
          <w:b w:val="1"/>
          <w:bCs w:val="1"/>
          <w:color w:val="2E90D6"/>
        </w:rPr>
        <w:t>Corporate Governance Highlights</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1446"/>
        </w:rPr>
        <w:t>Board and Committee Practices</w:t>
      </w:r>
    </w:p>
    <w:p>
      <w:pPr>
        <w:spacing w:after="0" w:line="23" w:lineRule="exact"/>
        <w:rPr>
          <w:sz w:val="20"/>
          <w:szCs w:val="20"/>
          <w:color w:val="auto"/>
        </w:rPr>
      </w:pP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6/7 directors (86%) are independent</w:t>
      </w:r>
    </w:p>
    <w:p>
      <w:pPr>
        <w:spacing w:after="0" w:line="7" w:lineRule="exact"/>
        <w:rPr>
          <w:rFonts w:ascii="Arial" w:cs="Arial" w:eastAsia="Arial" w:hAnsi="Arial"/>
          <w:sz w:val="14"/>
          <w:szCs w:val="14"/>
          <w:color w:val="FF0000"/>
        </w:rPr>
      </w:pPr>
    </w:p>
    <w:p>
      <w:pPr>
        <w:ind w:left="1004" w:hanging="284"/>
        <w:spacing w:after="0" w:line="184" w:lineRule="auto"/>
        <w:tabs>
          <w:tab w:leader="none" w:pos="1004" w:val="left"/>
        </w:tabs>
        <w:numPr>
          <w:ilvl w:val="0"/>
          <w:numId w:val="76"/>
        </w:numPr>
        <w:rPr>
          <w:rFonts w:ascii="Arial" w:cs="Arial" w:eastAsia="Arial" w:hAnsi="Arial"/>
          <w:sz w:val="12"/>
          <w:szCs w:val="12"/>
          <w:color w:val="FF0000"/>
        </w:rPr>
      </w:pPr>
      <w:r>
        <w:rPr>
          <w:rFonts w:ascii="Arial" w:cs="Arial" w:eastAsia="Arial" w:hAnsi="Arial"/>
          <w:sz w:val="12"/>
          <w:szCs w:val="12"/>
          <w:color w:val="001446"/>
        </w:rPr>
        <w:t>2/7 of our Board members (29%) are women and 71% are men</w:t>
      </w:r>
      <w:r>
        <w:rPr>
          <w:rFonts w:ascii="Arial" w:cs="Arial" w:eastAsia="Arial" w:hAnsi="Arial"/>
          <w:sz w:val="19"/>
          <w:szCs w:val="19"/>
          <w:color w:val="001446"/>
          <w:vertAlign w:val="superscript"/>
        </w:rPr>
        <w:t>1</w:t>
      </w: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Balanced Board composition of tenure, skills, experience and background</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Independent Chairperson, separate from CEO</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Limits on the number of boards on which our directors may serve, with no director permitted to serve on more than five public boards</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Annual Board and Committee self-evaluation</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Nominating and Corporate Governance Committee oversight of sustainability and other governance matters</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6"/>
        </w:numPr>
        <w:rPr>
          <w:rFonts w:ascii="Arial" w:cs="Arial" w:eastAsia="Arial" w:hAnsi="Arial"/>
          <w:sz w:val="14"/>
          <w:szCs w:val="14"/>
          <w:color w:val="FF0000"/>
        </w:rPr>
      </w:pPr>
      <w:r>
        <w:rPr>
          <w:rFonts w:ascii="Arial" w:cs="Arial" w:eastAsia="Arial" w:hAnsi="Arial"/>
          <w:sz w:val="14"/>
          <w:szCs w:val="14"/>
          <w:color w:val="001446"/>
        </w:rPr>
        <w:t>Compensation Committee oversight of human capital management strategies and policies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1446"/>
        </w:rPr>
        <w:t>Accountability and Other Governance Practices</w:t>
      </w:r>
    </w:p>
    <w:p>
      <w:pPr>
        <w:spacing w:after="0" w:line="23" w:lineRule="exact"/>
        <w:rPr>
          <w:sz w:val="20"/>
          <w:szCs w:val="20"/>
          <w:color w:val="auto"/>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Clawback policy covering both cash and equity incentive-based compensation</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Prohibition on hedging and pledging transactions by all employees and directors</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Stock ownership and share retention policy for Board members and executive officers</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Annual stockholder advisory vote on executive compensation (“Say-on-Pay”)</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Comprehensive Code of Conduct and other corporate policies broadly adopted throughout the Company</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Responsive, active, and ongoing stockholder engagement</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Annual sustainability reporting in reference to SASB and GRI frameworks</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7"/>
        </w:numPr>
        <w:rPr>
          <w:rFonts w:ascii="Arial" w:cs="Arial" w:eastAsia="Arial" w:hAnsi="Arial"/>
          <w:sz w:val="14"/>
          <w:szCs w:val="14"/>
          <w:color w:val="FF0000"/>
        </w:rPr>
      </w:pPr>
      <w:r>
        <w:rPr>
          <w:rFonts w:ascii="Arial" w:cs="Arial" w:eastAsia="Arial" w:hAnsi="Arial"/>
          <w:sz w:val="14"/>
          <w:szCs w:val="14"/>
          <w:color w:val="001446"/>
        </w:rPr>
        <w:t>Quarterly reporting regarding cyber related matters to our Technology and Cyber Committee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1446"/>
        </w:rPr>
        <w:t>Stockholder Rights</w:t>
      </w:r>
    </w:p>
    <w:p>
      <w:pPr>
        <w:spacing w:after="0" w:line="24" w:lineRule="exact"/>
        <w:rPr>
          <w:sz w:val="20"/>
          <w:szCs w:val="20"/>
          <w:color w:val="auto"/>
        </w:rPr>
      </w:pPr>
    </w:p>
    <w:p>
      <w:pPr>
        <w:ind w:left="1004" w:hanging="284"/>
        <w:spacing w:after="0"/>
        <w:tabs>
          <w:tab w:leader="none" w:pos="1004" w:val="left"/>
        </w:tabs>
        <w:numPr>
          <w:ilvl w:val="0"/>
          <w:numId w:val="78"/>
        </w:numPr>
        <w:rPr>
          <w:rFonts w:ascii="Arial" w:cs="Arial" w:eastAsia="Arial" w:hAnsi="Arial"/>
          <w:sz w:val="14"/>
          <w:szCs w:val="14"/>
          <w:color w:val="FF0000"/>
        </w:rPr>
      </w:pPr>
      <w:r>
        <w:rPr>
          <w:rFonts w:ascii="Arial" w:cs="Arial" w:eastAsia="Arial" w:hAnsi="Arial"/>
          <w:sz w:val="14"/>
          <w:szCs w:val="14"/>
          <w:color w:val="001446"/>
        </w:rPr>
        <w:t>Comprehensive stockholder outreach program</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8"/>
        </w:numPr>
        <w:rPr>
          <w:rFonts w:ascii="Arial" w:cs="Arial" w:eastAsia="Arial" w:hAnsi="Arial"/>
          <w:sz w:val="14"/>
          <w:szCs w:val="14"/>
          <w:color w:val="FF0000"/>
        </w:rPr>
      </w:pPr>
      <w:r>
        <w:rPr>
          <w:rFonts w:ascii="Arial" w:cs="Arial" w:eastAsia="Arial" w:hAnsi="Arial"/>
          <w:sz w:val="14"/>
          <w:szCs w:val="14"/>
          <w:color w:val="001446"/>
        </w:rPr>
        <w:t>No stockholder rights plan</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8"/>
        </w:numPr>
        <w:rPr>
          <w:rFonts w:ascii="Arial" w:cs="Arial" w:eastAsia="Arial" w:hAnsi="Arial"/>
          <w:sz w:val="14"/>
          <w:szCs w:val="14"/>
          <w:color w:val="FF0000"/>
        </w:rPr>
      </w:pPr>
      <w:r>
        <w:rPr>
          <w:rFonts w:ascii="Arial" w:cs="Arial" w:eastAsia="Arial" w:hAnsi="Arial"/>
          <w:sz w:val="14"/>
          <w:szCs w:val="14"/>
          <w:color w:val="001446"/>
        </w:rPr>
        <w:t>No dual-class share structure with each stockholder having one vote per share</w:t>
      </w:r>
    </w:p>
    <w:p>
      <w:pPr>
        <w:spacing w:after="0" w:line="7" w:lineRule="exact"/>
        <w:rPr>
          <w:rFonts w:ascii="Arial" w:cs="Arial" w:eastAsia="Arial" w:hAnsi="Arial"/>
          <w:sz w:val="14"/>
          <w:szCs w:val="14"/>
          <w:color w:val="FF0000"/>
        </w:rPr>
      </w:pPr>
    </w:p>
    <w:p>
      <w:pPr>
        <w:ind w:left="1004" w:hanging="284"/>
        <w:spacing w:after="0"/>
        <w:tabs>
          <w:tab w:leader="none" w:pos="1004" w:val="left"/>
        </w:tabs>
        <w:numPr>
          <w:ilvl w:val="0"/>
          <w:numId w:val="78"/>
        </w:numPr>
        <w:rPr>
          <w:rFonts w:ascii="Arial" w:cs="Arial" w:eastAsia="Arial" w:hAnsi="Arial"/>
          <w:sz w:val="14"/>
          <w:szCs w:val="14"/>
          <w:color w:val="FF0000"/>
        </w:rPr>
      </w:pPr>
      <w:r>
        <w:rPr>
          <w:rFonts w:ascii="Arial" w:cs="Arial" w:eastAsia="Arial" w:hAnsi="Arial"/>
          <w:sz w:val="14"/>
          <w:szCs w:val="14"/>
          <w:color w:val="001446"/>
        </w:rPr>
        <w:t>Declassification of the board and no supermajority voting provisions to amend governing documents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1446"/>
        </w:rPr>
        <w:t>Board Oversight of Incentive Structure for Executives</w:t>
      </w:r>
    </w:p>
    <w:p>
      <w:pPr>
        <w:spacing w:after="0" w:line="23" w:lineRule="exact"/>
        <w:rPr>
          <w:sz w:val="20"/>
          <w:szCs w:val="20"/>
          <w:color w:val="auto"/>
        </w:rPr>
      </w:pPr>
    </w:p>
    <w:p>
      <w:pPr>
        <w:ind w:left="1004" w:right="160" w:hanging="284"/>
        <w:spacing w:after="0" w:line="250" w:lineRule="auto"/>
        <w:tabs>
          <w:tab w:leader="none" w:pos="1004" w:val="left"/>
        </w:tabs>
        <w:numPr>
          <w:ilvl w:val="0"/>
          <w:numId w:val="79"/>
        </w:numPr>
        <w:rPr>
          <w:rFonts w:ascii="Arial" w:cs="Arial" w:eastAsia="Arial" w:hAnsi="Arial"/>
          <w:sz w:val="14"/>
          <w:szCs w:val="14"/>
          <w:color w:val="FF0000"/>
        </w:rPr>
      </w:pPr>
      <w:r>
        <w:rPr>
          <w:rFonts w:ascii="Arial" w:cs="Arial" w:eastAsia="Arial" w:hAnsi="Arial"/>
          <w:sz w:val="14"/>
          <w:szCs w:val="14"/>
          <w:color w:val="001446"/>
        </w:rPr>
        <w:t>Our Compensation Committee annually reviews and approves incentive structure, targets, and objectives in alignment with the Company’s business strategy</w:t>
      </w:r>
    </w:p>
    <w:p>
      <w:pPr>
        <w:ind w:left="1004" w:right="340" w:hanging="284"/>
        <w:spacing w:after="0" w:line="250" w:lineRule="auto"/>
        <w:tabs>
          <w:tab w:leader="none" w:pos="1004" w:val="left"/>
        </w:tabs>
        <w:numPr>
          <w:ilvl w:val="0"/>
          <w:numId w:val="79"/>
        </w:numPr>
        <w:rPr>
          <w:rFonts w:ascii="Arial" w:cs="Arial" w:eastAsia="Arial" w:hAnsi="Arial"/>
          <w:sz w:val="14"/>
          <w:szCs w:val="14"/>
          <w:color w:val="FF0000"/>
        </w:rPr>
      </w:pPr>
      <w:r>
        <w:rPr>
          <w:rFonts w:ascii="Arial" w:cs="Arial" w:eastAsia="Arial" w:hAnsi="Arial"/>
          <w:sz w:val="14"/>
          <w:szCs w:val="14"/>
          <w:color w:val="001446"/>
        </w:rPr>
        <w:t>Financial and specific performance-based incentive targets are set by our Compensation Committee to reward financial and operational performance that advances the Company’s short- and long-term strategic goals</w:t>
      </w:r>
    </w:p>
    <w:p>
      <w:pPr>
        <w:ind w:left="1004" w:hanging="284"/>
        <w:spacing w:after="0" w:line="293" w:lineRule="auto"/>
        <w:tabs>
          <w:tab w:leader="none" w:pos="1004" w:val="left"/>
        </w:tabs>
        <w:numPr>
          <w:ilvl w:val="0"/>
          <w:numId w:val="79"/>
        </w:numPr>
        <w:rPr>
          <w:rFonts w:ascii="Arial" w:cs="Arial" w:eastAsia="Arial" w:hAnsi="Arial"/>
          <w:sz w:val="14"/>
          <w:szCs w:val="14"/>
          <w:color w:val="FF0000"/>
        </w:rPr>
      </w:pPr>
      <w:r>
        <w:rPr>
          <w:rFonts w:ascii="Arial" w:cs="Arial" w:eastAsia="Arial" w:hAnsi="Arial"/>
          <w:sz w:val="14"/>
          <w:szCs w:val="14"/>
          <w:color w:val="001446"/>
        </w:rPr>
        <w:t>Relative and absolute stock price-based performance goals are established by our Compensation Committee under our equity compensation program to align executive and stockholder interests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123190</wp:posOffset>
                </wp:positionV>
                <wp:extent cx="130556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5560" cy="4763"/>
                        </a:xfrm>
                        <a:prstGeom prst="line">
                          <a:avLst/>
                        </a:prstGeom>
                        <a:solidFill>
                          <a:srgbClr val="FFFFFF"/>
                        </a:solidFill>
                        <a:ln w="10667">
                          <a:solidFill>
                            <a:srgbClr val="001346"/>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pt" to="102.8pt,9.7pt" o:allowincell="f" strokecolor="#001346" strokeweight="0.8399pt"/>
            </w:pict>
          </mc:Fallback>
        </mc:AlternateContent>
      </w:r>
    </w:p>
    <w:p>
      <w:pPr>
        <w:spacing w:after="0" w:line="142" w:lineRule="exact"/>
        <w:rPr>
          <w:sz w:val="20"/>
          <w:szCs w:val="20"/>
          <w:color w:val="auto"/>
        </w:rPr>
      </w:pPr>
    </w:p>
    <w:p>
      <w:pPr>
        <w:ind w:left="124" w:hanging="124"/>
        <w:spacing w:after="0"/>
        <w:tabs>
          <w:tab w:leader="none" w:pos="124" w:val="left"/>
        </w:tabs>
        <w:numPr>
          <w:ilvl w:val="0"/>
          <w:numId w:val="80"/>
        </w:numPr>
        <w:rPr>
          <w:rFonts w:ascii="Arial" w:cs="Arial" w:eastAsia="Arial" w:hAnsi="Arial"/>
          <w:sz w:val="27"/>
          <w:szCs w:val="27"/>
          <w:color w:val="001346"/>
          <w:vertAlign w:val="superscript"/>
        </w:rPr>
      </w:pPr>
      <w:r>
        <w:rPr>
          <w:rFonts w:ascii="Arial" w:cs="Arial" w:eastAsia="Arial" w:hAnsi="Arial"/>
          <w:sz w:val="16"/>
          <w:szCs w:val="16"/>
          <w:color w:val="001346"/>
        </w:rPr>
        <w:t>As of this date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295910</wp:posOffset>
                </wp:positionV>
                <wp:extent cx="653224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3pt" to="514.35pt,23.3pt" o:allowincell="f" strokecolor="#000000" strokeweight="1.5599pt"/>
            </w:pict>
          </mc:Fallback>
        </mc:AlternateContent>
      </w:r>
    </w:p>
    <w:p>
      <w:pPr>
        <w:sectPr>
          <w:pgSz w:w="11900" w:h="16840" w:orient="portrait"/>
          <w:cols w:equalWidth="0" w:num="1">
            <w:col w:w="9964"/>
          </w:cols>
          <w:pgMar w:left="816" w:top="1142" w:right="1124" w:bottom="1440" w:gutter="0" w:footer="0" w:header="0"/>
        </w:sectPr>
      </w:pPr>
    </w:p>
    <w:bookmarkStart w:id="154" w:name="page155"/>
    <w:bookmarkEnd w:id="15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518160</wp:posOffset>
                </wp:positionH>
                <wp:positionV relativeFrom="page">
                  <wp:posOffset>751205</wp:posOffset>
                </wp:positionV>
                <wp:extent cx="6532880" cy="91440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914400"/>
                        </a:xfrm>
                        <a:prstGeom prst="rect">
                          <a:avLst/>
                        </a:prstGeom>
                        <a:solidFill>
                          <a:srgbClr val="001346"/>
                        </a:solidFill>
                      </wps:spPr>
                      <wps:bodyPr/>
                    </wps:wsp>
                  </a:graphicData>
                </a:graphic>
              </wp:anchor>
            </w:drawing>
          </mc:Choice>
          <mc:Fallback>
            <w:pict>
              <v:rect id="Shape 194" o:spid="_x0000_s1219" style="position:absolute;margin-left:40.8pt;margin-top:59.15pt;width:514.4pt;height:7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1346" stroked="f">
                <w10:wrap anchorx="page" anchory="page"/>
              </v:rect>
            </w:pict>
          </mc:Fallback>
        </mc:AlternateConten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45"/>
          <w:szCs w:val="45"/>
          <w:b w:val="1"/>
          <w:bCs w:val="1"/>
          <w:color w:val="FFFF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Proposal No. 1 Election Of Directors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2460" w:type="dxa"/>
            <w:vAlign w:val="bottom"/>
            <w:tcBorders>
              <w:bottom w:val="single" w:sz="8" w:color="0000EE"/>
            </w:tcBorders>
            <w:gridSpan w:val="36"/>
          </w:tcPr>
          <w:p>
            <w:pPr>
              <w:spacing w:after="0"/>
              <w:rPr>
                <w:sz w:val="20"/>
                <w:szCs w:val="20"/>
                <w:color w:val="auto"/>
              </w:rPr>
            </w:pPr>
            <w:r>
              <w:rPr>
                <w:rFonts w:ascii="Arial" w:cs="Arial" w:eastAsia="Arial" w:hAnsi="Arial"/>
                <w:sz w:val="14"/>
                <w:szCs w:val="14"/>
                <w:b w:val="1"/>
                <w:bCs w:val="1"/>
                <w:color w:val="0000EE"/>
              </w:rPr>
              <w:t>Nominees for Election or Reelection</w:t>
            </w:r>
          </w:p>
        </w:tc>
        <w:tc>
          <w:tcPr>
            <w:tcW w:w="4620" w:type="dxa"/>
            <w:vAlign w:val="bottom"/>
            <w:gridSpan w:val="18"/>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Director Skills, Experience and Background</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9"/>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Skills and Expertise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Board Composition</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Directors and Corporate Governance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29"/>
        </w:trPr>
        <w:tc>
          <w:tcPr>
            <w:tcW w:w="2460" w:type="dxa"/>
            <w:vAlign w:val="bottom"/>
            <w:tcBorders>
              <w:top w:val="single" w:sz="8" w:color="0000EE"/>
            </w:tcBorders>
            <w:gridSpan w:val="36"/>
          </w:tcPr>
          <w:p>
            <w:pPr>
              <w:spacing w:after="0"/>
              <w:rPr>
                <w:sz w:val="20"/>
                <w:szCs w:val="20"/>
                <w:color w:val="auto"/>
              </w:rPr>
            </w:pPr>
            <w:r>
              <w:rPr>
                <w:rFonts w:ascii="Arial" w:cs="Arial" w:eastAsia="Arial" w:hAnsi="Arial"/>
                <w:sz w:val="14"/>
                <w:szCs w:val="14"/>
                <w:b w:val="1"/>
                <w:bCs w:val="1"/>
                <w:color w:val="0000EE"/>
              </w:rPr>
              <w:t>Board Independence</w:t>
            </w:r>
          </w:p>
        </w:tc>
        <w:tc>
          <w:tcPr>
            <w:tcW w:w="4620" w:type="dxa"/>
            <w:vAlign w:val="bottom"/>
            <w:gridSpan w:val="18"/>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Leadership Structure and succession planning</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Principles of Corporate Governance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Board Meetings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The Board’s Role in Risk Oversight</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28"/>
        </w:trPr>
        <w:tc>
          <w:tcPr>
            <w:tcW w:w="2180" w:type="dxa"/>
            <w:vAlign w:val="bottom"/>
            <w:tcBorders>
              <w:top w:val="single" w:sz="8" w:color="0000EE"/>
            </w:tcBorders>
            <w:gridSpan w:val="30"/>
          </w:tcPr>
          <w:p>
            <w:pPr>
              <w:spacing w:after="0"/>
              <w:rPr>
                <w:sz w:val="20"/>
                <w:szCs w:val="20"/>
                <w:color w:val="auto"/>
              </w:rPr>
            </w:pPr>
            <w:r>
              <w:rPr>
                <w:rFonts w:ascii="Arial" w:cs="Arial" w:eastAsia="Arial" w:hAnsi="Arial"/>
                <w:sz w:val="14"/>
                <w:szCs w:val="14"/>
                <w:b w:val="1"/>
                <w:bCs w:val="1"/>
                <w:color w:val="0000EE"/>
              </w:rPr>
              <w:t>Risk Oversight</w:t>
            </w:r>
          </w:p>
        </w:tc>
        <w:tc>
          <w:tcPr>
            <w:tcW w:w="80" w:type="dxa"/>
            <w:vAlign w:val="bottom"/>
          </w:tcPr>
          <w:p>
            <w:pPr>
              <w:spacing w:after="0"/>
              <w:rPr>
                <w:sz w:val="19"/>
                <w:szCs w:val="19"/>
                <w:color w:val="auto"/>
              </w:rPr>
            </w:pPr>
          </w:p>
        </w:tc>
        <w:tc>
          <w:tcPr>
            <w:tcW w:w="140" w:type="dxa"/>
            <w:vAlign w:val="bottom"/>
            <w:tcBorders>
              <w:top w:val="single" w:sz="8" w:color="0000EE"/>
            </w:tcBorders>
            <w:gridSpan w:val="4"/>
          </w:tcPr>
          <w:p>
            <w:pPr>
              <w:spacing w:after="0"/>
              <w:rPr>
                <w:sz w:val="19"/>
                <w:szCs w:val="19"/>
                <w:color w:val="auto"/>
              </w:rPr>
            </w:pPr>
          </w:p>
        </w:tc>
        <w:tc>
          <w:tcPr>
            <w:tcW w:w="4680" w:type="dxa"/>
            <w:vAlign w:val="bottom"/>
            <w:gridSpan w:val="19"/>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Sustainability Strategy and Oversight</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Oversight of Cybersecurity and Data Privacy Risks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134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b w:val="1"/>
                <w:bCs w:val="1"/>
                <w:color w:val="0000EE"/>
              </w:rPr>
              <w:t>Board Committees</w:t>
            </w:r>
          </w:p>
        </w:tc>
        <w:tc>
          <w:tcPr>
            <w:tcW w:w="5740" w:type="dxa"/>
            <w:vAlign w:val="bottom"/>
            <w:gridSpan w:val="36"/>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29"/>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Audit Committee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Compensation Committee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Compensation Committee Interlocks and Insider Participation</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Nominating and Corporate Governance Committee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Technology and Cyber Committee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Policy Regarding Stockholder Recommendations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Director Compensation</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Stockholder Engagement and Communication</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2025 Engagement Topics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Communications with the Board</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0"/>
        </w:trPr>
        <w:tc>
          <w:tcPr>
            <w:tcW w:w="2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 xml:space="preserve">Corporate Social Responsibility </w:t>
            </w:r>
            <w:r>
              <w:rPr>
                <w:rFonts w:ascii="Arial" w:cs="Arial" w:eastAsia="Arial" w:hAnsi="Arial"/>
                <w:sz w:val="12"/>
                <w:szCs w:val="12"/>
                <w:b w:val="1"/>
                <w:bCs w:val="1"/>
                <w:color w:val="0000EE"/>
              </w:rPr>
              <w:t>(1)</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The Safety of our People</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0"/>
        </w:trPr>
        <w:tc>
          <w:tcPr>
            <w:tcW w:w="2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Code of Conduct and Ethical Business Conduct</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0"/>
        </w:trPr>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Insider Trading Policy &amp; Anti-Hedging/Pledging Policies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
        </w:trPr>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6"/>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Political Involvement</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
        </w:trPr>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Human Capital Development</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
        </w:trPr>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gridSpan w:val="8"/>
            <w:shd w:val="clear" w:color="auto" w:fill="0000EE"/>
          </w:tcPr>
          <w:p>
            <w:pPr>
              <w:spacing w:after="0" w:line="20" w:lineRule="exact"/>
              <w:rPr>
                <w:sz w:val="1"/>
                <w:szCs w:val="1"/>
                <w:color w:val="auto"/>
              </w:rPr>
            </w:pPr>
          </w:p>
        </w:tc>
        <w:tc>
          <w:tcPr>
            <w:tcW w:w="38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7"/>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Community Engagement</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20"/>
        </w:trPr>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7080" w:type="dxa"/>
            <w:vAlign w:val="bottom"/>
            <w:gridSpan w:val="54"/>
          </w:tcPr>
          <w:p>
            <w:pPr>
              <w:spacing w:after="0"/>
              <w:rPr>
                <w:sz w:val="20"/>
                <w:szCs w:val="20"/>
                <w:color w:val="auto"/>
              </w:rPr>
            </w:pPr>
            <w:r>
              <w:rPr>
                <w:rFonts w:ascii="Arial" w:cs="Arial" w:eastAsia="Arial" w:hAnsi="Arial"/>
                <w:sz w:val="14"/>
                <w:szCs w:val="14"/>
                <w:b w:val="1"/>
                <w:bCs w:val="1"/>
                <w:color w:val="0000EE"/>
              </w:rPr>
              <w:t>Proposal No. 2 Ratification of Appointment of Independent Registered Public Accounting Firm for 2026</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168275</wp:posOffset>
                </wp:positionV>
                <wp:extent cx="6532245" cy="58420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195" o:spid="_x0000_s1220" style="position:absolute;margin-left:-0.1499pt;margin-top:13.2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9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559435</wp:posOffset>
                </wp:positionV>
                <wp:extent cx="653224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4.05pt" to="514.15pt,44.05pt" o:allowincell="f" strokecolor="#000000" strokeweight="1.5599pt"/>
            </w:pict>
          </mc:Fallback>
        </mc:AlternateContent>
      </w:r>
    </w:p>
    <w:p>
      <w:pPr>
        <w:sectPr>
          <w:pgSz w:w="11900" w:h="16840" w:orient="portrait"/>
          <w:cols w:equalWidth="0" w:num="1">
            <w:col w:w="10280"/>
          </w:cols>
          <w:pgMar w:left="820" w:top="1440" w:right="804"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72"/>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Audit and Related Fees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70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Proposal No. 3 Say-On-Pay</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540" w:type="dxa"/>
            <w:vAlign w:val="bottom"/>
            <w:tcBorders>
              <w:left w:val="single" w:sz="8" w:color="0000EE"/>
            </w:tcBorders>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Proposal No. 4 Approval of Amendment to the Company’s Amended and Restated Certificate of Incorporation to</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6"/>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5320" w:type="dxa"/>
            <w:vAlign w:val="bottom"/>
            <w:gridSpan w:val="10"/>
            <w:shd w:val="clear" w:color="auto" w:fill="0000E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900" w:type="dxa"/>
            <w:vAlign w:val="bottom"/>
            <w:gridSpan w:val="65"/>
          </w:tcPr>
          <w:p>
            <w:pPr>
              <w:spacing w:after="0" w:line="148" w:lineRule="exact"/>
              <w:rPr>
                <w:sz w:val="20"/>
                <w:szCs w:val="20"/>
                <w:color w:val="auto"/>
              </w:rPr>
            </w:pPr>
            <w:r>
              <w:rPr>
                <w:rFonts w:ascii="Arial" w:cs="Arial" w:eastAsia="Arial" w:hAnsi="Arial"/>
                <w:sz w:val="14"/>
                <w:szCs w:val="14"/>
                <w:b w:val="1"/>
                <w:bCs w:val="1"/>
                <w:color w:val="0000EE"/>
              </w:rPr>
              <w:t>Limit the Liability of Certain Officers as Permitted by Law</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7260" w:type="dxa"/>
            <w:vAlign w:val="bottom"/>
            <w:tcBorders>
              <w:left w:val="single" w:sz="8" w:color="0000EE"/>
            </w:tcBorders>
            <w:gridSpan w:val="1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Purpose and Effect of the Proposed Amendment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7260" w:type="dxa"/>
            <w:vAlign w:val="bottom"/>
            <w:tcBorders>
              <w:left w:val="single" w:sz="8" w:color="0000EE"/>
            </w:tcBorders>
            <w:gridSpan w:val="1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Effectiveness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360" w:type="dxa"/>
            <w:vAlign w:val="bottom"/>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7260" w:type="dxa"/>
            <w:vAlign w:val="bottom"/>
            <w:tcBorders>
              <w:left w:val="single" w:sz="8" w:color="0000EE"/>
            </w:tcBorders>
            <w:gridSpan w:val="1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Employee Stock Purchase Plan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2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b w:val="1"/>
                <w:bCs w:val="1"/>
                <w:color w:val="0000EE"/>
              </w:rPr>
              <w:t>Executive Officers</w:t>
            </w:r>
          </w:p>
        </w:tc>
        <w:tc>
          <w:tcPr>
            <w:tcW w:w="7620" w:type="dxa"/>
            <w:vAlign w:val="bottom"/>
            <w:gridSpan w:val="43"/>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Executive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Company Named Executive Officers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Strategy</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Objectives and Guiding Principles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Governance Highlights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2025 Total Target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Elements of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Implementing Compensation Objectives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Determining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Role of Compensation Committee and Management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Role of Compensation Consultants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Peer Group</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2025 Pay Positioning</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Advisory Vote on Executive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Compensation-Related Governance Policies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Equity Grant Practices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Clawback Policy</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Stock Ownership and Holding Guidelines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of the Named Executive Officers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8"/>
            <w:shd w:val="clear" w:color="auto" w:fill="0000EE"/>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Base Salary</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40" w:type="dxa"/>
            <w:vAlign w:val="bottom"/>
            <w:gridSpan w:val="2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Annual Cash Incentive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27"/>
        </w:trPr>
        <w:tc>
          <w:tcPr>
            <w:tcW w:w="1900" w:type="dxa"/>
            <w:vAlign w:val="bottom"/>
            <w:tcBorders>
              <w:top w:val="single" w:sz="8" w:color="0000EE"/>
            </w:tcBorders>
            <w:gridSpan w:val="33"/>
          </w:tcPr>
          <w:p>
            <w:pPr>
              <w:spacing w:after="0"/>
              <w:rPr>
                <w:sz w:val="20"/>
                <w:szCs w:val="20"/>
                <w:color w:val="auto"/>
              </w:rPr>
            </w:pPr>
            <w:r>
              <w:rPr>
                <w:rFonts w:ascii="Arial" w:cs="Arial" w:eastAsia="Arial" w:hAnsi="Arial"/>
                <w:sz w:val="14"/>
                <w:szCs w:val="14"/>
                <w:b w:val="1"/>
                <w:bCs w:val="1"/>
                <w:color w:val="0000EE"/>
              </w:rPr>
              <w:t>Equity Compensation</w:t>
            </w:r>
          </w:p>
        </w:tc>
        <w:tc>
          <w:tcPr>
            <w:tcW w:w="60" w:type="dxa"/>
            <w:vAlign w:val="bottom"/>
          </w:tcPr>
          <w:p>
            <w:pPr>
              <w:spacing w:after="0"/>
              <w:rPr>
                <w:sz w:val="19"/>
                <w:szCs w:val="19"/>
                <w:color w:val="auto"/>
              </w:rPr>
            </w:pPr>
          </w:p>
        </w:tc>
        <w:tc>
          <w:tcPr>
            <w:tcW w:w="600" w:type="dxa"/>
            <w:vAlign w:val="bottom"/>
            <w:tcBorders>
              <w:top w:val="single" w:sz="8" w:color="0000EE"/>
            </w:tcBorders>
            <w:gridSpan w:val="8"/>
          </w:tcPr>
          <w:p>
            <w:pPr>
              <w:spacing w:after="0"/>
              <w:rPr>
                <w:sz w:val="19"/>
                <w:szCs w:val="19"/>
                <w:color w:val="auto"/>
              </w:rPr>
            </w:pPr>
          </w:p>
        </w:tc>
        <w:tc>
          <w:tcPr>
            <w:tcW w:w="6340" w:type="dxa"/>
            <w:vAlign w:val="bottom"/>
            <w:gridSpan w:val="23"/>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Other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Tax Deductibility of Compensation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left w:val="single" w:sz="8" w:color="0000EE"/>
            </w:tcBorders>
            <w:gridSpan w:val="11"/>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Committee Report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18"/>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5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Compensation Risk</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7"/>
            <w:shd w:val="clear" w:color="auto" w:fill="0000EE"/>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5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65"/>
          </w:tcPr>
          <w:p>
            <w:pPr>
              <w:spacing w:after="0"/>
              <w:rPr>
                <w:sz w:val="20"/>
                <w:szCs w:val="20"/>
                <w:color w:val="auto"/>
              </w:rPr>
            </w:pPr>
            <w:r>
              <w:rPr>
                <w:rFonts w:ascii="Arial" w:cs="Arial" w:eastAsia="Arial" w:hAnsi="Arial"/>
                <w:sz w:val="14"/>
                <w:szCs w:val="14"/>
                <w:b w:val="1"/>
                <w:bCs w:val="1"/>
                <w:color w:val="0000EE"/>
              </w:rPr>
              <w:t>Summary Compensation Table</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0"/>
        </w:trPr>
        <w:tc>
          <w:tcPr>
            <w:tcW w:w="58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980" w:type="dxa"/>
            <w:vAlign w:val="bottom"/>
            <w:tcBorders>
              <w:left w:val="single" w:sz="8" w:color="0000EE"/>
              <w:right w:val="single" w:sz="8" w:color="0000EE"/>
            </w:tcBorders>
            <w:gridSpan w:val="19"/>
            <w:shd w:val="clear" w:color="auto" w:fill="0000EE"/>
          </w:tcPr>
          <w:p>
            <w:pPr>
              <w:spacing w:after="0" w:line="20" w:lineRule="exact"/>
              <w:rPr>
                <w:sz w:val="1"/>
                <w:szCs w:val="1"/>
                <w:color w:val="auto"/>
              </w:rPr>
            </w:pPr>
          </w:p>
        </w:tc>
        <w:tc>
          <w:tcPr>
            <w:tcW w:w="340" w:type="dxa"/>
            <w:vAlign w:val="bottom"/>
            <w:tcBorders>
              <w:left w:val="single" w:sz="8" w:color="0000EE"/>
            </w:tcBorders>
            <w:gridSpan w:val="5"/>
          </w:tcPr>
          <w:p>
            <w:pPr>
              <w:spacing w:after="0" w:line="20" w:lineRule="exact"/>
              <w:rPr>
                <w:sz w:val="1"/>
                <w:szCs w:val="1"/>
                <w:color w:val="auto"/>
              </w:rPr>
            </w:pPr>
          </w:p>
        </w:tc>
        <w:tc>
          <w:tcPr>
            <w:tcW w:w="65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00" w:type="dxa"/>
            <w:vAlign w:val="bottom"/>
            <w:tcBorders>
              <w:bottom w:val="single" w:sz="8" w:color="0000EE"/>
            </w:tcBorders>
            <w:gridSpan w:val="41"/>
          </w:tcPr>
          <w:p>
            <w:pPr>
              <w:spacing w:after="0"/>
              <w:rPr>
                <w:sz w:val="20"/>
                <w:szCs w:val="20"/>
                <w:color w:val="auto"/>
              </w:rPr>
            </w:pPr>
            <w:r>
              <w:rPr>
                <w:rFonts w:ascii="Arial" w:cs="Arial" w:eastAsia="Arial" w:hAnsi="Arial"/>
                <w:sz w:val="14"/>
                <w:szCs w:val="14"/>
                <w:b w:val="1"/>
                <w:bCs w:val="1"/>
                <w:color w:val="0000EE"/>
              </w:rPr>
              <w:t>2025 Grants of Plan-Based Awards</w:t>
            </w:r>
          </w:p>
        </w:tc>
        <w:tc>
          <w:tcPr>
            <w:tcW w:w="6500" w:type="dxa"/>
            <w:vAlign w:val="bottom"/>
            <w:gridSpan w:val="24"/>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175895</wp:posOffset>
                </wp:positionV>
                <wp:extent cx="6532245" cy="58356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197" o:spid="_x0000_s1222" style="position:absolute;margin-left:-0.1499pt;margin-top:13.8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mc:AlternateContent>
          <mc:Choice Requires="wps">
            <w:drawing>
              <wp:anchor simplePos="0" relativeHeight="251657728" behindDoc="1" locked="0" layoutInCell="0" allowOverlap="1">
                <wp:simplePos x="0" y="0"/>
                <wp:positionH relativeFrom="column">
                  <wp:posOffset>1170305</wp:posOffset>
                </wp:positionH>
                <wp:positionV relativeFrom="paragraph">
                  <wp:posOffset>-5846445</wp:posOffset>
                </wp:positionV>
                <wp:extent cx="0" cy="1016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9905">
                          <a:solidFill>
                            <a:srgbClr val="0000EE"/>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15pt,-460.3499pt" to="92.15pt,-459.5499pt" o:allowincell="f" strokecolor="#0000EE" strokeweight="0.7799pt"/>
            </w:pict>
          </mc:Fallback>
        </mc:AlternateContent>
        <mc:AlternateContent>
          <mc:Choice Requires="wps">
            <w:drawing>
              <wp:anchor simplePos="0" relativeHeight="251657728" behindDoc="1" locked="0" layoutInCell="0" allowOverlap="1">
                <wp:simplePos x="0" y="0"/>
                <wp:positionH relativeFrom="column">
                  <wp:posOffset>1007745</wp:posOffset>
                </wp:positionH>
                <wp:positionV relativeFrom="paragraph">
                  <wp:posOffset>-3974465</wp:posOffset>
                </wp:positionV>
                <wp:extent cx="1524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35pt,-312.9499pt" to="80.55pt,-312.9499pt" o:allowincell="f" strokecolor="#0000EE" strokeweight="0.36pt"/>
            </w:pict>
          </mc:Fallback>
        </mc:AlternateContent>
        <mc:AlternateContent>
          <mc:Choice Requires="wps">
            <w:drawing>
              <wp:anchor simplePos="0" relativeHeight="251657728" behindDoc="1" locked="0" layoutInCell="0" allowOverlap="1">
                <wp:simplePos x="0" y="0"/>
                <wp:positionH relativeFrom="column">
                  <wp:posOffset>1125220</wp:posOffset>
                </wp:positionH>
                <wp:positionV relativeFrom="paragraph">
                  <wp:posOffset>-2541905</wp:posOffset>
                </wp:positionV>
                <wp:extent cx="3048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6pt,-200.1499pt" to="91pt,-200.1499pt" o:allowincell="f" strokecolor="#0000EE" strokeweight="0.36pt"/>
            </w:pict>
          </mc:Fallback>
        </mc:AlternateContent>
        <mc:AlternateContent>
          <mc:Choice Requires="wps">
            <w:drawing>
              <wp:anchor simplePos="0" relativeHeight="251657728" behindDoc="1" locked="0" layoutInCell="0" allowOverlap="1">
                <wp:simplePos x="0" y="0"/>
                <wp:positionH relativeFrom="column">
                  <wp:posOffset>698500</wp:posOffset>
                </wp:positionH>
                <wp:positionV relativeFrom="paragraph">
                  <wp:posOffset>-1734185</wp:posOffset>
                </wp:positionV>
                <wp:extent cx="1524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pt,-136.5499pt" to="56.2pt,-136.5499pt" o:allowincell="f" strokecolor="#0000EE" strokeweight="0.36pt"/>
            </w:pict>
          </mc:Fallback>
        </mc:AlternateContent>
        <mc:AlternateContent>
          <mc:Choice Requires="wps">
            <w:drawing>
              <wp:anchor simplePos="0" relativeHeight="251657728" behindDoc="1" locked="0" layoutInCell="0" allowOverlap="1">
                <wp:simplePos x="0" y="0"/>
                <wp:positionH relativeFrom="column">
                  <wp:posOffset>500380</wp:posOffset>
                </wp:positionH>
                <wp:positionV relativeFrom="paragraph">
                  <wp:posOffset>-1261745</wp:posOffset>
                </wp:positionV>
                <wp:extent cx="1524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4572">
                          <a:solidFill>
                            <a:srgbClr val="0000EE"/>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pt,-99.3499pt" to="40.6pt,-99.3499pt" o:allowincell="f" strokecolor="#0000EE" strokeweight="0.3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549275</wp:posOffset>
                </wp:positionV>
                <wp:extent cx="653224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5pt" to="514.15pt,43.25pt" o:allowincell="f" strokecolor="#000000" strokeweight="1.6199pt"/>
            </w:pict>
          </mc:Fallback>
        </mc:AlternateContent>
      </w:r>
    </w:p>
    <w:p>
      <w:pPr>
        <w:sectPr>
          <w:pgSz w:w="11900" w:h="16840" w:orient="portrait"/>
          <w:cols w:equalWidth="0" w:num="1">
            <w:col w:w="10280"/>
          </w:cols>
          <w:pgMar w:left="820" w:top="883" w:right="804"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6"/>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Narrative Disclosure to Summary Compensation Table and Grants of Plan-Based Awards Table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5440" w:type="dxa"/>
            <w:vAlign w:val="bottom"/>
            <w:tcBorders>
              <w:left w:val="single" w:sz="8" w:color="0000EE"/>
            </w:tcBorders>
            <w:gridSpan w:val="8"/>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Outstanding Equity Awards at December 31, 2025</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4"/>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tcPr>
          <w:p>
            <w:pPr>
              <w:spacing w:after="0" w:line="20" w:lineRule="exact"/>
              <w:rPr>
                <w:sz w:val="1"/>
                <w:szCs w:val="1"/>
                <w:color w:val="auto"/>
              </w:rPr>
            </w:pPr>
          </w:p>
        </w:tc>
        <w:tc>
          <w:tcPr>
            <w:tcW w:w="3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69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32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b w:val="1"/>
                <w:bCs w:val="1"/>
                <w:color w:val="0000EE"/>
                <w:w w:val="99"/>
              </w:rPr>
              <w:t>Stock Vested Table</w:t>
            </w:r>
          </w:p>
        </w:tc>
        <w:tc>
          <w:tcPr>
            <w:tcW w:w="7560" w:type="dxa"/>
            <w:vAlign w:val="bottom"/>
            <w:gridSpan w:val="45"/>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Potential Payments and Acceleration of Equity upon Termination or Termination in Connection with a Change in</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8"/>
        </w:trPr>
        <w:tc>
          <w:tcPr>
            <w:tcW w:w="560" w:type="dxa"/>
            <w:vAlign w:val="bottom"/>
            <w:tcBorders>
              <w:top w:val="single" w:sz="8" w:color="0000EE"/>
              <w:bottom w:val="single" w:sz="8" w:color="0000EE"/>
            </w:tcBorders>
            <w:gridSpan w:val="8"/>
          </w:tcPr>
          <w:p>
            <w:pPr>
              <w:spacing w:after="0" w:line="148" w:lineRule="exact"/>
              <w:rPr>
                <w:sz w:val="20"/>
                <w:szCs w:val="20"/>
                <w:color w:val="auto"/>
              </w:rPr>
            </w:pPr>
            <w:r>
              <w:rPr>
                <w:rFonts w:ascii="Arial" w:cs="Arial" w:eastAsia="Arial" w:hAnsi="Arial"/>
                <w:sz w:val="14"/>
                <w:szCs w:val="14"/>
                <w:b w:val="1"/>
                <w:bCs w:val="1"/>
                <w:color w:val="0000EE"/>
              </w:rPr>
              <w:t>Control</w:t>
            </w:r>
          </w:p>
        </w:tc>
        <w:tc>
          <w:tcPr>
            <w:tcW w:w="260" w:type="dxa"/>
            <w:vAlign w:val="bottom"/>
            <w:tcBorders>
              <w:top w:val="single" w:sz="8" w:color="0000EE"/>
            </w:tcBorders>
            <w:gridSpan w:val="4"/>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860" w:type="dxa"/>
            <w:vAlign w:val="bottom"/>
            <w:tcBorders>
              <w:top w:val="single" w:sz="8" w:color="0000EE"/>
            </w:tcBorders>
            <w:gridSpan w:val="2"/>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Potential Payments as of December 31, 2025</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2025 CEO Pay Ratio</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2025 Pay Versus Performance Disclosure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Description of Certain Relationships of Information Presented in the Pay Versus Performance Table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Company vs Peer Group TSR and Compensation Actually Paid</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Compensation Actually Paid vs Net Income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Compensation Actually Paid vs Revenue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320" w:type="dxa"/>
            <w:vAlign w:val="bottom"/>
            <w:tcBorders>
              <w:bottom w:val="single" w:sz="8" w:color="0000EE"/>
            </w:tcBorders>
            <w:gridSpan w:val="30"/>
          </w:tcPr>
          <w:p>
            <w:pPr>
              <w:spacing w:after="0"/>
              <w:rPr>
                <w:sz w:val="20"/>
                <w:szCs w:val="20"/>
                <w:color w:val="auto"/>
              </w:rPr>
            </w:pPr>
            <w:r>
              <w:rPr>
                <w:rFonts w:ascii="Arial" w:cs="Arial" w:eastAsia="Arial" w:hAnsi="Arial"/>
                <w:sz w:val="14"/>
                <w:szCs w:val="14"/>
                <w:b w:val="1"/>
                <w:bCs w:val="1"/>
                <w:color w:val="0000EE"/>
              </w:rPr>
              <w:t>Financial Performance Measures</w:t>
            </w:r>
          </w:p>
        </w:tc>
        <w:tc>
          <w:tcPr>
            <w:tcW w:w="6560" w:type="dxa"/>
            <w:vAlign w:val="bottom"/>
            <w:gridSpan w:val="34"/>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0000EE"/>
            </w:tcBorders>
            <w:gridSpan w:val="31"/>
          </w:tcPr>
          <w:p>
            <w:pPr>
              <w:spacing w:after="0"/>
              <w:rPr>
                <w:sz w:val="20"/>
                <w:szCs w:val="20"/>
                <w:color w:val="auto"/>
              </w:rPr>
            </w:pPr>
            <w:r>
              <w:rPr>
                <w:rFonts w:ascii="Arial" w:cs="Arial" w:eastAsia="Arial" w:hAnsi="Arial"/>
                <w:sz w:val="14"/>
                <w:szCs w:val="14"/>
                <w:b w:val="1"/>
                <w:bCs w:val="1"/>
                <w:color w:val="0000EE"/>
              </w:rPr>
              <w:t>Transactions with Related Persons</w:t>
            </w:r>
          </w:p>
        </w:tc>
        <w:tc>
          <w:tcPr>
            <w:tcW w:w="6500" w:type="dxa"/>
            <w:vAlign w:val="bottom"/>
            <w:gridSpan w:val="33"/>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Review, Approval, or Ratification of Transactions with Related Persons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540" w:type="dxa"/>
            <w:vAlign w:val="bottom"/>
            <w:tcBorders>
              <w:bottom w:val="single" w:sz="8" w:color="0000EE"/>
            </w:tcBorders>
            <w:gridSpan w:val="49"/>
          </w:tcPr>
          <w:p>
            <w:pPr>
              <w:spacing w:after="0"/>
              <w:rPr>
                <w:sz w:val="20"/>
                <w:szCs w:val="20"/>
                <w:color w:val="auto"/>
              </w:rPr>
            </w:pPr>
            <w:r>
              <w:rPr>
                <w:rFonts w:ascii="Arial" w:cs="Arial" w:eastAsia="Arial" w:hAnsi="Arial"/>
                <w:sz w:val="14"/>
                <w:szCs w:val="14"/>
                <w:b w:val="1"/>
                <w:bCs w:val="1"/>
                <w:color w:val="0000EE"/>
              </w:rPr>
              <w:t>Fiscal Year 2025 Transactions with Related Persons</w:t>
            </w:r>
          </w:p>
        </w:tc>
        <w:tc>
          <w:tcPr>
            <w:tcW w:w="5340" w:type="dxa"/>
            <w:vAlign w:val="bottom"/>
            <w:gridSpan w:val="15"/>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Report Of the Audit Committee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The Meeting</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Voting Rights, Quorum and Required Vote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Notice of Internet Availability of Proxy Materials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228"/>
        </w:trPr>
        <w:tc>
          <w:tcPr>
            <w:tcW w:w="1900" w:type="dxa"/>
            <w:vAlign w:val="bottom"/>
            <w:tcBorders>
              <w:top w:val="single" w:sz="8" w:color="0000EE"/>
            </w:tcBorders>
            <w:gridSpan w:val="24"/>
          </w:tcPr>
          <w:p>
            <w:pPr>
              <w:spacing w:after="0"/>
              <w:rPr>
                <w:sz w:val="20"/>
                <w:szCs w:val="20"/>
                <w:color w:val="auto"/>
              </w:rPr>
            </w:pPr>
            <w:r>
              <w:rPr>
                <w:rFonts w:ascii="Arial" w:cs="Arial" w:eastAsia="Arial" w:hAnsi="Arial"/>
                <w:sz w:val="14"/>
                <w:szCs w:val="14"/>
                <w:b w:val="1"/>
                <w:bCs w:val="1"/>
                <w:color w:val="0000EE"/>
              </w:rPr>
              <w:t>Voting Your Shares</w:t>
            </w:r>
          </w:p>
        </w:tc>
        <w:tc>
          <w:tcPr>
            <w:tcW w:w="40" w:type="dxa"/>
            <w:vAlign w:val="bottom"/>
          </w:tcPr>
          <w:p>
            <w:pPr>
              <w:spacing w:after="0"/>
              <w:rPr>
                <w:sz w:val="19"/>
                <w:szCs w:val="19"/>
                <w:color w:val="auto"/>
              </w:rPr>
            </w:pPr>
          </w:p>
        </w:tc>
        <w:tc>
          <w:tcPr>
            <w:tcW w:w="560" w:type="dxa"/>
            <w:vAlign w:val="bottom"/>
            <w:tcBorders>
              <w:top w:val="single" w:sz="8" w:color="0000EE"/>
            </w:tcBorders>
            <w:gridSpan w:val="7"/>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0000EE"/>
            </w:tcBorders>
            <w:gridSpan w:val="12"/>
          </w:tcPr>
          <w:p>
            <w:pPr>
              <w:spacing w:after="0"/>
              <w:rPr>
                <w:sz w:val="19"/>
                <w:szCs w:val="19"/>
                <w:color w:val="auto"/>
              </w:rPr>
            </w:pPr>
          </w:p>
        </w:tc>
        <w:tc>
          <w:tcPr>
            <w:tcW w:w="5620" w:type="dxa"/>
            <w:vAlign w:val="bottom"/>
            <w:gridSpan w:val="19"/>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Expenses of Solicitation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Revocability of Proxies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0"/>
        </w:trPr>
        <w:tc>
          <w:tcPr>
            <w:tcW w:w="48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Delivery of Documents to Stockholders Sharing an Address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20"/>
        </w:trPr>
        <w:tc>
          <w:tcPr>
            <w:tcW w:w="480" w:type="dxa"/>
            <w:vAlign w:val="bottom"/>
            <w:gridSpan w:val="7"/>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8"/>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DELINQUENT SECTION 16(a) REPORTS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gridSpan w:val="1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EE"/>
            </w:tcBorders>
            <w:gridSpan w:val="8"/>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Stockholder Proposals for the 2027 Annual Meeting</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gridSpan w:val="1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tcPr>
          <w:p>
            <w:pPr>
              <w:spacing w:after="0" w:line="20" w:lineRule="exact"/>
              <w:rPr>
                <w:sz w:val="1"/>
                <w:szCs w:val="1"/>
                <w:color w:val="auto"/>
              </w:rPr>
            </w:pPr>
          </w:p>
        </w:tc>
        <w:tc>
          <w:tcPr>
            <w:tcW w:w="1460" w:type="dxa"/>
            <w:vAlign w:val="bottom"/>
            <w:tcBorders>
              <w:right w:val="single" w:sz="8" w:color="0000EE"/>
            </w:tcBorders>
            <w:gridSpan w:val="17"/>
            <w:shd w:val="clear" w:color="auto" w:fill="0000EE"/>
          </w:tcPr>
          <w:p>
            <w:pPr>
              <w:spacing w:after="0" w:line="20" w:lineRule="exact"/>
              <w:rPr>
                <w:sz w:val="1"/>
                <w:szCs w:val="1"/>
                <w:color w:val="auto"/>
              </w:rPr>
            </w:pPr>
          </w:p>
        </w:tc>
        <w:tc>
          <w:tcPr>
            <w:tcW w:w="800" w:type="dxa"/>
            <w:vAlign w:val="bottom"/>
            <w:gridSpan w:val="1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64"/>
          </w:tcPr>
          <w:p>
            <w:pPr>
              <w:spacing w:after="0"/>
              <w:rPr>
                <w:sz w:val="20"/>
                <w:szCs w:val="20"/>
                <w:color w:val="auto"/>
              </w:rPr>
            </w:pPr>
            <w:r>
              <w:rPr>
                <w:rFonts w:ascii="Arial" w:cs="Arial" w:eastAsia="Arial" w:hAnsi="Arial"/>
                <w:sz w:val="14"/>
                <w:szCs w:val="14"/>
                <w:b w:val="1"/>
                <w:bCs w:val="1"/>
                <w:color w:val="0000EE"/>
              </w:rPr>
              <w:t>Directors’ Attendance At Annual Stockholder Meetings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227"/>
        </w:trPr>
        <w:tc>
          <w:tcPr>
            <w:tcW w:w="3580" w:type="dxa"/>
            <w:vAlign w:val="bottom"/>
            <w:tcBorders>
              <w:top w:val="single" w:sz="8" w:color="0000EE"/>
            </w:tcBorders>
            <w:gridSpan w:val="50"/>
          </w:tcPr>
          <w:p>
            <w:pPr>
              <w:spacing w:after="0"/>
              <w:rPr>
                <w:sz w:val="20"/>
                <w:szCs w:val="20"/>
                <w:color w:val="auto"/>
              </w:rPr>
            </w:pPr>
            <w:r>
              <w:rPr>
                <w:rFonts w:ascii="Arial" w:cs="Arial" w:eastAsia="Arial" w:hAnsi="Arial"/>
                <w:sz w:val="14"/>
                <w:szCs w:val="14"/>
                <w:b w:val="1"/>
                <w:bCs w:val="1"/>
                <w:color w:val="0000EE"/>
              </w:rPr>
              <w:t>Other Business</w:t>
            </w:r>
          </w:p>
        </w:tc>
        <w:tc>
          <w:tcPr>
            <w:tcW w:w="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140" w:type="dxa"/>
            <w:vAlign w:val="bottom"/>
            <w:gridSpan w:val="12"/>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gridSpan w:val="1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580" w:type="dxa"/>
            <w:vAlign w:val="bottom"/>
            <w:gridSpan w:val="18"/>
          </w:tcPr>
          <w:p>
            <w:pPr>
              <w:spacing w:after="0" w:line="20" w:lineRule="exact"/>
              <w:rPr>
                <w:sz w:val="1"/>
                <w:szCs w:val="1"/>
                <w:color w:val="auto"/>
              </w:rPr>
            </w:pPr>
          </w:p>
        </w:tc>
        <w:tc>
          <w:tcPr>
            <w:tcW w:w="6240" w:type="dxa"/>
            <w:vAlign w:val="bottom"/>
            <w:gridSpan w:val="3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640" w:type="dxa"/>
            <w:vAlign w:val="bottom"/>
            <w:tcBorders>
              <w:bottom w:val="single" w:sz="8" w:color="0000EE"/>
            </w:tcBorders>
            <w:gridSpan w:val="34"/>
          </w:tcPr>
          <w:p>
            <w:pPr>
              <w:spacing w:after="0"/>
              <w:rPr>
                <w:sz w:val="20"/>
                <w:szCs w:val="20"/>
                <w:color w:val="auto"/>
              </w:rPr>
            </w:pPr>
            <w:r>
              <w:rPr>
                <w:rFonts w:ascii="Arial" w:cs="Arial" w:eastAsia="Arial" w:hAnsi="Arial"/>
                <w:sz w:val="14"/>
                <w:szCs w:val="14"/>
                <w:b w:val="1"/>
                <w:bCs w:val="1"/>
                <w:color w:val="0000EE"/>
              </w:rPr>
              <w:t>Where You Can Find More Information</w:t>
            </w:r>
          </w:p>
        </w:tc>
        <w:tc>
          <w:tcPr>
            <w:tcW w:w="6240" w:type="dxa"/>
            <w:vAlign w:val="bottom"/>
            <w:gridSpan w:val="30"/>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228"/>
        </w:trPr>
        <w:tc>
          <w:tcPr>
            <w:tcW w:w="9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APPENDIX A</w:t>
            </w:r>
          </w:p>
        </w:tc>
        <w:tc>
          <w:tcPr>
            <w:tcW w:w="7960" w:type="dxa"/>
            <w:vAlign w:val="bottom"/>
            <w:gridSpan w:val="50"/>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227"/>
        </w:trPr>
        <w:tc>
          <w:tcPr>
            <w:tcW w:w="9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APPENDIX B</w:t>
            </w:r>
          </w:p>
        </w:tc>
        <w:tc>
          <w:tcPr>
            <w:tcW w:w="7960" w:type="dxa"/>
            <w:vAlign w:val="bottom"/>
            <w:gridSpan w:val="50"/>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241300</wp:posOffset>
                </wp:positionV>
                <wp:extent cx="6532245" cy="58483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204" o:spid="_x0000_s1229" style="position:absolute;margin-left:-0.1499pt;margin-top:19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548640</wp:posOffset>
                </wp:positionV>
                <wp:extent cx="653224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pt" to="514.15pt,43.2pt" o:allowincell="f" strokecolor="#000000" strokeweight="1.5599pt"/>
            </w:pict>
          </mc:Fallback>
        </mc:AlternateContent>
      </w:r>
    </w:p>
    <w:p>
      <w:pPr>
        <w:sectPr>
          <w:pgSz w:w="11900" w:h="16840" w:orient="portrait"/>
          <w:cols w:equalWidth="0" w:num="1">
            <w:col w:w="10280"/>
          </w:cols>
          <w:pgMar w:left="820" w:top="985" w:right="804" w:bottom="1440" w:gutter="0" w:footer="0" w:header="0"/>
        </w:sectPr>
      </w:pPr>
    </w:p>
    <w:bookmarkStart w:id="157" w:name="page158"/>
    <w:bookmarkEnd w:id="157"/>
    <w:p>
      <w:pPr>
        <w:spacing w:after="0"/>
        <w:rPr>
          <w:sz w:val="20"/>
          <w:szCs w:val="20"/>
          <w:color w:val="auto"/>
        </w:rPr>
      </w:pPr>
      <w:r>
        <w:rPr>
          <w:rFonts w:ascii="Arial" w:cs="Arial" w:eastAsia="Arial" w:hAnsi="Arial"/>
          <w:sz w:val="29"/>
          <w:szCs w:val="29"/>
          <w:color w:val="001446"/>
        </w:rPr>
        <w:t>Forward-Looking Statements and Website References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4"/>
          <w:szCs w:val="14"/>
          <w:color w:val="001446"/>
        </w:rPr>
        <w:t>This document includes forward-looking statements within the meaning of the Private Securities Litigation Reform Act of 1995. All statements other than statements of historical or current facts, including statements regarding our social, environmental and other sustainability plans and goals, made in this document are forward-looking. Although we believe that the expectations and assumptions reflected in these statements are reasonable, there can be no assurance that these expectations will prove to be correct.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2025 Annual Report on Form 10-K. We undertake no obligation to publicly update any forward-looking statement, whether as a result of new information, future developments or otherwise, and notwithstanding any historical practice of doing so, except as may be required by law. In addition, our sustainability and corporate responsibility initiatives and goals are aspirational and may change. Statements regarding our initiatives and goals are not guarantees or promises that they will be met, and the inclusion of information in our sustainability reports (as discussed below), or identifying it as material for purposes of such report or assessing our environmental, social and governance initiatives, should not be construed as a characterization of the materiality or financial impact of that information with respect to us or for purposes of any of our SEC filings. 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97155</wp:posOffset>
                </wp:positionV>
                <wp:extent cx="6532245" cy="583565"/>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206" o:spid="_x0000_s1231" style="position:absolute;margin-left:-0.1499pt;margin-top:7.6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80"/>
          </w:cols>
          <w:pgMar w:left="820" w:top="1141" w:right="804" w:bottom="1440" w:gutter="0" w:footer="0" w:header="0"/>
        </w:sectPr>
      </w:pPr>
    </w:p>
    <w:bookmarkStart w:id="158" w:name="page159"/>
    <w:bookmarkEnd w:id="158"/>
    <w:p>
      <w:pPr>
        <w:spacing w:after="0"/>
        <w:rPr>
          <w:sz w:val="20"/>
          <w:szCs w:val="20"/>
          <w:color w:val="auto"/>
        </w:rPr>
      </w:pPr>
      <w:r>
        <w:rPr>
          <w:rFonts w:ascii="Arial" w:cs="Arial" w:eastAsia="Arial" w:hAnsi="Arial"/>
          <w:sz w:val="51"/>
          <w:szCs w:val="51"/>
          <w:b w:val="1"/>
          <w:bCs w:val="1"/>
          <w:color w:val="auto"/>
        </w:rPr>
        <w:t>Proposal No. 1</w:t>
      </w:r>
    </w:p>
    <w:p>
      <w:pPr>
        <w:spacing w:after="0" w:line="42"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Election Of Directors</w:t>
      </w:r>
    </w:p>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001446"/>
        </w:rPr>
        <w:t>The Company’s Board of Directors is presently comprised of seven members, who were previously divided into three classes, designated as Class I, Class II and Class III. The classification of our board of directors has been phased out, such that, beginning with this year’s 2026 Annual Meeting of Stockholders, the declassification of our board of directors has been completed and all directors will be subject to annual election for one-year terms. Our board of directors consists of Avery More, Shuki Nir, Guy Gecht, Betsy Atkins, Yoram Tietz, Dana Gross, and Gilad Almogy. Each of our seven directors have terms of office expiring at our Annual Meeting. Each of Betsy Atkins, Yoram Tietz, Gilad Almogy, Avery More, and Shuki Nir were last elected at our 2025 annual meeting of stockholders. Dana Gross was appointed to our Board effective July 5, 2023, and was initially recommended to our Board by the Company’s former CEO, Zvi Lando. Guy Gecht was appointed to our Board effective November 6, 2024, and was initially recommended to our Board by a non-management director.</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4"/>
          <w:szCs w:val="14"/>
          <w:color w:val="001446"/>
        </w:rPr>
        <w:t>If elected at the Annual Meeting, each of the nominees will serve for a one-year term until the 2027 Annual Meeting of Stockholders and until his or her successor is duly elected and qualified, or until such director’s earlier death, resignation, retirement, disqualification, or removal. If any nominee is unable or unwilling to be a candidate for election by the time of the Annual Meeting (a contingency which the Board does not expect to occur), the stockholders may vote for a substitute nominee chosen by the present Board to fill the vacancy. Alternatively, the stockholders may vote for just the remaining nominees, leaving a vacancy that may be filled on a later date by the Board, or the Board may reduce the size of the Board of Directors.</w:t>
      </w:r>
    </w:p>
    <w:p>
      <w:pPr>
        <w:spacing w:after="0" w:line="129"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color w:val="001446"/>
        </w:rPr>
        <w:t>For each of the director nominees the following pages contain certain biographical information including a description of their professional background, primary qualifications, attributes and skills, as well as information on which Board committees the directors serve 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75565</wp:posOffset>
                </wp:positionV>
                <wp:extent cx="6532245" cy="58420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08" o:spid="_x0000_s1233" style="position:absolute;margin-left:-0.1499pt;margin-top:5.9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60"/>
          </w:cols>
          <w:pgMar w:left="820" w:top="1103" w:right="824" w:bottom="1440" w:gutter="0" w:footer="0" w:header="0"/>
        </w:sectPr>
      </w:pPr>
    </w:p>
    <w:bookmarkStart w:id="159" w:name="page160"/>
    <w:bookmarkEnd w:id="159"/>
    <w:p>
      <w:pPr>
        <w:spacing w:after="0"/>
        <w:rPr>
          <w:sz w:val="20"/>
          <w:szCs w:val="20"/>
          <w:color w:val="auto"/>
        </w:rPr>
      </w:pPr>
      <w:r>
        <w:rPr>
          <w:rFonts w:ascii="Arial" w:cs="Arial" w:eastAsia="Arial" w:hAnsi="Arial"/>
          <w:sz w:val="38"/>
          <w:szCs w:val="38"/>
          <w:b w:val="1"/>
          <w:bCs w:val="1"/>
          <w:color w:val="001446"/>
        </w:rPr>
        <w:t>Nominees for Election or Reelection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146685</wp:posOffset>
                </wp:positionV>
                <wp:extent cx="653224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1.55pt" to="514.15pt,11.55pt" o:allowincell="f" strokecolor="#000000" strokeweight="0.84pt"/>
            </w:pict>
          </mc:Fallback>
        </mc:AlternateContent>
      </w:r>
    </w:p>
    <w:p>
      <w:pPr>
        <w:sectPr>
          <w:pgSz w:w="11900" w:h="16840" w:orient="portrait"/>
          <w:cols w:equalWidth="0" w:num="1">
            <w:col w:w="10280"/>
          </w:cols>
          <w:pgMar w:left="820" w:top="1123" w:right="804"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31"/>
          <w:szCs w:val="31"/>
          <w:b w:val="1"/>
          <w:bCs w:val="1"/>
          <w:color w:val="001446"/>
        </w:rPr>
        <w:t>Avery</w:t>
      </w:r>
    </w:p>
    <w:p>
      <w:pPr>
        <w:spacing w:after="0" w:line="28"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15240</wp:posOffset>
            </wp:positionV>
            <wp:extent cx="1097280" cy="13862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
                      <a:extLst>
                        <a:ext uri="{28A0092B-C50C-407E-A947-70E740481C1C}"/>
                      </a:extLst>
                    </a:blip>
                    <a:srcRect/>
                    <a:stretch>
                      <a:fillRect/>
                    </a:stretch>
                  </pic:blipFill>
                  <pic:spPr bwMode="auto">
                    <a:xfrm>
                      <a:off x="0" y="0"/>
                      <a:ext cx="1097280" cy="1386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1446"/>
        </w:rPr>
        <w:t>Nomination and Corporate Governance Committee (Member), Technology and Cyber Committee (Member)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None</w:t>
      </w:r>
    </w:p>
    <w:p>
      <w:pPr>
        <w:spacing w:after="0" w:line="195" w:lineRule="exact"/>
        <w:rPr>
          <w:sz w:val="20"/>
          <w:szCs w:val="20"/>
          <w:color w:val="auto"/>
        </w:rPr>
      </w:pPr>
    </w:p>
    <w:p>
      <w:pPr>
        <w:sectPr>
          <w:pgSz w:w="11900" w:h="16840" w:orient="portrait"/>
          <w:cols w:equalWidth="0" w:num="2">
            <w:col w:w="1680" w:space="720"/>
            <w:col w:w="7880"/>
          </w:cols>
          <w:pgMar w:left="820" w:top="1123" w:right="804" w:bottom="1440" w:gutter="0" w:footer="0" w:header="0"/>
          <w:type w:val="continuous"/>
        </w:sectPr>
      </w:pPr>
    </w:p>
    <w:p>
      <w:pPr>
        <w:ind w:left="2400" w:right="500"/>
        <w:spacing w:after="0" w:line="299" w:lineRule="auto"/>
        <w:rPr>
          <w:sz w:val="20"/>
          <w:szCs w:val="20"/>
          <w:color w:val="auto"/>
        </w:rPr>
      </w:pPr>
      <w:r>
        <w:rPr>
          <w:rFonts w:ascii="Arial" w:cs="Arial" w:eastAsia="Arial" w:hAnsi="Arial"/>
          <w:sz w:val="14"/>
          <w:szCs w:val="14"/>
          <w:color w:val="001446"/>
        </w:rPr>
        <w:t>Mr. More has been Chairperson of our Board since November 7, 2024, and has served as a member of our Board of Directors since 2006.</w:t>
      </w:r>
    </w:p>
    <w:p>
      <w:pPr>
        <w:spacing w:after="0" w:line="118" w:lineRule="exact"/>
        <w:rPr>
          <w:sz w:val="20"/>
          <w:szCs w:val="20"/>
          <w:color w:val="auto"/>
        </w:rPr>
      </w:pPr>
    </w:p>
    <w:p>
      <w:pPr>
        <w:ind w:left="2400" w:right="160"/>
        <w:spacing w:after="0" w:line="262" w:lineRule="auto"/>
        <w:rPr>
          <w:sz w:val="20"/>
          <w:szCs w:val="20"/>
          <w:color w:val="auto"/>
        </w:rPr>
      </w:pPr>
      <w:r>
        <w:rPr>
          <w:rFonts w:ascii="Arial" w:cs="Arial" w:eastAsia="Arial" w:hAnsi="Arial"/>
          <w:sz w:val="14"/>
          <w:szCs w:val="14"/>
          <w:color w:val="001446"/>
        </w:rPr>
        <w:t>Mr. More was the sole seed investor in the Company through his fund, ORR Partners, and participated in all successive rounds. Mr. More continues to invest in technology companies, with ORR Partners, Innoventions Capital and More Family Investments entities. Previously, Mr. More was the president and chief executive officer of CompuCom Systems Inc. from 1989 to 1993. Mr. More currently serves on the board of directors of several private companies, including BuzzStream, AppDome, HolistiCyber Ltd., and various portfolio companies of Innoventions Capital.</w:t>
      </w:r>
    </w:p>
    <w:p>
      <w:pPr>
        <w:spacing w:after="0" w:line="145" w:lineRule="exact"/>
        <w:rPr>
          <w:sz w:val="20"/>
          <w:szCs w:val="20"/>
          <w:color w:val="auto"/>
        </w:rPr>
      </w:pPr>
    </w:p>
    <w:p>
      <w:pPr>
        <w:ind w:left="2400" w:right="60"/>
        <w:spacing w:after="0" w:line="299" w:lineRule="auto"/>
        <w:rPr>
          <w:sz w:val="20"/>
          <w:szCs w:val="20"/>
          <w:color w:val="auto"/>
        </w:rPr>
      </w:pPr>
      <w:r>
        <w:rPr>
          <w:rFonts w:ascii="Arial" w:cs="Arial" w:eastAsia="Arial" w:hAnsi="Arial"/>
          <w:sz w:val="14"/>
          <w:szCs w:val="14"/>
          <w:color w:val="001446"/>
        </w:rPr>
        <w:t>Mr. More’s historical knowledge of our company and his experience as a director of other technology companies provides a valuable perspective to our Board.</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2006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001446"/>
        </w:rPr>
        <w:t>Age: 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118110</wp:posOffset>
                </wp:positionV>
                <wp:extent cx="653224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3pt" to="514.15pt,9.3pt" o:allowincell="f" strokecolor="#000000" strokeweight="0.7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234950</wp:posOffset>
                </wp:positionV>
                <wp:extent cx="653224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8.5pt" to="514.15pt,18.5pt" o:allowincell="f" strokecolor="#000000" strokeweight="0.84pt"/>
            </w:pict>
          </mc:Fallback>
        </mc:AlternateContent>
      </w:r>
    </w:p>
    <w:p>
      <w:pPr>
        <w:sectPr>
          <w:pgSz w:w="11900" w:h="16840" w:orient="portrait"/>
          <w:cols w:equalWidth="0" w:num="1">
            <w:col w:w="10280"/>
          </w:cols>
          <w:pgMar w:left="820" w:top="1123" w:right="804"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Gilad</w:t>
      </w:r>
    </w:p>
    <w:p>
      <w:pPr>
        <w:spacing w:after="0" w:line="16"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Almogy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04900" cy="11042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
                      <a:extLst>
                        <a:ext uri="{28A0092B-C50C-407E-A947-70E740481C1C}"/>
                      </a:extLst>
                    </a:blip>
                    <a:srcRect/>
                    <a:stretch>
                      <a:fillRect/>
                    </a:stretch>
                  </pic:blipFill>
                  <pic:spPr bwMode="auto">
                    <a:xfrm>
                      <a:off x="0" y="0"/>
                      <a:ext cx="1104900" cy="1104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w:t>
      </w:r>
      <w:r>
        <w:rPr>
          <w:rFonts w:ascii="Arial" w:cs="Arial" w:eastAsia="Arial" w:hAnsi="Arial"/>
          <w:sz w:val="14"/>
          <w:szCs w:val="14"/>
          <w:b w:val="1"/>
          <w:bCs w:val="1"/>
          <w:color w:val="001446"/>
        </w:rPr>
        <w:t xml:space="preserve"> </w:t>
      </w:r>
      <w:r>
        <w:rPr>
          <w:rFonts w:ascii="Arial" w:cs="Arial" w:eastAsia="Arial" w:hAnsi="Arial"/>
          <w:sz w:val="14"/>
          <w:szCs w:val="14"/>
          <w:color w:val="001446"/>
        </w:rPr>
        <w:t>Technology and Cyber Committee (Member)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None</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4"/>
          <w:szCs w:val="14"/>
          <w:color w:val="001446"/>
        </w:rPr>
        <w:t>Mr. Almogy has been a founder of and the Chief Executive Officer of Ultima Genomics, Inc., provider of the first $100 human genome sequencing solution, since 2016. Previously, Mr. Almogy founded and served as the Chief Executive Officer of Cogenra Solar Inc., which he led from its inception until its acquisition by SunPower Corporation (Nasdaq: SPWR) in 2015. From 1997 to 2009, Mr. Almogy served in a number of roles at Applied Materials, Inc. (Nasdaq: AMAT), culminating in the position of Senior Vice President. Mr.  Almogy holds a PhD in Applied Physics from the California Institute of Technology and a BSc in Mathematics and Physics from the Hebrew University in Jerusalem’s Talpiot program.</w:t>
      </w:r>
    </w:p>
    <w:p>
      <w:pPr>
        <w:spacing w:after="0" w:line="130"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color w:val="001446"/>
        </w:rPr>
        <w:t>Mr. Almogy brings to the Board years of leadership experience and insights into business and technology development. His extensive background in these areas significantly enhances our Board’s strategic perspective.</w:t>
      </w:r>
    </w:p>
    <w:p>
      <w:pPr>
        <w:spacing w:after="0" w:line="200" w:lineRule="exact"/>
        <w:rPr>
          <w:sz w:val="20"/>
          <w:szCs w:val="20"/>
          <w:color w:val="auto"/>
        </w:rPr>
      </w:pPr>
    </w:p>
    <w:p>
      <w:pPr>
        <w:sectPr>
          <w:pgSz w:w="11900" w:h="16840" w:orient="portrait"/>
          <w:cols w:equalWidth="0" w:num="2">
            <w:col w:w="1680" w:space="720"/>
            <w:col w:w="7880"/>
          </w:cols>
          <w:pgMar w:left="820" w:top="1123" w:right="804"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January 6, 2025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001446"/>
        </w:rPr>
        <w:t>Age: 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123190</wp:posOffset>
                </wp:positionV>
                <wp:extent cx="653224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7pt" to="514.15pt,9.7pt" o:allowincell="f" strokecolor="#000000" strokeweight="1.61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240665</wp:posOffset>
                </wp:positionV>
                <wp:extent cx="6532245" cy="58356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217" o:spid="_x0000_s1242" style="position:absolute;margin-left:-0.1499pt;margin-top:18.9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80"/>
          </w:cols>
          <w:pgMar w:left="820" w:top="1123" w:right="804"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32"/>
          <w:szCs w:val="32"/>
          <w:b w:val="1"/>
          <w:bCs w:val="1"/>
          <w:color w:val="001446"/>
        </w:rPr>
        <w:t>Betsy</w:t>
      </w:r>
    </w:p>
    <w:p>
      <w:pPr>
        <w:spacing w:after="0" w:line="16"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104900" cy="13868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
                      <a:extLst>
                        <a:ext uri="{28A0092B-C50C-407E-A947-70E740481C1C}"/>
                      </a:extLst>
                    </a:blip>
                    <a:srcRect/>
                    <a:stretch>
                      <a:fillRect/>
                    </a:stretch>
                  </pic:blipFill>
                  <pic:spPr bwMode="auto">
                    <a:xfrm>
                      <a:off x="0" y="0"/>
                      <a:ext cx="1104900" cy="138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2021</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001446"/>
        </w:rPr>
        <w:t>Age: 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2264410</wp:posOffset>
                </wp:positionV>
                <wp:extent cx="653224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8.3pt" to="514.15pt,178.3pt" o:allowincell="f" strokecolor="#000000" strokeweight="0.7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2270125</wp:posOffset>
                </wp:positionV>
                <wp:extent cx="143700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700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8.75pt" to="112.95pt,178.75pt" o:allowincell="f" strokecolor="#000000" strokeweight="1.6199pt"/>
            </w:pict>
          </mc:Fallback>
        </mc:AlternateConten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540"/>
        <w:spacing w:after="0" w:line="305" w:lineRule="auto"/>
        <w:rPr>
          <w:sz w:val="20"/>
          <w:szCs w:val="20"/>
          <w:color w:val="auto"/>
        </w:rPr>
      </w:pPr>
      <w:r>
        <w:rPr>
          <w:rFonts w:ascii="Arial" w:cs="Arial" w:eastAsia="Arial" w:hAnsi="Arial"/>
          <w:sz w:val="14"/>
          <w:szCs w:val="14"/>
          <w:b w:val="1"/>
          <w:bCs w:val="1"/>
          <w:color w:val="001446"/>
        </w:rPr>
        <w:t xml:space="preserve">Committees: </w:t>
      </w:r>
      <w:r>
        <w:rPr>
          <w:rFonts w:ascii="Arial" w:cs="Arial" w:eastAsia="Arial" w:hAnsi="Arial"/>
          <w:sz w:val="14"/>
          <w:szCs w:val="14"/>
          <w:color w:val="001446"/>
        </w:rPr>
        <w:t>Nominating and Corporate Governance Committee (Chairperson), Technology and Cyber Committee</w:t>
      </w:r>
      <w:r>
        <w:rPr>
          <w:rFonts w:ascii="Arial" w:cs="Arial" w:eastAsia="Arial" w:hAnsi="Arial"/>
          <w:sz w:val="14"/>
          <w:szCs w:val="14"/>
          <w:b w:val="1"/>
          <w:bCs w:val="1"/>
          <w:color w:val="001446"/>
        </w:rPr>
        <w:t xml:space="preserve"> </w:t>
      </w:r>
      <w:r>
        <w:rPr>
          <w:rFonts w:ascii="Arial" w:cs="Arial" w:eastAsia="Arial" w:hAnsi="Arial"/>
          <w:sz w:val="14"/>
          <w:szCs w:val="14"/>
          <w:color w:val="001446"/>
        </w:rPr>
        <w:t>(Member), Compensation Committee (Member)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Wynn Resorts Ltd. and Enovix Corp</w:t>
      </w:r>
      <w:r>
        <w:rPr>
          <w:rFonts w:ascii="Arial" w:cs="Arial" w:eastAsia="Arial" w:hAnsi="Arial"/>
          <w:sz w:val="14"/>
          <w:szCs w:val="14"/>
          <w:color w:val="000000"/>
        </w:rPr>
        <w: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001446"/>
        </w:rPr>
        <w:t>Ms. Atkins has served as a member of our Board of Directors since 2021.</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4"/>
          <w:szCs w:val="14"/>
          <w:color w:val="001446"/>
        </w:rPr>
        <w:t>Ms. Atkins is a seasoned business-woman and serial entrepreneur with two decades of experience serving on some of the world’s most visible global public company boards. She served as the CEO of Baja Corporation, an independent venture capital firm focused on technology, renewable energy and life sciences, since 1994. She has previously served as CEO and Chairperson of SaaS company Clear Standards, Inc., an energy management and sustainability software company, a position she held between February and August 2009. She also served as CEO of Key Supercomputer, focused on seismic analytics, applying AI machine learning technology to pinpoint reserves using predictive and prescriptive analytics, between 2008 and 2010 and as CEO of NCI, Inc., a food manufacturer creating Nutraceutical and Functional Food products.</w:t>
      </w:r>
    </w:p>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4"/>
          <w:szCs w:val="14"/>
          <w:color w:val="001446"/>
        </w:rPr>
        <w:t>In addition, Ms. Atkins is a highly acclaimed public company Board Director and author. For 21 years, she has worked behind the scenes at companies like Schneider, Lucent, Vonage, SunPower Corp, Paychex and Nasdaq Inc. Ms. Atkins started her business career as an entrepreneur co-founding several successful high tech, energy and consumer companies including Ascend Communications. Ms. Atkins is an effective operational leader, having served as CEO three times and she has a strong global and operational perspective encompassing the full range of experience from growth to restructuring and is a recognized Sustainability and Governance thought leader. Her corporate board experience covers industries including Technology, Energy Management, Solar, Industrial Automation, Manufacturing, Automotive, and Logistics.</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001446"/>
        </w:rPr>
        <w:t>Ms. Atkins brings the knowledge of leveraging next gen digital technologies, is an innovative entrepreneur for tech enablement for the future of work for manufacturing 4.0 initiatives (i.e. applying industrial Internet of Things, or IoT, for preventative maintenance in the Industrial, Automotive, and Aerospace sectors). Ms. Atkins has a global, broad perspective on energy from her role as Lead Director at SunPower Corporation, the renewable solar company, Schneider Electric, SA, the energy efficiency infrastructure monitoring and industrial automation process control company, where she served from 2005 to 2012 and 2011 to 2019, respectively, she also served on the board of SL Green Realty Corp., the real estate investment trust, between 2015 and 2024. She also served on the boards of Covetrus, Inc. and its predecessor, Vets First Choice, a pharmaceutical company, from February 2016 until September 2019, Cognizant Technology Solutions Corporation, an information technology services company, from April 2017 to October 2018 and HD Supply, Inc., an industrial distributor, from September 2013 to April 2018. Her areas of experience include Artificial Intelligence, Seismic Analytics, Internet of Things (IoT), using technology to digitize processes driving accuracy and productivity, Cyber Security, Mobile and SaaS. Ms. Atkins currently serves on the public boards of Wynn Resorts, Limited, and Enovix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001446"/>
        </w:rPr>
        <w:t>Ms. Atkins holds a degree in liberal arts from the University of Massachusetts, Magna Cum Laude.</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001446"/>
        </w:rPr>
        <w:t>Ms. Atkins brings to the Board valuable business experience through her years of experience as a chief executive officer with technology and energy companies, her extensive experience in ESG, and her experience as a director of other public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100330</wp:posOffset>
                </wp:positionV>
                <wp:extent cx="509460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94605" cy="4763"/>
                        </a:xfrm>
                        <a:prstGeom prst="line">
                          <a:avLst/>
                        </a:prstGeom>
                        <a:solidFill>
                          <a:srgbClr val="FFFFFF"/>
                        </a:solidFill>
                        <a:ln w="10667">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7.9pt" to="394.15pt,7.9pt" o:allowincell="f" strokecolor="#000000" strokeweight="0.8399pt"/>
            </w:pict>
          </mc:Fallback>
        </mc:AlternateContent>
        <mc:AlternateContent>
          <mc:Choice Requires="wps">
            <w:drawing>
              <wp:anchor simplePos="0" relativeHeight="251657728" behindDoc="1" locked="0" layoutInCell="0" allowOverlap="1">
                <wp:simplePos x="0" y="0"/>
                <wp:positionH relativeFrom="column">
                  <wp:posOffset>-1526540</wp:posOffset>
                </wp:positionH>
                <wp:positionV relativeFrom="paragraph">
                  <wp:posOffset>222250</wp:posOffset>
                </wp:positionV>
                <wp:extent cx="653224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17.5pt" to="394.15pt,17.5pt" o:allowincell="f" strokecolor="#000000" strokeweight="1.5599pt"/>
            </w:pict>
          </mc:Fallback>
        </mc:AlternateContent>
        <mc:AlternateContent>
          <mc:Choice Requires="wps">
            <w:drawing>
              <wp:anchor simplePos="0" relativeHeight="251657728" behindDoc="1" locked="0" layoutInCell="0" allowOverlap="1">
                <wp:simplePos x="0" y="0"/>
                <wp:positionH relativeFrom="column">
                  <wp:posOffset>-1525905</wp:posOffset>
                </wp:positionH>
                <wp:positionV relativeFrom="paragraph">
                  <wp:posOffset>339090</wp:posOffset>
                </wp:positionV>
                <wp:extent cx="6532245" cy="58420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24" o:spid="_x0000_s1249" style="position:absolute;margin-left:-120.1499pt;margin-top:26.7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ectPr>
          <w:pgSz w:w="11900" w:h="16840" w:orient="portrait"/>
          <w:cols w:equalWidth="0" w:num="2">
            <w:col w:w="1680" w:space="720"/>
            <w:col w:w="7860"/>
          </w:cols>
          <w:pgMar w:left="820" w:top="1127" w:right="824"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60"/>
          </w:cols>
          <w:pgMar w:left="820" w:top="1127" w:right="824"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32"/>
          <w:szCs w:val="32"/>
          <w:b w:val="1"/>
          <w:bCs w:val="1"/>
          <w:color w:val="001446"/>
        </w:rPr>
        <w:t>Guy Gecht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w:t>
      </w:r>
      <w:r>
        <w:rPr>
          <w:rFonts w:ascii="Arial" w:cs="Arial" w:eastAsia="Arial" w:hAnsi="Arial"/>
          <w:sz w:val="14"/>
          <w:szCs w:val="14"/>
          <w:b w:val="1"/>
          <w:bCs w:val="1"/>
          <w:color w:val="001446"/>
        </w:rPr>
        <w:t xml:space="preserve"> </w:t>
      </w:r>
      <w:r>
        <w:rPr>
          <w:rFonts w:ascii="Arial" w:cs="Arial" w:eastAsia="Arial" w:hAnsi="Arial"/>
          <w:sz w:val="14"/>
          <w:szCs w:val="14"/>
          <w:color w:val="001446"/>
        </w:rPr>
        <w:t>Audit Committee (Member) and Technology and Cyber Committee (Chairperson)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-1526540</wp:posOffset>
                </wp:positionH>
                <wp:positionV relativeFrom="paragraph">
                  <wp:posOffset>-180975</wp:posOffset>
                </wp:positionV>
                <wp:extent cx="653224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14.2499pt" to="394.15pt,-14.2499pt" o:allowincell="f" strokecolor="#000000" strokeweight="0.7799pt"/>
            </w:pict>
          </mc:Fallback>
        </mc:AlternateContent>
      </w:r>
    </w:p>
    <w:p>
      <w:pPr>
        <w:spacing w:after="0"/>
        <w:rPr>
          <w:sz w:val="20"/>
          <w:szCs w:val="20"/>
          <w:color w:val="auto"/>
        </w:rPr>
      </w:pPr>
      <w:r>
        <w:rPr>
          <w:rFonts w:ascii="Arial" w:cs="Arial" w:eastAsia="Arial" w:hAnsi="Arial"/>
          <w:sz w:val="14"/>
          <w:szCs w:val="14"/>
          <w:b w:val="1"/>
          <w:bCs w:val="1"/>
          <w:color w:val="001446"/>
        </w:rPr>
        <w:t xml:space="preserve">Other Public Boards: </w:t>
      </w:r>
      <w:r>
        <w:rPr>
          <w:rFonts w:ascii="Arial" w:cs="Arial" w:eastAsia="Arial" w:hAnsi="Arial"/>
          <w:sz w:val="14"/>
          <w:szCs w:val="14"/>
          <w:color w:val="001446"/>
        </w:rPr>
        <w:t>Logitech International S.A.</w:t>
      </w:r>
    </w:p>
    <w:p>
      <w:pPr>
        <w:spacing w:after="0" w:line="170" w:lineRule="exact"/>
        <w:rPr>
          <w:sz w:val="20"/>
          <w:szCs w:val="20"/>
          <w:color w:val="auto"/>
        </w:rPr>
      </w:pPr>
    </w:p>
    <w:p>
      <w:pPr>
        <w:sectPr>
          <w:pgSz w:w="11900" w:h="16840" w:orient="portrait"/>
          <w:cols w:equalWidth="0" w:num="2">
            <w:col w:w="1680" w:space="720"/>
            <w:col w:w="7880"/>
          </w:cols>
          <w:pgMar w:left="820" w:top="1279" w:right="804"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November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-1287780</wp:posOffset>
            </wp:positionV>
            <wp:extent cx="1066800" cy="10661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
                      <a:extLst>
                        <a:ext uri="{28A0092B-C50C-407E-A947-70E740481C1C}"/>
                      </a:extLst>
                    </a:blip>
                    <a:srcRect/>
                    <a:stretch>
                      <a:fillRect/>
                    </a:stretch>
                  </pic:blipFill>
                  <pic:spPr bwMode="auto">
                    <a:xfrm>
                      <a:off x="0" y="0"/>
                      <a:ext cx="1066800" cy="10661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001446"/>
        </w:rPr>
        <w:t>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001446"/>
        </w:rPr>
        <w:t>Age: 60</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4"/>
          <w:szCs w:val="14"/>
          <w:color w:val="001446"/>
        </w:rPr>
        <w:t>Mr. Gecht brings decades of leadership and board experience to the SolarEdge Board in the fields of technology, AI, and cybersecurity. Mr. Gecht serves as Board Chair of Logitech International S.A. (Nasdaq: LOGI) a designer of software enabled hardware solutions and previously served as Interim CEO from June to December 2023. He served as Chief Executive Officer of Electronics for Imaging, Inc. (formerly NASDAQ: EFII) from 2000 to 2018, transforming the company into a global digital imaging technology platform. Prior to joining EFI, Mr. Gecht worked for several startups in software leadership roles and was Chief Technology Officer of Apple Israel. Mr. Gecht also served on the Board of Directors of Check Point Software Technologies (Nasdaq: CHKP) from 2006 to 2024, including as Lead Independent Director from 2020 to 2024.</w:t>
      </w:r>
    </w:p>
    <w:p>
      <w:pPr>
        <w:spacing w:after="0" w:line="321"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color w:val="001446"/>
        </w:rPr>
        <w:t>Mr. Gecht brings senior leadership, governance as well as technology and cybersecurity expertise and strategy, M&amp;A and international experience to the Board, having led the transformation and growth of Electronics for Imaging into a global leader in digital imaging.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-1526540</wp:posOffset>
                </wp:positionH>
                <wp:positionV relativeFrom="paragraph">
                  <wp:posOffset>321310</wp:posOffset>
                </wp:positionV>
                <wp:extent cx="653224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25.3pt" to="394.15pt,25.3pt" o:allowincell="f" strokecolor="#000000" strokeweight="1.5599pt"/>
            </w:pict>
          </mc:Fallback>
        </mc:AlternateContent>
        <mc:AlternateContent>
          <mc:Choice Requires="wps">
            <w:drawing>
              <wp:anchor simplePos="0" relativeHeight="251657728" behindDoc="1" locked="0" layoutInCell="0" allowOverlap="1">
                <wp:simplePos x="0" y="0"/>
                <wp:positionH relativeFrom="column">
                  <wp:posOffset>-1526540</wp:posOffset>
                </wp:positionH>
                <wp:positionV relativeFrom="paragraph">
                  <wp:posOffset>443230</wp:posOffset>
                </wp:positionV>
                <wp:extent cx="653224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7">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34.9pt" to="394.15pt,34.9pt" o:allowincell="f" strokecolor="#000000" strokeweight="0.8399pt"/>
            </w:pict>
          </mc:Fallback>
        </mc:AlternateContent>
      </w:r>
    </w:p>
    <w:p>
      <w:pPr>
        <w:spacing w:after="0" w:line="536" w:lineRule="exact"/>
        <w:rPr>
          <w:sz w:val="20"/>
          <w:szCs w:val="20"/>
          <w:color w:val="auto"/>
        </w:rPr>
      </w:pPr>
    </w:p>
    <w:p>
      <w:pPr>
        <w:sectPr>
          <w:pgSz w:w="11900" w:h="16840" w:orient="portrait"/>
          <w:cols w:equalWidth="0" w:num="2">
            <w:col w:w="1800" w:space="600"/>
            <w:col w:w="7880"/>
          </w:cols>
          <w:pgMar w:left="820" w:top="1279" w:right="804"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Dana</w:t>
      </w:r>
    </w:p>
    <w:p>
      <w:pPr>
        <w:spacing w:after="0" w:line="16"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1097280" cy="12268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
                      <a:extLst>
                        <a:ext uri="{28A0092B-C50C-407E-A947-70E740481C1C}"/>
                      </a:extLst>
                    </a:blip>
                    <a:srcRect/>
                    <a:stretch>
                      <a:fillRect/>
                    </a:stretch>
                  </pic:blipFill>
                  <pic:spPr bwMode="auto">
                    <a:xfrm>
                      <a:off x="0" y="0"/>
                      <a:ext cx="1097280"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2023</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Age: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Committees: </w:t>
      </w:r>
      <w:r>
        <w:rPr>
          <w:rFonts w:ascii="Arial" w:cs="Arial" w:eastAsia="Arial" w:hAnsi="Arial"/>
          <w:sz w:val="14"/>
          <w:szCs w:val="14"/>
          <w:color w:val="001446"/>
        </w:rPr>
        <w:t>Audit Committee (Member); Compensation Committee (Chairperson)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Tower Semiconductors Ltd. and Playtika Holding Inc.</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001446"/>
        </w:rPr>
        <w:t>Ms. Gross has served as a member of our Board of Directors since 2023.</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Ms. Gross brings over 25 years of strategic and financial expertise to the Board of Directors from technology companies ranging from fintech to AI. Ms. Gross is Head of Strategic Initiatives at Fiverr International Ltd., an online marketplace, since 2022. She previously served as Chief Operating Officer of Prospera Technologies, an AI Agtech company, between 2016 and 2021 and later as Chief Strategy Officer (CSO) at Prospera Technologies between 2021 and 2023. She has also previously held the role of Chief Financial Officer at eToro, a fintech company, and has served on the boards of such companies as M-Systems, AudioCodes, and Power Dsine. She was also a venture partner at one of Israel's leading venture capital funds, Viola Ventures. Ms. Gross has also held various executive management positions at M-Systems from 1992 to 2006, when it was ultimately acquired by SanDisk, and as CEO of Btendo, a start-up company that developed MEMS based PICO projection solutions, until it was acquired by ST Microelectronic in 2012. Ms. Gross holds a BSc in Industrial Engineering from Tel Aviv University and an MBA from San Jose University.</w:t>
      </w:r>
    </w:p>
    <w:p>
      <w:pPr>
        <w:spacing w:after="0" w:line="137"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001446"/>
        </w:rPr>
        <w:t>Ms. Gross brings valuable financial, strategic and business experience to our Board through her years of experience in both executive financial and strategic roles at public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-1526540</wp:posOffset>
                </wp:positionH>
                <wp:positionV relativeFrom="paragraph">
                  <wp:posOffset>59690</wp:posOffset>
                </wp:positionV>
                <wp:extent cx="653224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4.7pt" to="394.15pt,4.7pt" o:allowincell="f" strokecolor="#000000" strokeweight="0.7799pt"/>
            </w:pict>
          </mc:Fallback>
        </mc:AlternateContent>
        <mc:AlternateContent>
          <mc:Choice Requires="wps">
            <w:drawing>
              <wp:anchor simplePos="0" relativeHeight="251657728" behindDoc="1" locked="0" layoutInCell="0" allowOverlap="1">
                <wp:simplePos x="0" y="0"/>
                <wp:positionH relativeFrom="column">
                  <wp:posOffset>-1525905</wp:posOffset>
                </wp:positionH>
                <wp:positionV relativeFrom="paragraph">
                  <wp:posOffset>171450</wp:posOffset>
                </wp:positionV>
                <wp:extent cx="6532245" cy="58420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32" o:spid="_x0000_s1257" style="position:absolute;margin-left:-120.1499pt;margin-top:13.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ectPr>
          <w:pgSz w:w="11900" w:h="16840" w:orient="portrait"/>
          <w:cols w:equalWidth="0" w:num="2">
            <w:col w:w="1680" w:space="720"/>
            <w:col w:w="7880"/>
          </w:cols>
          <w:pgMar w:left="820" w:top="1279" w:right="804"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80"/>
          </w:cols>
          <w:pgMar w:left="820" w:top="1279" w:right="804"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368"/>
        </w:trPr>
        <w:tc>
          <w:tcPr>
            <w:tcW w:w="2200" w:type="dxa"/>
            <w:vAlign w:val="bottom"/>
          </w:tcPr>
          <w:p>
            <w:pPr>
              <w:spacing w:after="0"/>
              <w:rPr>
                <w:sz w:val="20"/>
                <w:szCs w:val="20"/>
                <w:color w:val="auto"/>
              </w:rPr>
            </w:pPr>
            <w:r>
              <w:rPr>
                <w:rFonts w:ascii="Arial" w:cs="Arial" w:eastAsia="Arial" w:hAnsi="Arial"/>
                <w:sz w:val="32"/>
                <w:szCs w:val="32"/>
                <w:b w:val="1"/>
                <w:bCs w:val="1"/>
                <w:color w:val="001446"/>
              </w:rPr>
              <w:t>Yoram Tietz</w:t>
            </w:r>
          </w:p>
        </w:tc>
        <w:tc>
          <w:tcPr>
            <w:tcW w:w="8040" w:type="dxa"/>
            <w:vAlign w:val="bottom"/>
          </w:tcPr>
          <w:p>
            <w:pPr>
              <w:ind w:left="200"/>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None</w:t>
            </w:r>
          </w:p>
        </w:tc>
      </w:tr>
      <w:tr>
        <w:trPr>
          <w:trHeight w:val="206"/>
        </w:trPr>
        <w:tc>
          <w:tcPr>
            <w:tcW w:w="2200" w:type="dxa"/>
            <w:vAlign w:val="bottom"/>
          </w:tcPr>
          <w:p>
            <w:pPr>
              <w:spacing w:after="0"/>
              <w:rPr>
                <w:sz w:val="17"/>
                <w:szCs w:val="17"/>
                <w:color w:val="auto"/>
              </w:rPr>
            </w:pPr>
          </w:p>
        </w:tc>
        <w:tc>
          <w:tcPr>
            <w:tcW w:w="8040" w:type="dxa"/>
            <w:vAlign w:val="bottom"/>
          </w:tcPr>
          <w:p>
            <w:pPr>
              <w:ind w:left="200"/>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w:t>
            </w:r>
            <w:r>
              <w:rPr>
                <w:rFonts w:ascii="Arial" w:cs="Arial" w:eastAsia="Arial" w:hAnsi="Arial"/>
                <w:sz w:val="14"/>
                <w:szCs w:val="14"/>
                <w:b w:val="1"/>
                <w:bCs w:val="1"/>
                <w:color w:val="001446"/>
              </w:rPr>
              <w:t xml:space="preserve"> </w:t>
            </w:r>
            <w:r>
              <w:rPr>
                <w:rFonts w:ascii="Arial" w:cs="Arial" w:eastAsia="Arial" w:hAnsi="Arial"/>
                <w:sz w:val="14"/>
                <w:szCs w:val="14"/>
                <w:color w:val="001446"/>
              </w:rPr>
              <w:t>Audit Committee (Chairperson); Compensation Committee (Member)</w:t>
            </w:r>
          </w:p>
        </w:tc>
      </w:tr>
      <w:tr>
        <w:trPr>
          <w:trHeight w:val="462"/>
        </w:trPr>
        <w:tc>
          <w:tcPr>
            <w:tcW w:w="2200" w:type="dxa"/>
            <w:vAlign w:val="bottom"/>
          </w:tcPr>
          <w:p>
            <w:pPr>
              <w:spacing w:after="0"/>
              <w:rPr>
                <w:sz w:val="24"/>
                <w:szCs w:val="24"/>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Mr. Tietz is a seasoned financial expert, with over 36 years in the field of public accounting, 15 of which he spent as the</w:t>
            </w:r>
          </w:p>
        </w:tc>
      </w:tr>
      <w:tr>
        <w:trPr>
          <w:trHeight w:val="168"/>
        </w:trPr>
        <w:tc>
          <w:tcPr>
            <w:tcW w:w="2200" w:type="dxa"/>
            <w:vAlign w:val="bottom"/>
          </w:tcPr>
          <w:p>
            <w:pPr>
              <w:spacing w:after="0"/>
              <w:rPr>
                <w:sz w:val="14"/>
                <w:szCs w:val="14"/>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Managing Partner of Kost Forer Gabbay &amp; Kasierer, a member of EY Global (EY Israel) from 2007 until 2022. Currently, Mr.</w:t>
            </w:r>
          </w:p>
        </w:tc>
      </w:tr>
      <w:tr>
        <w:trPr>
          <w:trHeight w:val="168"/>
        </w:trPr>
        <w:tc>
          <w:tcPr>
            <w:tcW w:w="2200" w:type="dxa"/>
            <w:vAlign w:val="bottom"/>
          </w:tcPr>
          <w:p>
            <w:pPr>
              <w:spacing w:after="0"/>
              <w:rPr>
                <w:sz w:val="14"/>
                <w:szCs w:val="14"/>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Tietz has served as a senior advisor at General Atlantic LLP., a global investment firm, since 2022.Mr. Tietz is also the</w:t>
            </w:r>
          </w:p>
        </w:tc>
      </w:tr>
      <w:tr>
        <w:trPr>
          <w:trHeight w:val="168"/>
        </w:trPr>
        <w:tc>
          <w:tcPr>
            <w:tcW w:w="2200" w:type="dxa"/>
            <w:vAlign w:val="bottom"/>
          </w:tcPr>
          <w:p>
            <w:pPr>
              <w:spacing w:after="0"/>
              <w:rPr>
                <w:sz w:val="14"/>
                <w:szCs w:val="14"/>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chairman of the Friends of Sheba Medical Center, the largest Hospital in Israel, and the Chairman of Birthright Israel Excel</w:t>
            </w:r>
          </w:p>
        </w:tc>
      </w:tr>
      <w:tr>
        <w:trPr>
          <w:trHeight w:val="194"/>
        </w:trPr>
        <w:tc>
          <w:tcPr>
            <w:tcW w:w="2200" w:type="dxa"/>
            <w:vAlign w:val="bottom"/>
          </w:tcPr>
          <w:p>
            <w:pPr>
              <w:spacing w:after="0"/>
              <w:rPr>
                <w:sz w:val="16"/>
                <w:szCs w:val="16"/>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(non-profit organizations). Mr. Tietz holds a B.A. in Economics and Accounting from Tel Aviv University.</w:t>
            </w:r>
          </w:p>
        </w:tc>
      </w:tr>
      <w:tr>
        <w:trPr>
          <w:trHeight w:val="310"/>
        </w:trPr>
        <w:tc>
          <w:tcPr>
            <w:tcW w:w="2200" w:type="dxa"/>
            <w:vAlign w:val="bottom"/>
          </w:tcPr>
          <w:p>
            <w:pPr>
              <w:spacing w:after="0"/>
              <w:rPr>
                <w:sz w:val="24"/>
                <w:szCs w:val="24"/>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Mr. Tietz brings to the Board a wealth of leadership and financial expertise, through years of distinguished service. His</w:t>
            </w:r>
          </w:p>
        </w:tc>
      </w:tr>
      <w:tr>
        <w:trPr>
          <w:trHeight w:val="168"/>
        </w:trPr>
        <w:tc>
          <w:tcPr>
            <w:tcW w:w="2200" w:type="dxa"/>
            <w:vAlign w:val="bottom"/>
          </w:tcPr>
          <w:p>
            <w:pPr>
              <w:spacing w:after="0"/>
              <w:rPr>
                <w:sz w:val="14"/>
                <w:szCs w:val="14"/>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career experience encompasses strategic decision-making, and financial management, making him a valuable asset to our</w:t>
            </w:r>
          </w:p>
        </w:tc>
      </w:tr>
      <w:tr>
        <w:trPr>
          <w:trHeight w:val="194"/>
        </w:trPr>
        <w:tc>
          <w:tcPr>
            <w:tcW w:w="2200" w:type="dxa"/>
            <w:vAlign w:val="bottom"/>
          </w:tcPr>
          <w:p>
            <w:pPr>
              <w:spacing w:after="0"/>
              <w:rPr>
                <w:sz w:val="16"/>
                <w:szCs w:val="16"/>
                <w:color w:val="auto"/>
              </w:rPr>
            </w:pPr>
          </w:p>
        </w:tc>
        <w:tc>
          <w:tcPr>
            <w:tcW w:w="8040" w:type="dxa"/>
            <w:vAlign w:val="bottom"/>
          </w:tcPr>
          <w:p>
            <w:pPr>
              <w:ind w:left="200"/>
              <w:spacing w:after="0"/>
              <w:rPr>
                <w:sz w:val="20"/>
                <w:szCs w:val="20"/>
                <w:color w:val="auto"/>
              </w:rPr>
            </w:pPr>
            <w:r>
              <w:rPr>
                <w:rFonts w:ascii="Arial" w:cs="Arial" w:eastAsia="Arial" w:hAnsi="Arial"/>
                <w:sz w:val="14"/>
                <w:szCs w:val="14"/>
                <w:color w:val="001446"/>
              </w:rPr>
              <w:t>Board.</w:t>
            </w:r>
          </w:p>
        </w:tc>
      </w:tr>
      <w:tr>
        <w:trPr>
          <w:trHeight w:val="233"/>
        </w:trPr>
        <w:tc>
          <w:tcPr>
            <w:tcW w:w="2200" w:type="dxa"/>
            <w:vAlign w:val="bottom"/>
          </w:tcPr>
          <w:p>
            <w:pPr>
              <w:spacing w:after="0"/>
              <w:rPr>
                <w:sz w:val="20"/>
                <w:szCs w:val="20"/>
                <w:color w:val="auto"/>
              </w:rPr>
            </w:pPr>
            <w:r>
              <w:rPr>
                <w:rFonts w:ascii="Arial" w:cs="Arial" w:eastAsia="Arial" w:hAnsi="Arial"/>
                <w:sz w:val="14"/>
                <w:szCs w:val="14"/>
                <w:color w:val="auto"/>
              </w:rPr>
              <w:t>Director Since: January 6, 2025</w:t>
            </w:r>
          </w:p>
        </w:tc>
        <w:tc>
          <w:tcPr>
            <w:tcW w:w="8040" w:type="dxa"/>
            <w:vAlign w:val="bottom"/>
          </w:tcPr>
          <w:p>
            <w:pPr>
              <w:spacing w:after="0"/>
              <w:rPr>
                <w:sz w:val="20"/>
                <w:szCs w:val="20"/>
                <w:color w:val="auto"/>
              </w:rPr>
            </w:pPr>
          </w:p>
        </w:tc>
      </w:tr>
      <w:tr>
        <w:trPr>
          <w:trHeight w:val="194"/>
        </w:trPr>
        <w:tc>
          <w:tcPr>
            <w:tcW w:w="2200" w:type="dxa"/>
            <w:vAlign w:val="bottom"/>
          </w:tcPr>
          <w:p>
            <w:pPr>
              <w:spacing w:after="0"/>
              <w:rPr>
                <w:sz w:val="20"/>
                <w:szCs w:val="20"/>
                <w:color w:val="auto"/>
              </w:rPr>
            </w:pPr>
            <w:r>
              <w:rPr>
                <w:rFonts w:ascii="Arial" w:cs="Arial" w:eastAsia="Arial" w:hAnsi="Arial"/>
                <w:sz w:val="14"/>
                <w:szCs w:val="14"/>
                <w:color w:val="001446"/>
              </w:rPr>
              <w:t>Age: 63</w:t>
            </w:r>
          </w:p>
        </w:tc>
        <w:tc>
          <w:tcPr>
            <w:tcW w:w="8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196215</wp:posOffset>
                </wp:positionV>
                <wp:extent cx="653224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5.45pt" to="514.15pt,15.45pt" o:allowincell="f" strokecolor="#000000" strokeweight="1.6199pt"/>
            </w:pict>
          </mc:Fallback>
        </mc:AlternateContent>
        <w:drawing>
          <wp:anchor simplePos="0" relativeHeight="251657728" behindDoc="1" locked="0" layoutInCell="0" allowOverlap="1">
            <wp:simplePos x="0" y="0"/>
            <wp:positionH relativeFrom="column">
              <wp:posOffset>22860</wp:posOffset>
            </wp:positionH>
            <wp:positionV relativeFrom="paragraph">
              <wp:posOffset>-1217295</wp:posOffset>
            </wp:positionV>
            <wp:extent cx="1097915" cy="8686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
                      <a:extLst>
                        <a:ext uri="{28A0092B-C50C-407E-A947-70E740481C1C}"/>
                      </a:extLst>
                    </a:blip>
                    <a:srcRect/>
                    <a:stretch>
                      <a:fillRect/>
                    </a:stretch>
                  </pic:blipFill>
                  <pic:spPr bwMode="auto">
                    <a:xfrm>
                      <a:off x="0" y="0"/>
                      <a:ext cx="1097915" cy="868680"/>
                    </a:xfrm>
                    <a:prstGeom prst="rect">
                      <a:avLst/>
                    </a:prstGeom>
                    <a:noFill/>
                  </pic:spPr>
                </pic:pic>
              </a:graphicData>
            </a:graphic>
          </wp:anchor>
        </w:drawing>
      </w:r>
    </w:p>
    <w:p>
      <w:pPr>
        <w:sectPr>
          <w:pgSz w:w="11900" w:h="16840" w:orient="portrait"/>
          <w:cols w:equalWidth="0" w:num="1">
            <w:col w:w="10240"/>
          </w:cols>
          <w:pgMar w:left="820" w:top="924" w:right="844"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right="180"/>
        <w:spacing w:after="0" w:line="297" w:lineRule="auto"/>
        <w:rPr>
          <w:sz w:val="20"/>
          <w:szCs w:val="20"/>
          <w:color w:val="auto"/>
        </w:rPr>
      </w:pPr>
      <w:r>
        <w:rPr>
          <w:rFonts w:ascii="Arial" w:cs="Arial" w:eastAsia="Arial" w:hAnsi="Arial"/>
          <w:sz w:val="32"/>
          <w:szCs w:val="32"/>
          <w:b w:val="1"/>
          <w:bCs w:val="1"/>
          <w:color w:val="001446"/>
        </w:rPr>
        <w:t>Yehoshua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21590</wp:posOffset>
            </wp:positionV>
            <wp:extent cx="1045845" cy="9601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
                      <a:extLst>
                        <a:ext uri="{28A0092B-C50C-407E-A947-70E740481C1C}"/>
                      </a:extLst>
                    </a:blip>
                    <a:srcRect/>
                    <a:stretch>
                      <a:fillRect/>
                    </a:stretch>
                  </pic:blipFill>
                  <pic:spPr bwMode="auto">
                    <a:xfrm>
                      <a:off x="0" y="0"/>
                      <a:ext cx="10458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001446"/>
        </w:rPr>
        <w:t>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December 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001446"/>
        </w:rPr>
        <w:t>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001446"/>
        </w:rPr>
        <w:t>Age: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-104775</wp:posOffset>
                </wp:positionV>
                <wp:extent cx="500888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8880" cy="4763"/>
                        </a:xfrm>
                        <a:prstGeom prst="line">
                          <a:avLst/>
                        </a:prstGeom>
                        <a:solidFill>
                          <a:srgbClr val="FFFFFF"/>
                        </a:solidFill>
                        <a:ln w="10668">
                          <a:solidFill>
                            <a:srgbClr val="78BAE6"/>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8.2499pt" to="394.15pt,-8.2499pt" o:allowincell="f" strokecolor="#78BAE6" strokeweight="0.84pt"/>
            </w:pict>
          </mc:Fallback>
        </mc:AlternateContent>
      </w: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Oddity Tech Ltd.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133350</wp:posOffset>
                </wp:positionV>
                <wp:extent cx="500888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8880" cy="4763"/>
                        </a:xfrm>
                        <a:prstGeom prst="line">
                          <a:avLst/>
                        </a:prstGeom>
                        <a:solidFill>
                          <a:srgbClr val="FFFFFF"/>
                        </a:solidFill>
                        <a:ln w="10668">
                          <a:solidFill>
                            <a:srgbClr val="78BAE6"/>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5pt" to="394.15pt,10.5pt" o:allowincell="f" strokecolor="#78BAE6" strokeweight="0.84pt"/>
            </w:pict>
          </mc:Fallback>
        </mc:AlternateConten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001446"/>
        </w:rPr>
        <w:t>Mr. Nir has nearly three decades of experience in leadership roles at multinational technology companies, most recently as SolarEdge’s Chief Executive Officer as of December 2024 and SolarEdge’s Chief Marketing Officer from June 2024 to December 2024. Prior to joining SolarEdge, Mr. Nir worked at Nir Strategic Advice Ltd., a strategic consulting firm for multinational technology companies, from 2017 to 2024.</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001446"/>
        </w:rPr>
        <w:t>Mr. Nir served as the General Manager of the consumer business at SanDisk (Nasdaq: SNDK) from 2008 to 2016, where he led the strategic transformation and turnaround of a loss-making division into a profitable global market leader. Mr. Nir’s extensive tenure includes strategic consulting for multinational corporations and serving on several boards, including IronSource (NYSE: IS), Kornit Digital (Nasdaq: KRNT) (until 2024), and Oddity (Nasdaq: ODD). Mr. Nir holds an MBA, an LLB and BA in accounting from Tel Aviv University.</w:t>
      </w:r>
    </w:p>
    <w:p>
      <w:pPr>
        <w:spacing w:after="0" w:line="129" w:lineRule="exact"/>
        <w:rPr>
          <w:sz w:val="20"/>
          <w:szCs w:val="20"/>
          <w:color w:val="auto"/>
        </w:rPr>
      </w:pPr>
    </w:p>
    <w:p>
      <w:pPr>
        <w:ind w:right="460"/>
        <w:spacing w:after="0" w:line="311" w:lineRule="auto"/>
        <w:rPr>
          <w:sz w:val="20"/>
          <w:szCs w:val="20"/>
          <w:color w:val="auto"/>
        </w:rPr>
      </w:pPr>
      <w:r>
        <w:rPr>
          <w:rFonts w:ascii="Arial" w:cs="Arial" w:eastAsia="Arial" w:hAnsi="Arial"/>
          <w:sz w:val="14"/>
          <w:szCs w:val="14"/>
          <w:color w:val="001446"/>
        </w:rPr>
        <w:t>Mr. Nir brings to the Board years of senior leadership experience in the technology sector. His extensive background provides a valuable perspective that enriches our management and Board's strategic discussions</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-1526540</wp:posOffset>
                </wp:positionH>
                <wp:positionV relativeFrom="paragraph">
                  <wp:posOffset>285750</wp:posOffset>
                </wp:positionV>
                <wp:extent cx="653224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22.5pt" to="394.15pt,22.5pt" o:allowincell="f" strokecolor="#000000" strokeweight="0.7799pt"/>
            </w:pict>
          </mc:Fallback>
        </mc:AlternateContent>
        <mc:AlternateContent>
          <mc:Choice Requires="wps">
            <w:drawing>
              <wp:anchor simplePos="0" relativeHeight="251657728" behindDoc="1" locked="0" layoutInCell="0" allowOverlap="1">
                <wp:simplePos x="0" y="0"/>
                <wp:positionH relativeFrom="column">
                  <wp:posOffset>-1526540</wp:posOffset>
                </wp:positionH>
                <wp:positionV relativeFrom="paragraph">
                  <wp:posOffset>519430</wp:posOffset>
                </wp:positionV>
                <wp:extent cx="653224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78BAE6"/>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1999pt,40.9pt" to="394.15pt,40.9pt" o:allowincell="f" strokecolor="#78BAE6" strokeweight="0.7799pt"/>
            </w:pict>
          </mc:Fallback>
        </mc:AlternateContent>
      </w:r>
    </w:p>
    <w:p>
      <w:pPr>
        <w:spacing w:after="0" w:line="487" w:lineRule="exact"/>
        <w:rPr>
          <w:sz w:val="20"/>
          <w:szCs w:val="20"/>
          <w:color w:val="auto"/>
        </w:rPr>
      </w:pPr>
    </w:p>
    <w:p>
      <w:pPr>
        <w:sectPr>
          <w:pgSz w:w="11900" w:h="16840" w:orient="portrait"/>
          <w:cols w:equalWidth="0" w:num="2">
            <w:col w:w="1800" w:space="600"/>
            <w:col w:w="7840"/>
          </w:cols>
          <w:pgMar w:left="820" w:top="924" w:right="844"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The Board of Directors recommends a vote FOR the election of each of the director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138430</wp:posOffset>
                </wp:positionV>
                <wp:extent cx="653224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7">
                          <a:solidFill>
                            <a:srgbClr val="78BAE6"/>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0.9pt" to="514.15pt,10.9pt" o:allowincell="f" strokecolor="#78BAE6" strokeweight="0.83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260985</wp:posOffset>
                </wp:positionV>
                <wp:extent cx="6532245" cy="58420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42" o:spid="_x0000_s1267" style="position:absolute;margin-left:-0.1499pt;margin-top:20.5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2pt"/>
            </w:pict>
          </mc:Fallback>
        </mc:AlternateContent>
      </w:r>
    </w:p>
    <w:p>
      <w:pPr>
        <w:sectPr>
          <w:pgSz w:w="11900" w:h="16840" w:orient="portrait"/>
          <w:cols w:equalWidth="0" w:num="1">
            <w:col w:w="10240"/>
          </w:cols>
          <w:pgMar w:left="820" w:top="924" w:right="844"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38"/>
          <w:szCs w:val="38"/>
          <w:b w:val="1"/>
          <w:bCs w:val="1"/>
          <w:color w:val="001446"/>
        </w:rPr>
        <w:t>Director Skills, Experience and Background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w:r>
    </w:p>
    <w:p>
      <w:pPr>
        <w:spacing w:after="0" w:line="184" w:lineRule="exact"/>
        <w:rPr>
          <w:sz w:val="20"/>
          <w:szCs w:val="20"/>
          <w:color w:val="auto"/>
        </w:rPr>
      </w:pPr>
    </w:p>
    <w:p>
      <w:pPr>
        <w:ind w:right="100"/>
        <w:spacing w:after="0" w:line="317" w:lineRule="auto"/>
        <w:rPr>
          <w:sz w:val="20"/>
          <w:szCs w:val="20"/>
          <w:color w:val="auto"/>
        </w:rPr>
      </w:pPr>
      <w:r>
        <w:rPr>
          <w:rFonts w:ascii="Arial" w:cs="Arial" w:eastAsia="Arial" w:hAnsi="Arial"/>
          <w:sz w:val="14"/>
          <w:szCs w:val="14"/>
          <w:b w:val="1"/>
          <w:bCs w:val="1"/>
          <w:color w:val="001446"/>
        </w:rPr>
        <w:t>The Nominating and Corporate Governance Committee and the Board have identified particular qualifications, attributes, skills and experiences that are important to be represented on the Board as a whole, in light of the Company’s current needs and business priorities:</w:t>
      </w:r>
    </w:p>
    <w:p>
      <w:pPr>
        <w:spacing w:after="0" w:line="79"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001446"/>
        </w:rPr>
        <w:t>Leadership and Executive Experience in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342900" cy="4260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
                      <a:extLst>
                        <a:ext uri="{28A0092B-C50C-407E-A947-70E740481C1C}"/>
                      </a:extLst>
                    </a:blip>
                    <a:srcRect/>
                    <a:stretch>
                      <a:fillRect/>
                    </a:stretch>
                  </pic:blipFill>
                  <pic:spPr bwMode="auto">
                    <a:xfrm>
                      <a:off x="0" y="0"/>
                      <a:ext cx="342900" cy="426085"/>
                    </a:xfrm>
                    <a:prstGeom prst="rect">
                      <a:avLst/>
                    </a:prstGeom>
                    <a:noFill/>
                  </pic:spPr>
                </pic:pic>
              </a:graphicData>
            </a:graphic>
          </wp:anchor>
        </w:drawing>
      </w:r>
    </w:p>
    <w:p>
      <w:pPr>
        <w:ind w:left="1540" w:right="160"/>
        <w:spacing w:after="0" w:line="264" w:lineRule="auto"/>
        <w:rPr>
          <w:sz w:val="20"/>
          <w:szCs w:val="20"/>
          <w:color w:val="auto"/>
        </w:rPr>
      </w:pPr>
      <w:r>
        <w:rPr>
          <w:rFonts w:ascii="Arial" w:cs="Arial" w:eastAsia="Arial" w:hAnsi="Arial"/>
          <w:sz w:val="14"/>
          <w:szCs w:val="14"/>
          <w:color w:val="001446"/>
        </w:rPr>
        <w:t>We believe that directors who have significant practical experience, demonstrated business acumen and leadership, and high levels of accomplishment will possess the ability to exercise sound business judgment and to provide insight and practical wisdom to help us analyze, shape, and oversee the execution of important operational and policy issues while understanding the legal and regulatory demands required from a public company.</w:t>
      </w:r>
    </w:p>
    <w:p>
      <w:pPr>
        <w:spacing w:after="0" w:line="12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001446"/>
        </w:rPr>
        <w:t>Extensive Knowledge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358140" cy="281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
                      <a:extLst>
                        <a:ext uri="{28A0092B-C50C-407E-A947-70E740481C1C}"/>
                      </a:extLst>
                    </a:blip>
                    <a:srcRect/>
                    <a:stretch>
                      <a:fillRect/>
                    </a:stretch>
                  </pic:blipFill>
                  <pic:spPr bwMode="auto">
                    <a:xfrm>
                      <a:off x="0" y="0"/>
                      <a:ext cx="358140" cy="281305"/>
                    </a:xfrm>
                    <a:prstGeom prst="rect">
                      <a:avLst/>
                    </a:prstGeom>
                    <a:noFill/>
                  </pic:spPr>
                </pic:pic>
              </a:graphicData>
            </a:graphic>
          </wp:anchor>
        </w:drawing>
      </w:r>
    </w:p>
    <w:p>
      <w:pPr>
        <w:jc w:val="both"/>
        <w:ind w:left="1540"/>
        <w:spacing w:after="0" w:line="272" w:lineRule="auto"/>
        <w:rPr>
          <w:sz w:val="20"/>
          <w:szCs w:val="20"/>
          <w:color w:val="auto"/>
        </w:rPr>
      </w:pPr>
      <w:r>
        <w:rPr>
          <w:rFonts w:ascii="Arial" w:cs="Arial" w:eastAsia="Arial" w:hAnsi="Arial"/>
          <w:sz w:val="14"/>
          <w:szCs w:val="14"/>
          <w:color w:val="001446"/>
        </w:rPr>
        <w:t>We design and manufacture both hardware and software technological solutions for the smart energy market while constantly developing and growing our business. Our director’s commitment to understanding the Company and its business, industry, and strategic objectives is significant for their contribution to our strategic planning and business discussions.</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001446"/>
        </w:rPr>
        <w:t>High Level of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373380" cy="3194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
                      <a:extLst>
                        <a:ext uri="{28A0092B-C50C-407E-A947-70E740481C1C}"/>
                      </a:extLst>
                    </a:blip>
                    <a:srcRect/>
                    <a:stretch>
                      <a:fillRect/>
                    </a:stretch>
                  </pic:blipFill>
                  <pic:spPr bwMode="auto">
                    <a:xfrm>
                      <a:off x="0" y="0"/>
                      <a:ext cx="373380" cy="319405"/>
                    </a:xfrm>
                    <a:prstGeom prst="rect">
                      <a:avLst/>
                    </a:prstGeom>
                    <a:noFill/>
                  </pic:spPr>
                </pic:pic>
              </a:graphicData>
            </a:graphic>
          </wp:anchor>
        </w:drawing>
      </w:r>
    </w:p>
    <w:p>
      <w:pPr>
        <w:ind w:left="1540"/>
        <w:spacing w:after="0" w:line="264" w:lineRule="auto"/>
        <w:rPr>
          <w:sz w:val="20"/>
          <w:szCs w:val="20"/>
          <w:color w:val="auto"/>
        </w:rPr>
      </w:pPr>
      <w:r>
        <w:rPr>
          <w:rFonts w:ascii="Arial" w:cs="Arial" w:eastAsia="Arial" w:hAnsi="Arial"/>
          <w:sz w:val="14"/>
          <w:szCs w:val="14"/>
          <w:color w:val="001446"/>
        </w:rPr>
        <w:t>Accurate financial reporting, robust auditing and familiarity with new accounting principles and practices are important for us as a publicly traded company. We, therefore, seek to have a number of directors who qualify as Audit Committee financial experts. We further expect all of our directors to be financially knowledgeable in order to understand and advise on our financial reporting, internal control, and investment activities.</w:t>
      </w:r>
    </w:p>
    <w:p>
      <w:pPr>
        <w:spacing w:after="0" w:line="12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001446"/>
        </w:rPr>
        <w:t>Broad International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381000" cy="3727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
                      <a:extLst>
                        <a:ext uri="{28A0092B-C50C-407E-A947-70E740481C1C}"/>
                      </a:extLst>
                    </a:blip>
                    <a:srcRect/>
                    <a:stretch>
                      <a:fillRect/>
                    </a:stretch>
                  </pic:blipFill>
                  <pic:spPr bwMode="auto">
                    <a:xfrm>
                      <a:off x="0" y="0"/>
                      <a:ext cx="381000" cy="372745"/>
                    </a:xfrm>
                    <a:prstGeom prst="rect">
                      <a:avLst/>
                    </a:prstGeom>
                    <a:noFill/>
                  </pic:spPr>
                </pic:pic>
              </a:graphicData>
            </a:graphic>
          </wp:anchor>
        </w:drawing>
      </w:r>
    </w:p>
    <w:p>
      <w:pPr>
        <w:ind w:left="1540" w:right="40"/>
        <w:spacing w:after="0" w:line="272" w:lineRule="auto"/>
        <w:rPr>
          <w:sz w:val="20"/>
          <w:szCs w:val="20"/>
          <w:color w:val="auto"/>
        </w:rPr>
      </w:pPr>
      <w:r>
        <w:rPr>
          <w:rFonts w:ascii="Arial" w:cs="Arial" w:eastAsia="Arial" w:hAnsi="Arial"/>
          <w:sz w:val="14"/>
          <w:szCs w:val="14"/>
          <w:color w:val="001446"/>
        </w:rPr>
        <w:t>We currently have a presence in 25 countries around the world. Our products have been installed in approximately 140 countries around the world. Due to the global nature of our business, we deem it critical for our directors to be able to provide valuable business and cultural perspective on our international operations.</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001446"/>
        </w:rPr>
        <w:t>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457200" cy="3651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
                      <a:extLst>
                        <a:ext uri="{28A0092B-C50C-407E-A947-70E740481C1C}"/>
                      </a:extLst>
                    </a:blip>
                    <a:srcRect/>
                    <a:stretch>
                      <a:fillRect/>
                    </a:stretch>
                  </pic:blipFill>
                  <pic:spPr bwMode="auto">
                    <a:xfrm>
                      <a:off x="0" y="0"/>
                      <a:ext cx="457200" cy="365125"/>
                    </a:xfrm>
                    <a:prstGeom prst="rect">
                      <a:avLst/>
                    </a:prstGeom>
                    <a:noFill/>
                  </pic:spPr>
                </pic:pic>
              </a:graphicData>
            </a:graphic>
          </wp:anchor>
        </w:drawing>
      </w:r>
    </w:p>
    <w:p>
      <w:pPr>
        <w:ind w:left="1540" w:right="60"/>
        <w:spacing w:after="0" w:line="262" w:lineRule="auto"/>
        <w:rPr>
          <w:sz w:val="20"/>
          <w:szCs w:val="20"/>
          <w:color w:val="auto"/>
        </w:rPr>
      </w:pPr>
      <w:r>
        <w:rPr>
          <w:rFonts w:ascii="Arial" w:cs="Arial" w:eastAsia="Arial" w:hAnsi="Arial"/>
          <w:sz w:val="14"/>
          <w:szCs w:val="14"/>
          <w:color w:val="001446"/>
        </w:rPr>
        <w:t>Our products reflect a focus on innovation and we are continuously searching to improve and enhance the capabilities of our technology departments. It is important for us to have directors who share the desire for technological innovation, who have themselves led technology companies and who want to be a part of leading the path for continuous innovation in the area of smart energy. In light of the importance of protection of infrastructure from security threats including cyber, we look to our board members for their experience in this area.</w:t>
      </w:r>
    </w:p>
    <w:p>
      <w:pPr>
        <w:spacing w:after="0" w:line="297"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001446"/>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457200" cy="3651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
                      <a:extLst>
                        <a:ext uri="{28A0092B-C50C-407E-A947-70E740481C1C}"/>
                      </a:extLst>
                    </a:blip>
                    <a:srcRect/>
                    <a:stretch>
                      <a:fillRect/>
                    </a:stretch>
                  </pic:blipFill>
                  <pic:spPr bwMode="auto">
                    <a:xfrm>
                      <a:off x="0" y="0"/>
                      <a:ext cx="457200" cy="365125"/>
                    </a:xfrm>
                    <a:prstGeom prst="rect">
                      <a:avLst/>
                    </a:prstGeom>
                    <a:noFill/>
                  </pic:spPr>
                </pic:pic>
              </a:graphicData>
            </a:graphic>
          </wp:anchor>
        </w:drawing>
      </w:r>
    </w:p>
    <w:p>
      <w:pPr>
        <w:ind w:left="1540" w:right="100"/>
        <w:spacing w:after="0" w:line="293" w:lineRule="auto"/>
        <w:rPr>
          <w:sz w:val="20"/>
          <w:szCs w:val="20"/>
          <w:color w:val="auto"/>
        </w:rPr>
      </w:pPr>
      <w:r>
        <w:rPr>
          <w:rFonts w:ascii="Arial" w:cs="Arial" w:eastAsia="Arial" w:hAnsi="Arial"/>
          <w:sz w:val="14"/>
          <w:szCs w:val="14"/>
          <w:color w:val="001446"/>
        </w:rPr>
        <w:t>For non-employee directors, it is important that our directors are independent under Nasdaq listing standards and other applicable rules and regulations.</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001446"/>
        </w:rPr>
        <w:t>The table below summarizes the specific skills and attributes most valued by the Nominating and Corporate Governance Committee and the Board in connection with annual assessment and/or appointment decision-making for each director or nominee listed below. Therefore, the absence of a particular skill for a director does not necessarily mean the director does not possess that attribute.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84455</wp:posOffset>
                </wp:positionV>
                <wp:extent cx="6532245" cy="58483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251" o:spid="_x0000_s1276" style="position:absolute;margin-left:-0.1499pt;margin-top:6.65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40"/>
          </w:cols>
          <w:pgMar w:left="820" w:top="1123" w:right="844" w:bottom="1440" w:gutter="0" w:footer="0" w:header="0"/>
        </w:sectPr>
      </w:pPr>
    </w:p>
    <w:bookmarkStart w:id="164" w:name="page165"/>
    <w:bookmarkEnd w:id="164"/>
    <w:p>
      <w:pPr>
        <w:ind w:left="4"/>
        <w:spacing w:after="0"/>
        <w:rPr>
          <w:sz w:val="20"/>
          <w:szCs w:val="20"/>
          <w:color w:val="auto"/>
        </w:rPr>
      </w:pPr>
      <w:r>
        <w:rPr>
          <w:rFonts w:ascii="Arial" w:cs="Arial" w:eastAsia="Arial" w:hAnsi="Arial"/>
          <w:sz w:val="22"/>
          <w:szCs w:val="22"/>
          <w:b w:val="1"/>
          <w:bCs w:val="1"/>
          <w:color w:val="001446"/>
        </w:rPr>
        <w:t>Skills and Expertise*</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220" w:type="dxa"/>
            <w:vAlign w:val="bottom"/>
            <w:shd w:val="clear" w:color="auto" w:fill="001446"/>
          </w:tcPr>
          <w:p>
            <w:pPr>
              <w:spacing w:after="0"/>
              <w:rPr>
                <w:sz w:val="13"/>
                <w:szCs w:val="13"/>
                <w:color w:val="auto"/>
              </w:rPr>
            </w:pPr>
          </w:p>
        </w:tc>
        <w:tc>
          <w:tcPr>
            <w:tcW w:w="1220" w:type="dxa"/>
            <w:vAlign w:val="bottom"/>
            <w:shd w:val="clear" w:color="auto" w:fill="001446"/>
          </w:tcPr>
          <w:p>
            <w:pPr>
              <w:ind w:left="340"/>
              <w:spacing w:after="0"/>
              <w:rPr>
                <w:sz w:val="20"/>
                <w:szCs w:val="20"/>
                <w:color w:val="auto"/>
              </w:rPr>
            </w:pPr>
            <w:r>
              <w:rPr>
                <w:rFonts w:ascii="Arial" w:cs="Arial" w:eastAsia="Arial" w:hAnsi="Arial"/>
                <w:sz w:val="13"/>
                <w:szCs w:val="13"/>
                <w:color w:val="FFFFFF"/>
              </w:rPr>
              <w:t>Leadership</w:t>
            </w:r>
          </w:p>
        </w:tc>
        <w:tc>
          <w:tcPr>
            <w:tcW w:w="1120" w:type="dxa"/>
            <w:vAlign w:val="bottom"/>
            <w:shd w:val="clear" w:color="auto" w:fill="001446"/>
          </w:tcPr>
          <w:p>
            <w:pPr>
              <w:ind w:left="240"/>
              <w:spacing w:after="0"/>
              <w:rPr>
                <w:sz w:val="20"/>
                <w:szCs w:val="20"/>
                <w:color w:val="auto"/>
              </w:rPr>
            </w:pPr>
            <w:r>
              <w:rPr>
                <w:rFonts w:ascii="Arial" w:cs="Arial" w:eastAsia="Arial" w:hAnsi="Arial"/>
                <w:sz w:val="13"/>
                <w:szCs w:val="13"/>
                <w:color w:val="FFFFFF"/>
              </w:rPr>
              <w:t>Knowledge</w:t>
            </w:r>
          </w:p>
        </w:tc>
        <w:tc>
          <w:tcPr>
            <w:tcW w:w="1080" w:type="dxa"/>
            <w:vAlign w:val="bottom"/>
            <w:shd w:val="clear" w:color="auto" w:fill="001446"/>
          </w:tcPr>
          <w:p>
            <w:pPr>
              <w:ind w:left="220"/>
              <w:spacing w:after="0"/>
              <w:rPr>
                <w:sz w:val="20"/>
                <w:szCs w:val="20"/>
                <w:color w:val="auto"/>
              </w:rPr>
            </w:pPr>
            <w:r>
              <w:rPr>
                <w:rFonts w:ascii="Arial" w:cs="Arial" w:eastAsia="Arial" w:hAnsi="Arial"/>
                <w:sz w:val="13"/>
                <w:szCs w:val="13"/>
                <w:color w:val="FFFFFF"/>
              </w:rPr>
              <w:t>Financial</w:t>
            </w:r>
          </w:p>
        </w:tc>
        <w:tc>
          <w:tcPr>
            <w:tcW w:w="1160" w:type="dxa"/>
            <w:vAlign w:val="bottom"/>
            <w:shd w:val="clear" w:color="auto" w:fill="001446"/>
          </w:tcPr>
          <w:p>
            <w:pPr>
              <w:ind w:left="260"/>
              <w:spacing w:after="0"/>
              <w:rPr>
                <w:sz w:val="20"/>
                <w:szCs w:val="20"/>
                <w:color w:val="auto"/>
              </w:rPr>
            </w:pPr>
            <w:r>
              <w:rPr>
                <w:rFonts w:ascii="Arial" w:cs="Arial" w:eastAsia="Arial" w:hAnsi="Arial"/>
                <w:sz w:val="13"/>
                <w:szCs w:val="13"/>
                <w:color w:val="FFFFFF"/>
              </w:rPr>
              <w:t>Broad</w:t>
            </w:r>
          </w:p>
        </w:tc>
        <w:tc>
          <w:tcPr>
            <w:tcW w:w="1080" w:type="dxa"/>
            <w:vAlign w:val="bottom"/>
            <w:shd w:val="clear" w:color="auto" w:fill="001446"/>
          </w:tcPr>
          <w:p>
            <w:pPr>
              <w:ind w:left="200"/>
              <w:spacing w:after="0"/>
              <w:rPr>
                <w:sz w:val="20"/>
                <w:szCs w:val="20"/>
                <w:color w:val="auto"/>
              </w:rPr>
            </w:pPr>
            <w:r>
              <w:rPr>
                <w:rFonts w:ascii="Arial" w:cs="Arial" w:eastAsia="Arial" w:hAnsi="Arial"/>
                <w:sz w:val="13"/>
                <w:szCs w:val="13"/>
                <w:color w:val="FFFFFF"/>
              </w:rPr>
              <w:t>Innovation</w:t>
            </w:r>
          </w:p>
        </w:tc>
        <w:tc>
          <w:tcPr>
            <w:tcW w:w="1200" w:type="dxa"/>
            <w:vAlign w:val="bottom"/>
            <w:shd w:val="clear" w:color="auto" w:fill="001446"/>
          </w:tcPr>
          <w:p>
            <w:pPr>
              <w:ind w:left="240"/>
              <w:spacing w:after="0"/>
              <w:rPr>
                <w:sz w:val="20"/>
                <w:szCs w:val="20"/>
                <w:color w:val="auto"/>
              </w:rPr>
            </w:pPr>
            <w:r>
              <w:rPr>
                <w:rFonts w:ascii="Arial" w:cs="Arial" w:eastAsia="Arial" w:hAnsi="Arial"/>
                <w:sz w:val="13"/>
                <w:szCs w:val="13"/>
                <w:color w:val="FFFFFF"/>
              </w:rPr>
              <w:t>Independence</w:t>
            </w:r>
          </w:p>
        </w:tc>
        <w:tc>
          <w:tcPr>
            <w:tcW w:w="1180" w:type="dxa"/>
            <w:vAlign w:val="bottom"/>
            <w:shd w:val="clear" w:color="auto" w:fill="001446"/>
          </w:tcPr>
          <w:p>
            <w:pPr>
              <w:ind w:left="160"/>
              <w:spacing w:after="0"/>
              <w:rPr>
                <w:sz w:val="20"/>
                <w:szCs w:val="20"/>
                <w:color w:val="auto"/>
              </w:rPr>
            </w:pPr>
            <w:r>
              <w:rPr>
                <w:rFonts w:ascii="Arial" w:cs="Arial" w:eastAsia="Arial" w:hAnsi="Arial"/>
                <w:sz w:val="13"/>
                <w:szCs w:val="13"/>
                <w:color w:val="FFFFFF"/>
              </w:rPr>
              <w:t>Tenure</w:t>
            </w:r>
          </w:p>
        </w:tc>
        <w:tc>
          <w:tcPr>
            <w:tcW w:w="0" w:type="dxa"/>
            <w:vAlign w:val="bottom"/>
          </w:tcPr>
          <w:p>
            <w:pPr>
              <w:spacing w:after="0"/>
              <w:rPr>
                <w:sz w:val="1"/>
                <w:szCs w:val="1"/>
                <w:color w:val="auto"/>
              </w:rPr>
            </w:pPr>
          </w:p>
        </w:tc>
      </w:tr>
      <w:tr>
        <w:trPr>
          <w:trHeight w:val="144"/>
        </w:trPr>
        <w:tc>
          <w:tcPr>
            <w:tcW w:w="1220" w:type="dxa"/>
            <w:vAlign w:val="bottom"/>
            <w:shd w:val="clear" w:color="auto" w:fill="001446"/>
          </w:tcPr>
          <w:p>
            <w:pPr>
              <w:spacing w:after="0"/>
              <w:rPr>
                <w:sz w:val="12"/>
                <w:szCs w:val="12"/>
                <w:color w:val="auto"/>
              </w:rPr>
            </w:pPr>
          </w:p>
        </w:tc>
        <w:tc>
          <w:tcPr>
            <w:tcW w:w="1220" w:type="dxa"/>
            <w:vAlign w:val="bottom"/>
            <w:shd w:val="clear" w:color="auto" w:fill="001446"/>
          </w:tcPr>
          <w:p>
            <w:pPr>
              <w:ind w:left="340"/>
              <w:spacing w:after="0" w:line="144" w:lineRule="exact"/>
              <w:rPr>
                <w:sz w:val="20"/>
                <w:szCs w:val="20"/>
                <w:color w:val="auto"/>
              </w:rPr>
            </w:pPr>
            <w:r>
              <w:rPr>
                <w:rFonts w:ascii="Arial" w:cs="Arial" w:eastAsia="Arial" w:hAnsi="Arial"/>
                <w:sz w:val="13"/>
                <w:szCs w:val="13"/>
                <w:color w:val="FFFFFF"/>
              </w:rPr>
              <w:t>and</w:t>
            </w:r>
          </w:p>
        </w:tc>
        <w:tc>
          <w:tcPr>
            <w:tcW w:w="1120" w:type="dxa"/>
            <w:vAlign w:val="bottom"/>
            <w:shd w:val="clear" w:color="auto" w:fill="001446"/>
          </w:tcPr>
          <w:p>
            <w:pPr>
              <w:ind w:left="240"/>
              <w:spacing w:after="0" w:line="144" w:lineRule="exact"/>
              <w:rPr>
                <w:sz w:val="20"/>
                <w:szCs w:val="20"/>
                <w:color w:val="auto"/>
              </w:rPr>
            </w:pPr>
            <w:r>
              <w:rPr>
                <w:rFonts w:ascii="Arial" w:cs="Arial" w:eastAsia="Arial" w:hAnsi="Arial"/>
                <w:sz w:val="13"/>
                <w:szCs w:val="13"/>
                <w:color w:val="FFFFFF"/>
              </w:rPr>
              <w:t>of the</w:t>
            </w:r>
          </w:p>
        </w:tc>
        <w:tc>
          <w:tcPr>
            <w:tcW w:w="1080" w:type="dxa"/>
            <w:vAlign w:val="bottom"/>
            <w:shd w:val="clear" w:color="auto" w:fill="001446"/>
          </w:tcPr>
          <w:p>
            <w:pPr>
              <w:ind w:left="220"/>
              <w:spacing w:after="0" w:line="144" w:lineRule="exact"/>
              <w:rPr>
                <w:sz w:val="20"/>
                <w:szCs w:val="20"/>
                <w:color w:val="auto"/>
              </w:rPr>
            </w:pPr>
            <w:r>
              <w:rPr>
                <w:rFonts w:ascii="Arial" w:cs="Arial" w:eastAsia="Arial" w:hAnsi="Arial"/>
                <w:sz w:val="13"/>
                <w:szCs w:val="13"/>
                <w:color w:val="FFFFFF"/>
              </w:rPr>
              <w:t>Expertise</w:t>
            </w:r>
          </w:p>
        </w:tc>
        <w:tc>
          <w:tcPr>
            <w:tcW w:w="1160" w:type="dxa"/>
            <w:vAlign w:val="bottom"/>
            <w:shd w:val="clear" w:color="auto" w:fill="001446"/>
          </w:tcPr>
          <w:p>
            <w:pPr>
              <w:ind w:left="260"/>
              <w:spacing w:after="0" w:line="144" w:lineRule="exact"/>
              <w:rPr>
                <w:sz w:val="20"/>
                <w:szCs w:val="20"/>
                <w:color w:val="auto"/>
              </w:rPr>
            </w:pPr>
            <w:r>
              <w:rPr>
                <w:rFonts w:ascii="Arial" w:cs="Arial" w:eastAsia="Arial" w:hAnsi="Arial"/>
                <w:sz w:val="13"/>
                <w:szCs w:val="13"/>
                <w:color w:val="FFFFFF"/>
              </w:rPr>
              <w:t>International</w:t>
            </w:r>
          </w:p>
        </w:tc>
        <w:tc>
          <w:tcPr>
            <w:tcW w:w="1080" w:type="dxa"/>
            <w:vAlign w:val="bottom"/>
            <w:shd w:val="clear" w:color="auto" w:fill="001446"/>
          </w:tcPr>
          <w:p>
            <w:pPr>
              <w:ind w:left="200"/>
              <w:spacing w:after="0" w:line="144" w:lineRule="exact"/>
              <w:rPr>
                <w:sz w:val="20"/>
                <w:szCs w:val="20"/>
                <w:color w:val="auto"/>
              </w:rPr>
            </w:pPr>
            <w:r>
              <w:rPr>
                <w:rFonts w:ascii="Arial" w:cs="Arial" w:eastAsia="Arial" w:hAnsi="Arial"/>
                <w:sz w:val="13"/>
                <w:szCs w:val="13"/>
                <w:color w:val="FFFFFF"/>
              </w:rPr>
              <w:t>and</w:t>
            </w:r>
          </w:p>
        </w:tc>
        <w:tc>
          <w:tcPr>
            <w:tcW w:w="1200" w:type="dxa"/>
            <w:vAlign w:val="bottom"/>
            <w:shd w:val="clear" w:color="auto" w:fill="001446"/>
          </w:tcPr>
          <w:p>
            <w:pPr>
              <w:spacing w:after="0"/>
              <w:rPr>
                <w:sz w:val="12"/>
                <w:szCs w:val="12"/>
                <w:color w:val="auto"/>
              </w:rPr>
            </w:pPr>
          </w:p>
        </w:tc>
        <w:tc>
          <w:tcPr>
            <w:tcW w:w="1180" w:type="dxa"/>
            <w:vAlign w:val="bottom"/>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001446"/>
          </w:tcPr>
          <w:p>
            <w:pPr>
              <w:spacing w:after="0"/>
              <w:rPr>
                <w:sz w:val="12"/>
                <w:szCs w:val="12"/>
                <w:color w:val="auto"/>
              </w:rPr>
            </w:pPr>
          </w:p>
        </w:tc>
        <w:tc>
          <w:tcPr>
            <w:tcW w:w="1220" w:type="dxa"/>
            <w:vAlign w:val="bottom"/>
            <w:shd w:val="clear" w:color="auto" w:fill="001446"/>
          </w:tcPr>
          <w:p>
            <w:pPr>
              <w:ind w:left="340"/>
              <w:spacing w:after="0" w:line="144" w:lineRule="exact"/>
              <w:rPr>
                <w:sz w:val="20"/>
                <w:szCs w:val="20"/>
                <w:color w:val="auto"/>
              </w:rPr>
            </w:pPr>
            <w:r>
              <w:rPr>
                <w:rFonts w:ascii="Arial" w:cs="Arial" w:eastAsia="Arial" w:hAnsi="Arial"/>
                <w:sz w:val="13"/>
                <w:szCs w:val="13"/>
                <w:color w:val="FFFFFF"/>
              </w:rPr>
              <w:t>Executive</w:t>
            </w:r>
          </w:p>
        </w:tc>
        <w:tc>
          <w:tcPr>
            <w:tcW w:w="1120" w:type="dxa"/>
            <w:vAlign w:val="bottom"/>
            <w:shd w:val="clear" w:color="auto" w:fill="001446"/>
          </w:tcPr>
          <w:p>
            <w:pPr>
              <w:ind w:left="240"/>
              <w:spacing w:after="0" w:line="144" w:lineRule="exact"/>
              <w:rPr>
                <w:sz w:val="20"/>
                <w:szCs w:val="20"/>
                <w:color w:val="auto"/>
              </w:rPr>
            </w:pPr>
            <w:r>
              <w:rPr>
                <w:rFonts w:ascii="Arial" w:cs="Arial" w:eastAsia="Arial" w:hAnsi="Arial"/>
                <w:sz w:val="13"/>
                <w:szCs w:val="13"/>
                <w:color w:val="FFFFFF"/>
              </w:rPr>
              <w:t>Company’s</w:t>
            </w:r>
          </w:p>
        </w:tc>
        <w:tc>
          <w:tcPr>
            <w:tcW w:w="1080" w:type="dxa"/>
            <w:vAlign w:val="bottom"/>
            <w:shd w:val="clear" w:color="auto" w:fill="001446"/>
          </w:tcPr>
          <w:p>
            <w:pPr>
              <w:spacing w:after="0"/>
              <w:rPr>
                <w:sz w:val="12"/>
                <w:szCs w:val="12"/>
                <w:color w:val="auto"/>
              </w:rPr>
            </w:pPr>
          </w:p>
        </w:tc>
        <w:tc>
          <w:tcPr>
            <w:tcW w:w="1160" w:type="dxa"/>
            <w:vAlign w:val="bottom"/>
            <w:shd w:val="clear" w:color="auto" w:fill="001446"/>
          </w:tcPr>
          <w:p>
            <w:pPr>
              <w:ind w:left="260"/>
              <w:spacing w:after="0" w:line="144" w:lineRule="exact"/>
              <w:rPr>
                <w:sz w:val="20"/>
                <w:szCs w:val="20"/>
                <w:color w:val="auto"/>
              </w:rPr>
            </w:pPr>
            <w:r>
              <w:rPr>
                <w:rFonts w:ascii="Arial" w:cs="Arial" w:eastAsia="Arial" w:hAnsi="Arial"/>
                <w:sz w:val="13"/>
                <w:szCs w:val="13"/>
                <w:color w:val="FFFFFF"/>
              </w:rPr>
              <w:t>Exposure</w:t>
            </w:r>
          </w:p>
        </w:tc>
        <w:tc>
          <w:tcPr>
            <w:tcW w:w="1080" w:type="dxa"/>
            <w:vAlign w:val="bottom"/>
            <w:shd w:val="clear" w:color="auto" w:fill="001446"/>
          </w:tcPr>
          <w:p>
            <w:pPr>
              <w:ind w:left="200"/>
              <w:spacing w:after="0" w:line="144" w:lineRule="exact"/>
              <w:rPr>
                <w:sz w:val="20"/>
                <w:szCs w:val="20"/>
                <w:color w:val="auto"/>
              </w:rPr>
            </w:pPr>
            <w:r>
              <w:rPr>
                <w:rFonts w:ascii="Arial" w:cs="Arial" w:eastAsia="Arial" w:hAnsi="Arial"/>
                <w:sz w:val="13"/>
                <w:szCs w:val="13"/>
                <w:color w:val="FFFFFF"/>
              </w:rPr>
              <w:t>Technology</w:t>
            </w:r>
          </w:p>
        </w:tc>
        <w:tc>
          <w:tcPr>
            <w:tcW w:w="1200" w:type="dxa"/>
            <w:vAlign w:val="bottom"/>
            <w:shd w:val="clear" w:color="auto" w:fill="001446"/>
          </w:tcPr>
          <w:p>
            <w:pPr>
              <w:spacing w:after="0"/>
              <w:rPr>
                <w:sz w:val="12"/>
                <w:szCs w:val="12"/>
                <w:color w:val="auto"/>
              </w:rPr>
            </w:pPr>
          </w:p>
        </w:tc>
        <w:tc>
          <w:tcPr>
            <w:tcW w:w="1180" w:type="dxa"/>
            <w:vAlign w:val="bottom"/>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shd w:val="clear" w:color="auto" w:fill="001446"/>
          </w:tcPr>
          <w:p>
            <w:pPr>
              <w:spacing w:after="0"/>
              <w:rPr>
                <w:sz w:val="13"/>
                <w:szCs w:val="13"/>
                <w:color w:val="auto"/>
              </w:rPr>
            </w:pPr>
          </w:p>
        </w:tc>
        <w:tc>
          <w:tcPr>
            <w:tcW w:w="1220" w:type="dxa"/>
            <w:vAlign w:val="bottom"/>
            <w:shd w:val="clear" w:color="auto" w:fill="001446"/>
          </w:tcPr>
          <w:p>
            <w:pPr>
              <w:ind w:left="340"/>
              <w:spacing w:after="0"/>
              <w:rPr>
                <w:sz w:val="20"/>
                <w:szCs w:val="20"/>
                <w:color w:val="auto"/>
              </w:rPr>
            </w:pPr>
            <w:r>
              <w:rPr>
                <w:rFonts w:ascii="Arial" w:cs="Arial" w:eastAsia="Arial" w:hAnsi="Arial"/>
                <w:sz w:val="13"/>
                <w:szCs w:val="13"/>
                <w:color w:val="FFFFFF"/>
              </w:rPr>
              <w:t>Experience</w:t>
            </w:r>
          </w:p>
        </w:tc>
        <w:tc>
          <w:tcPr>
            <w:tcW w:w="1120" w:type="dxa"/>
            <w:vAlign w:val="bottom"/>
            <w:shd w:val="clear" w:color="auto" w:fill="001446"/>
          </w:tcPr>
          <w:p>
            <w:pPr>
              <w:ind w:left="240"/>
              <w:spacing w:after="0"/>
              <w:rPr>
                <w:sz w:val="20"/>
                <w:szCs w:val="20"/>
                <w:color w:val="auto"/>
              </w:rPr>
            </w:pPr>
            <w:r>
              <w:rPr>
                <w:rFonts w:ascii="Arial" w:cs="Arial" w:eastAsia="Arial" w:hAnsi="Arial"/>
                <w:sz w:val="13"/>
                <w:szCs w:val="13"/>
                <w:color w:val="FFFFFF"/>
              </w:rPr>
              <w:t>Business</w:t>
            </w:r>
          </w:p>
        </w:tc>
        <w:tc>
          <w:tcPr>
            <w:tcW w:w="1080" w:type="dxa"/>
            <w:vAlign w:val="bottom"/>
            <w:shd w:val="clear" w:color="auto" w:fill="001446"/>
          </w:tcPr>
          <w:p>
            <w:pPr>
              <w:spacing w:after="0"/>
              <w:rPr>
                <w:sz w:val="13"/>
                <w:szCs w:val="13"/>
                <w:color w:val="auto"/>
              </w:rPr>
            </w:pPr>
          </w:p>
        </w:tc>
        <w:tc>
          <w:tcPr>
            <w:tcW w:w="1160" w:type="dxa"/>
            <w:vAlign w:val="bottom"/>
            <w:shd w:val="clear" w:color="auto" w:fill="001446"/>
          </w:tcPr>
          <w:p>
            <w:pPr>
              <w:spacing w:after="0"/>
              <w:rPr>
                <w:sz w:val="13"/>
                <w:szCs w:val="13"/>
                <w:color w:val="auto"/>
              </w:rPr>
            </w:pPr>
          </w:p>
        </w:tc>
        <w:tc>
          <w:tcPr>
            <w:tcW w:w="1080" w:type="dxa"/>
            <w:vAlign w:val="bottom"/>
            <w:shd w:val="clear" w:color="auto" w:fill="001446"/>
          </w:tcPr>
          <w:p>
            <w:pPr>
              <w:spacing w:after="0"/>
              <w:rPr>
                <w:sz w:val="13"/>
                <w:szCs w:val="13"/>
                <w:color w:val="auto"/>
              </w:rPr>
            </w:pPr>
          </w:p>
        </w:tc>
        <w:tc>
          <w:tcPr>
            <w:tcW w:w="1200" w:type="dxa"/>
            <w:vAlign w:val="bottom"/>
            <w:shd w:val="clear" w:color="auto" w:fill="001446"/>
          </w:tcPr>
          <w:p>
            <w:pPr>
              <w:spacing w:after="0"/>
              <w:rPr>
                <w:sz w:val="13"/>
                <w:szCs w:val="13"/>
                <w:color w:val="auto"/>
              </w:rPr>
            </w:pPr>
          </w:p>
        </w:tc>
        <w:tc>
          <w:tcPr>
            <w:tcW w:w="1180" w:type="dxa"/>
            <w:vAlign w:val="bottom"/>
            <w:shd w:val="clear" w:color="auto" w:fill="001446"/>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E3E3E3"/>
          </w:tcPr>
          <w:p>
            <w:pPr>
              <w:ind w:left="80"/>
              <w:spacing w:after="0" w:line="144" w:lineRule="exact"/>
              <w:rPr>
                <w:sz w:val="20"/>
                <w:szCs w:val="20"/>
                <w:color w:val="auto"/>
              </w:rPr>
            </w:pPr>
            <w:r>
              <w:rPr>
                <w:rFonts w:ascii="Arial" w:cs="Arial" w:eastAsia="Arial" w:hAnsi="Arial"/>
                <w:sz w:val="13"/>
                <w:szCs w:val="13"/>
                <w:color w:val="001446"/>
              </w:rPr>
              <w:t>Avery More</w:t>
            </w:r>
          </w:p>
        </w:tc>
        <w:tc>
          <w:tcPr>
            <w:tcW w:w="1220" w:type="dxa"/>
            <w:vAlign w:val="bottom"/>
            <w:shd w:val="clear" w:color="auto" w:fill="E3E3E3"/>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spacing w:after="0"/>
              <w:rPr>
                <w:sz w:val="12"/>
                <w:szCs w:val="12"/>
                <w:color w:val="auto"/>
              </w:rPr>
            </w:pPr>
          </w:p>
        </w:tc>
        <w:tc>
          <w:tcPr>
            <w:tcW w:w="116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jc w:val="center"/>
              <w:ind w:left="156"/>
              <w:spacing w:after="0" w:line="144"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ind w:left="160"/>
              <w:spacing w:after="0" w:line="144" w:lineRule="exact"/>
              <w:rPr>
                <w:sz w:val="20"/>
                <w:szCs w:val="20"/>
                <w:color w:val="auto"/>
              </w:rPr>
            </w:pPr>
            <w:r>
              <w:rPr>
                <w:rFonts w:ascii="Arial" w:cs="Arial" w:eastAsia="Arial" w:hAnsi="Arial"/>
                <w:sz w:val="13"/>
                <w:szCs w:val="13"/>
                <w:color w:val="001446"/>
              </w:rPr>
              <w:t>20 years*</w:t>
            </w:r>
          </w:p>
        </w:tc>
        <w:tc>
          <w:tcPr>
            <w:tcW w:w="0" w:type="dxa"/>
            <w:vAlign w:val="bottom"/>
          </w:tcPr>
          <w:p>
            <w:pPr>
              <w:spacing w:after="0"/>
              <w:rPr>
                <w:sz w:val="1"/>
                <w:szCs w:val="1"/>
                <w:color w:val="auto"/>
              </w:rPr>
            </w:pPr>
          </w:p>
        </w:tc>
      </w:tr>
      <w:tr>
        <w:trPr>
          <w:trHeight w:val="144"/>
        </w:trPr>
        <w:tc>
          <w:tcPr>
            <w:tcW w:w="1220" w:type="dxa"/>
            <w:vAlign w:val="bottom"/>
          </w:tcPr>
          <w:p>
            <w:pPr>
              <w:ind w:left="80"/>
              <w:spacing w:after="0" w:line="144" w:lineRule="exact"/>
              <w:rPr>
                <w:sz w:val="20"/>
                <w:szCs w:val="20"/>
                <w:color w:val="auto"/>
              </w:rPr>
            </w:pPr>
            <w:r>
              <w:rPr>
                <w:rFonts w:ascii="Arial" w:cs="Arial" w:eastAsia="Arial" w:hAnsi="Arial"/>
                <w:sz w:val="13"/>
                <w:szCs w:val="13"/>
                <w:color w:val="001446"/>
              </w:rPr>
              <w:t>Gilad Almogy</w:t>
            </w:r>
          </w:p>
        </w:tc>
        <w:tc>
          <w:tcPr>
            <w:tcW w:w="1220" w:type="dxa"/>
            <w:vAlign w:val="bottom"/>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tcPr>
          <w:p>
            <w:pPr>
              <w:spacing w:after="0"/>
              <w:rPr>
                <w:sz w:val="12"/>
                <w:szCs w:val="12"/>
                <w:color w:val="auto"/>
              </w:rPr>
            </w:pPr>
          </w:p>
        </w:tc>
        <w:tc>
          <w:tcPr>
            <w:tcW w:w="116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200" w:type="dxa"/>
            <w:vAlign w:val="bottom"/>
          </w:tcPr>
          <w:p>
            <w:pPr>
              <w:jc w:val="center"/>
              <w:ind w:left="156"/>
              <w:spacing w:after="0" w:line="144" w:lineRule="exact"/>
              <w:rPr>
                <w:sz w:val="20"/>
                <w:szCs w:val="20"/>
                <w:color w:val="auto"/>
              </w:rPr>
            </w:pPr>
            <w:r>
              <w:rPr>
                <w:rFonts w:ascii="Arial" w:cs="Arial" w:eastAsia="Arial" w:hAnsi="Arial"/>
                <w:sz w:val="13"/>
                <w:szCs w:val="13"/>
                <w:color w:val="001446"/>
                <w:w w:val="75"/>
              </w:rPr>
              <w:t>●</w:t>
            </w:r>
          </w:p>
        </w:tc>
        <w:tc>
          <w:tcPr>
            <w:tcW w:w="1180" w:type="dxa"/>
            <w:vAlign w:val="bottom"/>
          </w:tcPr>
          <w:p>
            <w:pPr>
              <w:ind w:left="160"/>
              <w:spacing w:after="0" w:line="144"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4"/>
        </w:trPr>
        <w:tc>
          <w:tcPr>
            <w:tcW w:w="1220" w:type="dxa"/>
            <w:vAlign w:val="bottom"/>
            <w:shd w:val="clear" w:color="auto" w:fill="E3E3E3"/>
          </w:tcPr>
          <w:p>
            <w:pPr>
              <w:ind w:left="80"/>
              <w:spacing w:after="0" w:line="144" w:lineRule="exact"/>
              <w:rPr>
                <w:sz w:val="20"/>
                <w:szCs w:val="20"/>
                <w:color w:val="auto"/>
              </w:rPr>
            </w:pPr>
            <w:r>
              <w:rPr>
                <w:rFonts w:ascii="Arial" w:cs="Arial" w:eastAsia="Arial" w:hAnsi="Arial"/>
                <w:sz w:val="13"/>
                <w:szCs w:val="13"/>
                <w:color w:val="001446"/>
              </w:rPr>
              <w:t>Betsy Atkins</w:t>
            </w:r>
          </w:p>
        </w:tc>
        <w:tc>
          <w:tcPr>
            <w:tcW w:w="1220" w:type="dxa"/>
            <w:vAlign w:val="bottom"/>
            <w:shd w:val="clear" w:color="auto" w:fill="E3E3E3"/>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spacing w:after="0"/>
              <w:rPr>
                <w:sz w:val="12"/>
                <w:szCs w:val="12"/>
                <w:color w:val="auto"/>
              </w:rPr>
            </w:pPr>
          </w:p>
        </w:tc>
        <w:tc>
          <w:tcPr>
            <w:tcW w:w="116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jc w:val="center"/>
              <w:ind w:left="156"/>
              <w:spacing w:after="0" w:line="144"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ind w:left="160"/>
              <w:spacing w:after="0" w:line="144" w:lineRule="exact"/>
              <w:rPr>
                <w:sz w:val="20"/>
                <w:szCs w:val="20"/>
                <w:color w:val="auto"/>
              </w:rPr>
            </w:pPr>
            <w:r>
              <w:rPr>
                <w:rFonts w:ascii="Arial" w:cs="Arial" w:eastAsia="Arial" w:hAnsi="Arial"/>
                <w:sz w:val="13"/>
                <w:szCs w:val="13"/>
                <w:color w:val="001446"/>
              </w:rPr>
              <w:t>5 years</w:t>
            </w:r>
          </w:p>
        </w:tc>
        <w:tc>
          <w:tcPr>
            <w:tcW w:w="0" w:type="dxa"/>
            <w:vAlign w:val="bottom"/>
          </w:tcPr>
          <w:p>
            <w:pPr>
              <w:spacing w:after="0"/>
              <w:rPr>
                <w:sz w:val="1"/>
                <w:szCs w:val="1"/>
                <w:color w:val="auto"/>
              </w:rPr>
            </w:pPr>
          </w:p>
        </w:tc>
      </w:tr>
      <w:tr>
        <w:trPr>
          <w:trHeight w:val="144"/>
        </w:trPr>
        <w:tc>
          <w:tcPr>
            <w:tcW w:w="1220" w:type="dxa"/>
            <w:vAlign w:val="bottom"/>
          </w:tcPr>
          <w:p>
            <w:pPr>
              <w:ind w:left="80"/>
              <w:spacing w:after="0" w:line="144" w:lineRule="exact"/>
              <w:rPr>
                <w:sz w:val="20"/>
                <w:szCs w:val="20"/>
                <w:color w:val="auto"/>
              </w:rPr>
            </w:pPr>
            <w:r>
              <w:rPr>
                <w:rFonts w:ascii="Arial" w:cs="Arial" w:eastAsia="Arial" w:hAnsi="Arial"/>
                <w:sz w:val="13"/>
                <w:szCs w:val="13"/>
                <w:color w:val="001446"/>
              </w:rPr>
              <w:t>Guy Gecht</w:t>
            </w:r>
          </w:p>
        </w:tc>
        <w:tc>
          <w:tcPr>
            <w:tcW w:w="1220" w:type="dxa"/>
            <w:vAlign w:val="bottom"/>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tcPr>
          <w:p>
            <w:pPr>
              <w:jc w:val="center"/>
              <w:ind w:left="256"/>
              <w:spacing w:after="0" w:line="144" w:lineRule="exact"/>
              <w:rPr>
                <w:sz w:val="20"/>
                <w:szCs w:val="20"/>
                <w:color w:val="auto"/>
              </w:rPr>
            </w:pPr>
            <w:r>
              <w:rPr>
                <w:rFonts w:ascii="Arial" w:cs="Arial" w:eastAsia="Arial" w:hAnsi="Arial"/>
                <w:sz w:val="13"/>
                <w:szCs w:val="13"/>
                <w:color w:val="001446"/>
              </w:rPr>
              <w:t>●</w:t>
            </w:r>
          </w:p>
        </w:tc>
        <w:tc>
          <w:tcPr>
            <w:tcW w:w="116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200" w:type="dxa"/>
            <w:vAlign w:val="bottom"/>
          </w:tcPr>
          <w:p>
            <w:pPr>
              <w:jc w:val="center"/>
              <w:ind w:left="156"/>
              <w:spacing w:after="0" w:line="144" w:lineRule="exact"/>
              <w:rPr>
                <w:sz w:val="20"/>
                <w:szCs w:val="20"/>
                <w:color w:val="auto"/>
              </w:rPr>
            </w:pPr>
            <w:r>
              <w:rPr>
                <w:rFonts w:ascii="Arial" w:cs="Arial" w:eastAsia="Arial" w:hAnsi="Arial"/>
                <w:sz w:val="13"/>
                <w:szCs w:val="13"/>
                <w:color w:val="001446"/>
                <w:w w:val="75"/>
              </w:rPr>
              <w:t>●</w:t>
            </w:r>
          </w:p>
        </w:tc>
        <w:tc>
          <w:tcPr>
            <w:tcW w:w="1180" w:type="dxa"/>
            <w:vAlign w:val="bottom"/>
          </w:tcPr>
          <w:p>
            <w:pPr>
              <w:ind w:left="160"/>
              <w:spacing w:after="0" w:line="144"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4"/>
        </w:trPr>
        <w:tc>
          <w:tcPr>
            <w:tcW w:w="1220" w:type="dxa"/>
            <w:vAlign w:val="bottom"/>
            <w:shd w:val="clear" w:color="auto" w:fill="E3E3E3"/>
          </w:tcPr>
          <w:p>
            <w:pPr>
              <w:ind w:left="80"/>
              <w:spacing w:after="0" w:line="144" w:lineRule="exact"/>
              <w:rPr>
                <w:sz w:val="20"/>
                <w:szCs w:val="20"/>
                <w:color w:val="auto"/>
              </w:rPr>
            </w:pPr>
            <w:r>
              <w:rPr>
                <w:rFonts w:ascii="Arial" w:cs="Arial" w:eastAsia="Arial" w:hAnsi="Arial"/>
                <w:sz w:val="13"/>
                <w:szCs w:val="13"/>
                <w:color w:val="001446"/>
              </w:rPr>
              <w:t>Dana Gross</w:t>
            </w:r>
          </w:p>
        </w:tc>
        <w:tc>
          <w:tcPr>
            <w:tcW w:w="1220" w:type="dxa"/>
            <w:vAlign w:val="bottom"/>
            <w:shd w:val="clear" w:color="auto" w:fill="E3E3E3"/>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jc w:val="center"/>
              <w:ind w:left="256"/>
              <w:spacing w:after="0" w:line="144" w:lineRule="exact"/>
              <w:rPr>
                <w:sz w:val="20"/>
                <w:szCs w:val="20"/>
                <w:color w:val="auto"/>
              </w:rPr>
            </w:pPr>
            <w:r>
              <w:rPr>
                <w:rFonts w:ascii="Arial" w:cs="Arial" w:eastAsia="Arial" w:hAnsi="Arial"/>
                <w:sz w:val="13"/>
                <w:szCs w:val="13"/>
                <w:color w:val="001446"/>
              </w:rPr>
              <w:t>●</w:t>
            </w:r>
          </w:p>
        </w:tc>
        <w:tc>
          <w:tcPr>
            <w:tcW w:w="116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spacing w:after="0"/>
              <w:rPr>
                <w:sz w:val="12"/>
                <w:szCs w:val="12"/>
                <w:color w:val="auto"/>
              </w:rPr>
            </w:pPr>
          </w:p>
        </w:tc>
        <w:tc>
          <w:tcPr>
            <w:tcW w:w="1200" w:type="dxa"/>
            <w:vAlign w:val="bottom"/>
            <w:shd w:val="clear" w:color="auto" w:fill="E3E3E3"/>
          </w:tcPr>
          <w:p>
            <w:pPr>
              <w:jc w:val="center"/>
              <w:ind w:left="156"/>
              <w:spacing w:after="0" w:line="144"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ind w:left="160"/>
              <w:spacing w:after="0" w:line="144" w:lineRule="exact"/>
              <w:rPr>
                <w:sz w:val="20"/>
                <w:szCs w:val="20"/>
                <w:color w:val="auto"/>
              </w:rPr>
            </w:pPr>
            <w:r>
              <w:rPr>
                <w:rFonts w:ascii="Arial" w:cs="Arial" w:eastAsia="Arial" w:hAnsi="Arial"/>
                <w:sz w:val="13"/>
                <w:szCs w:val="13"/>
                <w:color w:val="001446"/>
              </w:rPr>
              <w:t>3 years</w:t>
            </w:r>
          </w:p>
        </w:tc>
        <w:tc>
          <w:tcPr>
            <w:tcW w:w="0" w:type="dxa"/>
            <w:vAlign w:val="bottom"/>
          </w:tcPr>
          <w:p>
            <w:pPr>
              <w:spacing w:after="0"/>
              <w:rPr>
                <w:sz w:val="1"/>
                <w:szCs w:val="1"/>
                <w:color w:val="auto"/>
              </w:rPr>
            </w:pPr>
          </w:p>
        </w:tc>
      </w:tr>
      <w:tr>
        <w:trPr>
          <w:trHeight w:val="144"/>
        </w:trPr>
        <w:tc>
          <w:tcPr>
            <w:tcW w:w="1220" w:type="dxa"/>
            <w:vAlign w:val="bottom"/>
          </w:tcPr>
          <w:p>
            <w:pPr>
              <w:ind w:left="80"/>
              <w:spacing w:after="0" w:line="144" w:lineRule="exact"/>
              <w:rPr>
                <w:sz w:val="20"/>
                <w:szCs w:val="20"/>
                <w:color w:val="auto"/>
              </w:rPr>
            </w:pPr>
            <w:r>
              <w:rPr>
                <w:rFonts w:ascii="Arial" w:cs="Arial" w:eastAsia="Arial" w:hAnsi="Arial"/>
                <w:sz w:val="13"/>
                <w:szCs w:val="13"/>
                <w:color w:val="001446"/>
              </w:rPr>
              <w:t>Shuki Nir</w:t>
            </w:r>
          </w:p>
        </w:tc>
        <w:tc>
          <w:tcPr>
            <w:tcW w:w="1220" w:type="dxa"/>
            <w:vAlign w:val="bottom"/>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tcPr>
          <w:p>
            <w:pPr>
              <w:spacing w:after="0"/>
              <w:rPr>
                <w:sz w:val="12"/>
                <w:szCs w:val="12"/>
                <w:color w:val="auto"/>
              </w:rPr>
            </w:pPr>
          </w:p>
        </w:tc>
        <w:tc>
          <w:tcPr>
            <w:tcW w:w="116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200" w:type="dxa"/>
            <w:vAlign w:val="bottom"/>
          </w:tcPr>
          <w:p>
            <w:pPr>
              <w:spacing w:after="0"/>
              <w:rPr>
                <w:sz w:val="12"/>
                <w:szCs w:val="12"/>
                <w:color w:val="auto"/>
              </w:rPr>
            </w:pPr>
          </w:p>
        </w:tc>
        <w:tc>
          <w:tcPr>
            <w:tcW w:w="1180" w:type="dxa"/>
            <w:vAlign w:val="bottom"/>
          </w:tcPr>
          <w:p>
            <w:pPr>
              <w:ind w:left="160"/>
              <w:spacing w:after="0" w:line="144"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4"/>
        </w:trPr>
        <w:tc>
          <w:tcPr>
            <w:tcW w:w="1220" w:type="dxa"/>
            <w:vAlign w:val="bottom"/>
            <w:shd w:val="clear" w:color="auto" w:fill="E3E3E3"/>
          </w:tcPr>
          <w:p>
            <w:pPr>
              <w:ind w:left="80"/>
              <w:spacing w:after="0" w:line="144" w:lineRule="exact"/>
              <w:rPr>
                <w:sz w:val="20"/>
                <w:szCs w:val="20"/>
                <w:color w:val="auto"/>
              </w:rPr>
            </w:pPr>
            <w:r>
              <w:rPr>
                <w:rFonts w:ascii="Arial" w:cs="Arial" w:eastAsia="Arial" w:hAnsi="Arial"/>
                <w:sz w:val="13"/>
                <w:szCs w:val="13"/>
                <w:color w:val="001446"/>
              </w:rPr>
              <w:t>Yoram Tietz</w:t>
            </w:r>
          </w:p>
        </w:tc>
        <w:tc>
          <w:tcPr>
            <w:tcW w:w="1220" w:type="dxa"/>
            <w:vAlign w:val="bottom"/>
            <w:shd w:val="clear" w:color="auto" w:fill="E3E3E3"/>
          </w:tcPr>
          <w:p>
            <w:pPr>
              <w:ind w:left="820"/>
              <w:spacing w:after="0" w:line="144" w:lineRule="exact"/>
              <w:rPr>
                <w:sz w:val="20"/>
                <w:szCs w:val="20"/>
                <w:color w:val="auto"/>
              </w:rPr>
            </w:pPr>
            <w:r>
              <w:rPr>
                <w:rFonts w:ascii="Arial" w:cs="Arial" w:eastAsia="Arial" w:hAnsi="Arial"/>
                <w:sz w:val="13"/>
                <w:szCs w:val="13"/>
                <w:color w:val="001446"/>
              </w:rPr>
              <w:t>●</w:t>
            </w:r>
          </w:p>
        </w:tc>
        <w:tc>
          <w:tcPr>
            <w:tcW w:w="112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jc w:val="center"/>
              <w:ind w:left="256"/>
              <w:spacing w:after="0" w:line="144" w:lineRule="exact"/>
              <w:rPr>
                <w:sz w:val="20"/>
                <w:szCs w:val="20"/>
                <w:color w:val="auto"/>
              </w:rPr>
            </w:pPr>
            <w:r>
              <w:rPr>
                <w:rFonts w:ascii="Arial" w:cs="Arial" w:eastAsia="Arial" w:hAnsi="Arial"/>
                <w:sz w:val="13"/>
                <w:szCs w:val="13"/>
                <w:color w:val="001446"/>
              </w:rPr>
              <w:t>●</w:t>
            </w:r>
          </w:p>
        </w:tc>
        <w:tc>
          <w:tcPr>
            <w:tcW w:w="1160" w:type="dxa"/>
            <w:vAlign w:val="bottom"/>
            <w:shd w:val="clear" w:color="auto" w:fill="E3E3E3"/>
          </w:tcPr>
          <w:p>
            <w:pPr>
              <w:jc w:val="center"/>
              <w:ind w:left="216"/>
              <w:spacing w:after="0" w:line="144" w:lineRule="exact"/>
              <w:rPr>
                <w:sz w:val="20"/>
                <w:szCs w:val="20"/>
                <w:color w:val="auto"/>
              </w:rPr>
            </w:pPr>
            <w:r>
              <w:rPr>
                <w:rFonts w:ascii="Arial" w:cs="Arial" w:eastAsia="Arial" w:hAnsi="Arial"/>
                <w:sz w:val="13"/>
                <w:szCs w:val="13"/>
                <w:color w:val="001446"/>
              </w:rPr>
              <w:t>●</w:t>
            </w:r>
          </w:p>
        </w:tc>
        <w:tc>
          <w:tcPr>
            <w:tcW w:w="1080" w:type="dxa"/>
            <w:vAlign w:val="bottom"/>
            <w:shd w:val="clear" w:color="auto" w:fill="E3E3E3"/>
          </w:tcPr>
          <w:p>
            <w:pPr>
              <w:spacing w:after="0"/>
              <w:rPr>
                <w:sz w:val="12"/>
                <w:szCs w:val="12"/>
                <w:color w:val="auto"/>
              </w:rPr>
            </w:pPr>
          </w:p>
        </w:tc>
        <w:tc>
          <w:tcPr>
            <w:tcW w:w="1200" w:type="dxa"/>
            <w:vAlign w:val="bottom"/>
            <w:shd w:val="clear" w:color="auto" w:fill="E3E3E3"/>
          </w:tcPr>
          <w:p>
            <w:pPr>
              <w:jc w:val="center"/>
              <w:ind w:left="156"/>
              <w:spacing w:after="0" w:line="144"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ind w:left="160"/>
              <w:spacing w:after="0" w:line="144"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236"/>
        </w:trPr>
        <w:tc>
          <w:tcPr>
            <w:tcW w:w="1220" w:type="dxa"/>
            <w:vAlign w:val="bottom"/>
            <w:shd w:val="clear" w:color="auto" w:fill="787878"/>
          </w:tcPr>
          <w:p>
            <w:pPr>
              <w:ind w:left="80"/>
              <w:spacing w:after="0"/>
              <w:rPr>
                <w:sz w:val="20"/>
                <w:szCs w:val="20"/>
                <w:color w:val="auto"/>
              </w:rPr>
            </w:pPr>
            <w:r>
              <w:rPr>
                <w:rFonts w:ascii="Arial" w:cs="Arial" w:eastAsia="Arial" w:hAnsi="Arial"/>
                <w:sz w:val="13"/>
                <w:szCs w:val="13"/>
                <w:b w:val="1"/>
                <w:bCs w:val="1"/>
                <w:color w:val="FFFFFF"/>
              </w:rPr>
              <w:t>Board</w:t>
            </w:r>
          </w:p>
        </w:tc>
        <w:tc>
          <w:tcPr>
            <w:tcW w:w="1220" w:type="dxa"/>
            <w:vAlign w:val="bottom"/>
            <w:shd w:val="clear" w:color="auto" w:fill="787878"/>
          </w:tcPr>
          <w:p>
            <w:pPr>
              <w:spacing w:after="0"/>
              <w:rPr>
                <w:sz w:val="20"/>
                <w:szCs w:val="20"/>
                <w:color w:val="auto"/>
              </w:rPr>
            </w:pPr>
          </w:p>
        </w:tc>
        <w:tc>
          <w:tcPr>
            <w:tcW w:w="1120" w:type="dxa"/>
            <w:vAlign w:val="bottom"/>
            <w:shd w:val="clear" w:color="auto" w:fill="787878"/>
          </w:tcPr>
          <w:p>
            <w:pPr>
              <w:spacing w:after="0"/>
              <w:rPr>
                <w:sz w:val="20"/>
                <w:szCs w:val="20"/>
                <w:color w:val="auto"/>
              </w:rPr>
            </w:pPr>
          </w:p>
        </w:tc>
        <w:tc>
          <w:tcPr>
            <w:tcW w:w="1080" w:type="dxa"/>
            <w:vAlign w:val="bottom"/>
            <w:shd w:val="clear" w:color="auto" w:fill="787878"/>
          </w:tcPr>
          <w:p>
            <w:pPr>
              <w:spacing w:after="0"/>
              <w:rPr>
                <w:sz w:val="20"/>
                <w:szCs w:val="20"/>
                <w:color w:val="auto"/>
              </w:rPr>
            </w:pPr>
          </w:p>
        </w:tc>
        <w:tc>
          <w:tcPr>
            <w:tcW w:w="1160" w:type="dxa"/>
            <w:vAlign w:val="bottom"/>
            <w:shd w:val="clear" w:color="auto" w:fill="787878"/>
          </w:tcPr>
          <w:p>
            <w:pPr>
              <w:spacing w:after="0"/>
              <w:rPr>
                <w:sz w:val="20"/>
                <w:szCs w:val="20"/>
                <w:color w:val="auto"/>
              </w:rPr>
            </w:pPr>
          </w:p>
        </w:tc>
        <w:tc>
          <w:tcPr>
            <w:tcW w:w="1080" w:type="dxa"/>
            <w:vAlign w:val="bottom"/>
            <w:shd w:val="clear" w:color="auto" w:fill="787878"/>
          </w:tcPr>
          <w:p>
            <w:pPr>
              <w:spacing w:after="0"/>
              <w:rPr>
                <w:sz w:val="20"/>
                <w:szCs w:val="20"/>
                <w:color w:val="auto"/>
              </w:rPr>
            </w:pPr>
          </w:p>
        </w:tc>
        <w:tc>
          <w:tcPr>
            <w:tcW w:w="1200" w:type="dxa"/>
            <w:vAlign w:val="bottom"/>
            <w:shd w:val="clear" w:color="auto" w:fill="787878"/>
          </w:tcPr>
          <w:p>
            <w:pPr>
              <w:spacing w:after="0"/>
              <w:rPr>
                <w:sz w:val="20"/>
                <w:szCs w:val="20"/>
                <w:color w:val="auto"/>
              </w:rPr>
            </w:pPr>
          </w:p>
        </w:tc>
        <w:tc>
          <w:tcPr>
            <w:tcW w:w="1180" w:type="dxa"/>
            <w:vAlign w:val="bottom"/>
            <w:vMerge w:val="restart"/>
            <w:shd w:val="clear" w:color="auto" w:fill="787878"/>
          </w:tcPr>
          <w:p>
            <w:pPr>
              <w:ind w:left="160"/>
              <w:spacing w:after="0"/>
              <w:rPr>
                <w:sz w:val="20"/>
                <w:szCs w:val="20"/>
                <w:color w:val="auto"/>
              </w:rPr>
            </w:pPr>
            <w:r>
              <w:rPr>
                <w:rFonts w:ascii="Arial" w:cs="Arial" w:eastAsia="Arial" w:hAnsi="Arial"/>
                <w:sz w:val="13"/>
                <w:szCs w:val="13"/>
                <w:color w:val="FFFFFF"/>
              </w:rPr>
              <w:t>Average</w:t>
            </w:r>
          </w:p>
        </w:tc>
        <w:tc>
          <w:tcPr>
            <w:tcW w:w="0" w:type="dxa"/>
            <w:vAlign w:val="bottom"/>
          </w:tcPr>
          <w:p>
            <w:pPr>
              <w:spacing w:after="0"/>
              <w:rPr>
                <w:sz w:val="1"/>
                <w:szCs w:val="1"/>
                <w:color w:val="auto"/>
              </w:rPr>
            </w:pPr>
          </w:p>
        </w:tc>
      </w:tr>
      <w:tr>
        <w:trPr>
          <w:trHeight w:val="74"/>
        </w:trPr>
        <w:tc>
          <w:tcPr>
            <w:tcW w:w="1220" w:type="dxa"/>
            <w:vAlign w:val="bottom"/>
            <w:vMerge w:val="restart"/>
            <w:shd w:val="clear" w:color="auto" w:fill="787878"/>
          </w:tcPr>
          <w:p>
            <w:pPr>
              <w:ind w:left="80"/>
              <w:spacing w:after="0" w:line="144" w:lineRule="exact"/>
              <w:rPr>
                <w:sz w:val="20"/>
                <w:szCs w:val="20"/>
                <w:color w:val="auto"/>
              </w:rPr>
            </w:pPr>
            <w:r>
              <w:rPr>
                <w:rFonts w:ascii="Arial" w:cs="Arial" w:eastAsia="Arial" w:hAnsi="Arial"/>
                <w:sz w:val="13"/>
                <w:szCs w:val="13"/>
                <w:b w:val="1"/>
                <w:bCs w:val="1"/>
                <w:color w:val="FFFFFF"/>
              </w:rPr>
              <w:t>Composition</w:t>
            </w:r>
          </w:p>
        </w:tc>
        <w:tc>
          <w:tcPr>
            <w:tcW w:w="1220" w:type="dxa"/>
            <w:vAlign w:val="bottom"/>
            <w:shd w:val="clear" w:color="auto" w:fill="787878"/>
          </w:tcPr>
          <w:p>
            <w:pPr>
              <w:spacing w:after="0"/>
              <w:rPr>
                <w:sz w:val="6"/>
                <w:szCs w:val="6"/>
                <w:color w:val="auto"/>
              </w:rPr>
            </w:pPr>
          </w:p>
        </w:tc>
        <w:tc>
          <w:tcPr>
            <w:tcW w:w="1120" w:type="dxa"/>
            <w:vAlign w:val="bottom"/>
            <w:shd w:val="clear" w:color="auto" w:fill="787878"/>
          </w:tcPr>
          <w:p>
            <w:pPr>
              <w:spacing w:after="0"/>
              <w:rPr>
                <w:sz w:val="6"/>
                <w:szCs w:val="6"/>
                <w:color w:val="auto"/>
              </w:rPr>
            </w:pPr>
          </w:p>
        </w:tc>
        <w:tc>
          <w:tcPr>
            <w:tcW w:w="1080" w:type="dxa"/>
            <w:vAlign w:val="bottom"/>
            <w:shd w:val="clear" w:color="auto" w:fill="787878"/>
          </w:tcPr>
          <w:p>
            <w:pPr>
              <w:spacing w:after="0"/>
              <w:rPr>
                <w:sz w:val="6"/>
                <w:szCs w:val="6"/>
                <w:color w:val="auto"/>
              </w:rPr>
            </w:pPr>
          </w:p>
        </w:tc>
        <w:tc>
          <w:tcPr>
            <w:tcW w:w="1160" w:type="dxa"/>
            <w:vAlign w:val="bottom"/>
            <w:shd w:val="clear" w:color="auto" w:fill="787878"/>
          </w:tcPr>
          <w:p>
            <w:pPr>
              <w:spacing w:after="0"/>
              <w:rPr>
                <w:sz w:val="6"/>
                <w:szCs w:val="6"/>
                <w:color w:val="auto"/>
              </w:rPr>
            </w:pPr>
          </w:p>
        </w:tc>
        <w:tc>
          <w:tcPr>
            <w:tcW w:w="1080" w:type="dxa"/>
            <w:vAlign w:val="bottom"/>
            <w:shd w:val="clear" w:color="auto" w:fill="787878"/>
          </w:tcPr>
          <w:p>
            <w:pPr>
              <w:spacing w:after="0"/>
              <w:rPr>
                <w:sz w:val="6"/>
                <w:szCs w:val="6"/>
                <w:color w:val="auto"/>
              </w:rPr>
            </w:pPr>
          </w:p>
        </w:tc>
        <w:tc>
          <w:tcPr>
            <w:tcW w:w="1200" w:type="dxa"/>
            <w:vAlign w:val="bottom"/>
            <w:shd w:val="clear" w:color="auto" w:fill="787878"/>
          </w:tcPr>
          <w:p>
            <w:pPr>
              <w:spacing w:after="0"/>
              <w:rPr>
                <w:sz w:val="6"/>
                <w:szCs w:val="6"/>
                <w:color w:val="auto"/>
              </w:rPr>
            </w:pPr>
          </w:p>
        </w:tc>
        <w:tc>
          <w:tcPr>
            <w:tcW w:w="1180" w:type="dxa"/>
            <w:vAlign w:val="bottom"/>
            <w:vMerge w:val="continue"/>
            <w:shd w:val="clear" w:color="auto" w:fill="787878"/>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220" w:type="dxa"/>
            <w:vAlign w:val="bottom"/>
            <w:vMerge w:val="continue"/>
            <w:shd w:val="clear" w:color="auto" w:fill="787878"/>
          </w:tcPr>
          <w:p>
            <w:pPr>
              <w:spacing w:after="0"/>
              <w:rPr>
                <w:sz w:val="6"/>
                <w:szCs w:val="6"/>
                <w:color w:val="auto"/>
              </w:rPr>
            </w:pPr>
          </w:p>
        </w:tc>
        <w:tc>
          <w:tcPr>
            <w:tcW w:w="1220" w:type="dxa"/>
            <w:vAlign w:val="bottom"/>
            <w:shd w:val="clear" w:color="auto" w:fill="787878"/>
          </w:tcPr>
          <w:p>
            <w:pPr>
              <w:spacing w:after="0"/>
              <w:rPr>
                <w:sz w:val="6"/>
                <w:szCs w:val="6"/>
                <w:color w:val="auto"/>
              </w:rPr>
            </w:pPr>
          </w:p>
        </w:tc>
        <w:tc>
          <w:tcPr>
            <w:tcW w:w="1120" w:type="dxa"/>
            <w:vAlign w:val="bottom"/>
            <w:shd w:val="clear" w:color="auto" w:fill="787878"/>
          </w:tcPr>
          <w:p>
            <w:pPr>
              <w:spacing w:after="0"/>
              <w:rPr>
                <w:sz w:val="6"/>
                <w:szCs w:val="6"/>
                <w:color w:val="auto"/>
              </w:rPr>
            </w:pPr>
          </w:p>
        </w:tc>
        <w:tc>
          <w:tcPr>
            <w:tcW w:w="1080" w:type="dxa"/>
            <w:vAlign w:val="bottom"/>
            <w:shd w:val="clear" w:color="auto" w:fill="787878"/>
          </w:tcPr>
          <w:p>
            <w:pPr>
              <w:spacing w:after="0"/>
              <w:rPr>
                <w:sz w:val="6"/>
                <w:szCs w:val="6"/>
                <w:color w:val="auto"/>
              </w:rPr>
            </w:pPr>
          </w:p>
        </w:tc>
        <w:tc>
          <w:tcPr>
            <w:tcW w:w="1160" w:type="dxa"/>
            <w:vAlign w:val="bottom"/>
            <w:shd w:val="clear" w:color="auto" w:fill="787878"/>
          </w:tcPr>
          <w:p>
            <w:pPr>
              <w:spacing w:after="0"/>
              <w:rPr>
                <w:sz w:val="6"/>
                <w:szCs w:val="6"/>
                <w:color w:val="auto"/>
              </w:rPr>
            </w:pPr>
          </w:p>
        </w:tc>
        <w:tc>
          <w:tcPr>
            <w:tcW w:w="1080" w:type="dxa"/>
            <w:vAlign w:val="bottom"/>
            <w:shd w:val="clear" w:color="auto" w:fill="787878"/>
          </w:tcPr>
          <w:p>
            <w:pPr>
              <w:spacing w:after="0"/>
              <w:rPr>
                <w:sz w:val="6"/>
                <w:szCs w:val="6"/>
                <w:color w:val="auto"/>
              </w:rPr>
            </w:pPr>
          </w:p>
        </w:tc>
        <w:tc>
          <w:tcPr>
            <w:tcW w:w="1200" w:type="dxa"/>
            <w:vAlign w:val="bottom"/>
            <w:shd w:val="clear" w:color="auto" w:fill="787878"/>
          </w:tcPr>
          <w:p>
            <w:pPr>
              <w:spacing w:after="0"/>
              <w:rPr>
                <w:sz w:val="6"/>
                <w:szCs w:val="6"/>
                <w:color w:val="auto"/>
              </w:rPr>
            </w:pPr>
          </w:p>
        </w:tc>
        <w:tc>
          <w:tcPr>
            <w:tcW w:w="1180" w:type="dxa"/>
            <w:vAlign w:val="bottom"/>
            <w:vMerge w:val="restart"/>
            <w:shd w:val="clear" w:color="auto" w:fill="787878"/>
          </w:tcPr>
          <w:p>
            <w:pPr>
              <w:ind w:left="160"/>
              <w:spacing w:after="0"/>
              <w:rPr>
                <w:sz w:val="20"/>
                <w:szCs w:val="20"/>
                <w:color w:val="auto"/>
              </w:rPr>
            </w:pPr>
            <w:r>
              <w:rPr>
                <w:rFonts w:ascii="Arial" w:cs="Arial" w:eastAsia="Arial" w:hAnsi="Arial"/>
                <w:sz w:val="13"/>
                <w:szCs w:val="13"/>
                <w:color w:val="FFFFFF"/>
              </w:rPr>
              <w:t>Tenure: 4.5</w:t>
            </w:r>
          </w:p>
        </w:tc>
        <w:tc>
          <w:tcPr>
            <w:tcW w:w="0" w:type="dxa"/>
            <w:vAlign w:val="bottom"/>
          </w:tcPr>
          <w:p>
            <w:pPr>
              <w:spacing w:after="0"/>
              <w:rPr>
                <w:sz w:val="1"/>
                <w:szCs w:val="1"/>
                <w:color w:val="auto"/>
              </w:rPr>
            </w:pPr>
          </w:p>
        </w:tc>
      </w:tr>
      <w:tr>
        <w:trPr>
          <w:trHeight w:val="102"/>
        </w:trPr>
        <w:tc>
          <w:tcPr>
            <w:tcW w:w="1220" w:type="dxa"/>
            <w:vAlign w:val="bottom"/>
            <w:vMerge w:val="restart"/>
            <w:shd w:val="clear" w:color="auto" w:fill="787878"/>
          </w:tcPr>
          <w:p>
            <w:pPr>
              <w:ind w:left="80"/>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787878"/>
          </w:tcPr>
          <w:p>
            <w:pPr>
              <w:spacing w:after="0"/>
              <w:rPr>
                <w:sz w:val="8"/>
                <w:szCs w:val="8"/>
                <w:color w:val="auto"/>
              </w:rPr>
            </w:pPr>
          </w:p>
        </w:tc>
        <w:tc>
          <w:tcPr>
            <w:tcW w:w="1120" w:type="dxa"/>
            <w:vAlign w:val="bottom"/>
            <w:shd w:val="clear" w:color="auto" w:fill="787878"/>
          </w:tcPr>
          <w:p>
            <w:pPr>
              <w:spacing w:after="0"/>
              <w:rPr>
                <w:sz w:val="8"/>
                <w:szCs w:val="8"/>
                <w:color w:val="auto"/>
              </w:rPr>
            </w:pPr>
          </w:p>
        </w:tc>
        <w:tc>
          <w:tcPr>
            <w:tcW w:w="1080" w:type="dxa"/>
            <w:vAlign w:val="bottom"/>
            <w:shd w:val="clear" w:color="auto" w:fill="787878"/>
          </w:tcPr>
          <w:p>
            <w:pPr>
              <w:spacing w:after="0"/>
              <w:rPr>
                <w:sz w:val="8"/>
                <w:szCs w:val="8"/>
                <w:color w:val="auto"/>
              </w:rPr>
            </w:pPr>
          </w:p>
        </w:tc>
        <w:tc>
          <w:tcPr>
            <w:tcW w:w="1160" w:type="dxa"/>
            <w:vAlign w:val="bottom"/>
            <w:shd w:val="clear" w:color="auto" w:fill="787878"/>
          </w:tcPr>
          <w:p>
            <w:pPr>
              <w:spacing w:after="0"/>
              <w:rPr>
                <w:sz w:val="8"/>
                <w:szCs w:val="8"/>
                <w:color w:val="auto"/>
              </w:rPr>
            </w:pPr>
          </w:p>
        </w:tc>
        <w:tc>
          <w:tcPr>
            <w:tcW w:w="1080" w:type="dxa"/>
            <w:vAlign w:val="bottom"/>
            <w:shd w:val="clear" w:color="auto" w:fill="787878"/>
          </w:tcPr>
          <w:p>
            <w:pPr>
              <w:spacing w:after="0"/>
              <w:rPr>
                <w:sz w:val="8"/>
                <w:szCs w:val="8"/>
                <w:color w:val="auto"/>
              </w:rPr>
            </w:pPr>
          </w:p>
        </w:tc>
        <w:tc>
          <w:tcPr>
            <w:tcW w:w="1200" w:type="dxa"/>
            <w:vAlign w:val="bottom"/>
            <w:shd w:val="clear" w:color="auto" w:fill="787878"/>
          </w:tcPr>
          <w:p>
            <w:pPr>
              <w:spacing w:after="0"/>
              <w:rPr>
                <w:sz w:val="8"/>
                <w:szCs w:val="8"/>
                <w:color w:val="auto"/>
              </w:rPr>
            </w:pPr>
          </w:p>
        </w:tc>
        <w:tc>
          <w:tcPr>
            <w:tcW w:w="1180" w:type="dxa"/>
            <w:vAlign w:val="bottom"/>
            <w:vMerge w:val="continue"/>
            <w:shd w:val="clear" w:color="auto" w:fill="787878"/>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20" w:type="dxa"/>
            <w:vAlign w:val="bottom"/>
            <w:vMerge w:val="continue"/>
            <w:shd w:val="clear" w:color="auto" w:fill="787878"/>
          </w:tcPr>
          <w:p>
            <w:pPr>
              <w:spacing w:after="0"/>
              <w:rPr>
                <w:sz w:val="6"/>
                <w:szCs w:val="6"/>
                <w:color w:val="auto"/>
              </w:rPr>
            </w:pPr>
          </w:p>
        </w:tc>
        <w:tc>
          <w:tcPr>
            <w:tcW w:w="1220" w:type="dxa"/>
            <w:vAlign w:val="bottom"/>
            <w:vMerge w:val="restart"/>
            <w:shd w:val="clear" w:color="auto" w:fill="787878"/>
          </w:tcPr>
          <w:p>
            <w:pPr>
              <w:ind w:left="640"/>
              <w:spacing w:after="0"/>
              <w:rPr>
                <w:sz w:val="20"/>
                <w:szCs w:val="20"/>
                <w:color w:val="auto"/>
              </w:rPr>
            </w:pPr>
            <w:r>
              <w:rPr>
                <w:rFonts w:ascii="Arial" w:cs="Arial" w:eastAsia="Arial" w:hAnsi="Arial"/>
                <w:sz w:val="13"/>
                <w:szCs w:val="13"/>
                <w:color w:val="FFFFFF"/>
              </w:rPr>
              <w:t>100%</w:t>
            </w:r>
          </w:p>
        </w:tc>
        <w:tc>
          <w:tcPr>
            <w:tcW w:w="1120" w:type="dxa"/>
            <w:vAlign w:val="bottom"/>
            <w:vMerge w:val="restart"/>
            <w:shd w:val="clear" w:color="auto" w:fill="787878"/>
          </w:tcPr>
          <w:p>
            <w:pPr>
              <w:jc w:val="center"/>
              <w:ind w:left="216"/>
              <w:spacing w:after="0"/>
              <w:rPr>
                <w:sz w:val="20"/>
                <w:szCs w:val="20"/>
                <w:color w:val="auto"/>
              </w:rPr>
            </w:pPr>
            <w:r>
              <w:rPr>
                <w:rFonts w:ascii="Arial" w:cs="Arial" w:eastAsia="Arial" w:hAnsi="Arial"/>
                <w:sz w:val="13"/>
                <w:szCs w:val="13"/>
                <w:color w:val="FFFFFF"/>
                <w:w w:val="96"/>
              </w:rPr>
              <w:t>100%</w:t>
            </w:r>
          </w:p>
        </w:tc>
        <w:tc>
          <w:tcPr>
            <w:tcW w:w="1080" w:type="dxa"/>
            <w:vAlign w:val="bottom"/>
            <w:vMerge w:val="restart"/>
            <w:shd w:val="clear" w:color="auto" w:fill="787878"/>
          </w:tcPr>
          <w:p>
            <w:pPr>
              <w:jc w:val="center"/>
              <w:ind w:left="236"/>
              <w:spacing w:after="0"/>
              <w:rPr>
                <w:sz w:val="20"/>
                <w:szCs w:val="20"/>
                <w:color w:val="auto"/>
              </w:rPr>
            </w:pPr>
            <w:r>
              <w:rPr>
                <w:rFonts w:ascii="Arial" w:cs="Arial" w:eastAsia="Arial" w:hAnsi="Arial"/>
                <w:sz w:val="13"/>
                <w:szCs w:val="13"/>
                <w:color w:val="FFFFFF"/>
                <w:w w:val="99"/>
              </w:rPr>
              <w:t>42%</w:t>
            </w:r>
          </w:p>
        </w:tc>
        <w:tc>
          <w:tcPr>
            <w:tcW w:w="1160" w:type="dxa"/>
            <w:vAlign w:val="bottom"/>
            <w:vMerge w:val="restart"/>
            <w:shd w:val="clear" w:color="auto" w:fill="787878"/>
          </w:tcPr>
          <w:p>
            <w:pPr>
              <w:jc w:val="center"/>
              <w:ind w:left="236"/>
              <w:spacing w:after="0"/>
              <w:rPr>
                <w:sz w:val="20"/>
                <w:szCs w:val="20"/>
                <w:color w:val="auto"/>
              </w:rPr>
            </w:pPr>
            <w:r>
              <w:rPr>
                <w:rFonts w:ascii="Arial" w:cs="Arial" w:eastAsia="Arial" w:hAnsi="Arial"/>
                <w:sz w:val="13"/>
                <w:szCs w:val="13"/>
                <w:color w:val="FFFFFF"/>
              </w:rPr>
              <w:t>100%</w:t>
            </w:r>
          </w:p>
        </w:tc>
        <w:tc>
          <w:tcPr>
            <w:tcW w:w="1080" w:type="dxa"/>
            <w:vAlign w:val="bottom"/>
            <w:vMerge w:val="restart"/>
            <w:shd w:val="clear" w:color="auto" w:fill="787878"/>
          </w:tcPr>
          <w:p>
            <w:pPr>
              <w:jc w:val="center"/>
              <w:ind w:left="196"/>
              <w:spacing w:after="0"/>
              <w:rPr>
                <w:sz w:val="20"/>
                <w:szCs w:val="20"/>
                <w:color w:val="auto"/>
              </w:rPr>
            </w:pPr>
            <w:r>
              <w:rPr>
                <w:rFonts w:ascii="Arial" w:cs="Arial" w:eastAsia="Arial" w:hAnsi="Arial"/>
                <w:sz w:val="13"/>
                <w:szCs w:val="13"/>
                <w:color w:val="FFFFFF"/>
                <w:w w:val="99"/>
              </w:rPr>
              <w:t>71%</w:t>
            </w:r>
          </w:p>
        </w:tc>
        <w:tc>
          <w:tcPr>
            <w:tcW w:w="1200" w:type="dxa"/>
            <w:vAlign w:val="bottom"/>
            <w:vMerge w:val="restart"/>
            <w:shd w:val="clear" w:color="auto" w:fill="787878"/>
          </w:tcPr>
          <w:p>
            <w:pPr>
              <w:jc w:val="center"/>
              <w:ind w:left="156"/>
              <w:spacing w:after="0"/>
              <w:rPr>
                <w:sz w:val="20"/>
                <w:szCs w:val="20"/>
                <w:color w:val="auto"/>
              </w:rPr>
            </w:pPr>
            <w:r>
              <w:rPr>
                <w:rFonts w:ascii="Arial" w:cs="Arial" w:eastAsia="Arial" w:hAnsi="Arial"/>
                <w:sz w:val="13"/>
                <w:szCs w:val="13"/>
                <w:color w:val="FFFFFF"/>
                <w:w w:val="99"/>
              </w:rPr>
              <w:t>86%</w:t>
            </w:r>
          </w:p>
        </w:tc>
        <w:tc>
          <w:tcPr>
            <w:tcW w:w="1180" w:type="dxa"/>
            <w:vAlign w:val="bottom"/>
            <w:shd w:val="clear" w:color="auto" w:fill="787878"/>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shd w:val="clear" w:color="auto" w:fill="787878"/>
          </w:tcPr>
          <w:p>
            <w:pPr>
              <w:spacing w:after="0"/>
              <w:rPr>
                <w:sz w:val="7"/>
                <w:szCs w:val="7"/>
                <w:color w:val="auto"/>
              </w:rPr>
            </w:pPr>
          </w:p>
        </w:tc>
        <w:tc>
          <w:tcPr>
            <w:tcW w:w="1220" w:type="dxa"/>
            <w:vAlign w:val="bottom"/>
            <w:vMerge w:val="continue"/>
            <w:shd w:val="clear" w:color="auto" w:fill="787878"/>
          </w:tcPr>
          <w:p>
            <w:pPr>
              <w:spacing w:after="0"/>
              <w:rPr>
                <w:sz w:val="7"/>
                <w:szCs w:val="7"/>
                <w:color w:val="auto"/>
              </w:rPr>
            </w:pPr>
          </w:p>
        </w:tc>
        <w:tc>
          <w:tcPr>
            <w:tcW w:w="1120" w:type="dxa"/>
            <w:vAlign w:val="bottom"/>
            <w:vMerge w:val="continue"/>
            <w:shd w:val="clear" w:color="auto" w:fill="787878"/>
          </w:tcPr>
          <w:p>
            <w:pPr>
              <w:spacing w:after="0"/>
              <w:rPr>
                <w:sz w:val="7"/>
                <w:szCs w:val="7"/>
                <w:color w:val="auto"/>
              </w:rPr>
            </w:pPr>
          </w:p>
        </w:tc>
        <w:tc>
          <w:tcPr>
            <w:tcW w:w="1080" w:type="dxa"/>
            <w:vAlign w:val="bottom"/>
            <w:vMerge w:val="continue"/>
            <w:shd w:val="clear" w:color="auto" w:fill="787878"/>
          </w:tcPr>
          <w:p>
            <w:pPr>
              <w:spacing w:after="0"/>
              <w:rPr>
                <w:sz w:val="7"/>
                <w:szCs w:val="7"/>
                <w:color w:val="auto"/>
              </w:rPr>
            </w:pPr>
          </w:p>
        </w:tc>
        <w:tc>
          <w:tcPr>
            <w:tcW w:w="1160" w:type="dxa"/>
            <w:vAlign w:val="bottom"/>
            <w:vMerge w:val="continue"/>
            <w:shd w:val="clear" w:color="auto" w:fill="787878"/>
          </w:tcPr>
          <w:p>
            <w:pPr>
              <w:spacing w:after="0"/>
              <w:rPr>
                <w:sz w:val="7"/>
                <w:szCs w:val="7"/>
                <w:color w:val="auto"/>
              </w:rPr>
            </w:pPr>
          </w:p>
        </w:tc>
        <w:tc>
          <w:tcPr>
            <w:tcW w:w="1080" w:type="dxa"/>
            <w:vAlign w:val="bottom"/>
            <w:vMerge w:val="continue"/>
            <w:shd w:val="clear" w:color="auto" w:fill="787878"/>
          </w:tcPr>
          <w:p>
            <w:pPr>
              <w:spacing w:after="0"/>
              <w:rPr>
                <w:sz w:val="7"/>
                <w:szCs w:val="7"/>
                <w:color w:val="auto"/>
              </w:rPr>
            </w:pPr>
          </w:p>
        </w:tc>
        <w:tc>
          <w:tcPr>
            <w:tcW w:w="1200" w:type="dxa"/>
            <w:vAlign w:val="bottom"/>
            <w:vMerge w:val="continue"/>
            <w:shd w:val="clear" w:color="auto" w:fill="787878"/>
          </w:tcPr>
          <w:p>
            <w:pPr>
              <w:spacing w:after="0"/>
              <w:rPr>
                <w:sz w:val="7"/>
                <w:szCs w:val="7"/>
                <w:color w:val="auto"/>
              </w:rPr>
            </w:pPr>
          </w:p>
        </w:tc>
        <w:tc>
          <w:tcPr>
            <w:tcW w:w="1180" w:type="dxa"/>
            <w:vAlign w:val="bottom"/>
            <w:shd w:val="clear" w:color="auto" w:fill="78787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-413385</wp:posOffset>
            </wp:positionV>
            <wp:extent cx="304800" cy="304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
                      <a:extLst>
                        <a:ext uri="{28A0092B-C50C-407E-A947-70E740481C1C}"/>
                      </a:extLst>
                    </a:blip>
                    <a:srcRect/>
                    <a:stretch>
                      <a:fillRect/>
                    </a:stretch>
                  </pic:blipFill>
                  <pic:spPr bwMode="auto">
                    <a:xfrm>
                      <a:off x="0" y="0"/>
                      <a:ext cx="304800" cy="30416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-413385</wp:posOffset>
            </wp:positionV>
            <wp:extent cx="304165" cy="3041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6">
                      <a:extLst>
                        <a:ext uri="{28A0092B-C50C-407E-A947-70E740481C1C}"/>
                      </a:extLst>
                    </a:blip>
                    <a:srcRect/>
                    <a:stretch>
                      <a:fillRect/>
                    </a:stretch>
                  </pic:blipFill>
                  <pic:spPr bwMode="auto">
                    <a:xfrm>
                      <a:off x="0" y="0"/>
                      <a:ext cx="304165" cy="30416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-413385</wp:posOffset>
            </wp:positionV>
            <wp:extent cx="304800" cy="296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7">
                      <a:extLst>
                        <a:ext uri="{28A0092B-C50C-407E-A947-70E740481C1C}"/>
                      </a:extLst>
                    </a:blip>
                    <a:srcRect/>
                    <a:stretch>
                      <a:fillRect/>
                    </a:stretch>
                  </pic:blipFill>
                  <pic:spPr bwMode="auto">
                    <a:xfrm>
                      <a:off x="0" y="0"/>
                      <a:ext cx="304800" cy="296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-413385</wp:posOffset>
            </wp:positionV>
            <wp:extent cx="304800" cy="3041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8">
                      <a:extLst>
                        <a:ext uri="{28A0092B-C50C-407E-A947-70E740481C1C}"/>
                      </a:extLst>
                    </a:blip>
                    <a:srcRect/>
                    <a:stretch>
                      <a:fillRect/>
                    </a:stretch>
                  </pic:blipFill>
                  <pic:spPr bwMode="auto">
                    <a:xfrm>
                      <a:off x="0" y="0"/>
                      <a:ext cx="304800" cy="30416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-413385</wp:posOffset>
            </wp:positionV>
            <wp:extent cx="304800" cy="296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9">
                      <a:extLst>
                        <a:ext uri="{28A0092B-C50C-407E-A947-70E740481C1C}"/>
                      </a:extLst>
                    </a:blip>
                    <a:srcRect/>
                    <a:stretch>
                      <a:fillRect/>
                    </a:stretch>
                  </pic:blipFill>
                  <pic:spPr bwMode="auto">
                    <a:xfrm>
                      <a:off x="0" y="0"/>
                      <a:ext cx="304800" cy="2965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-413385</wp:posOffset>
            </wp:positionV>
            <wp:extent cx="304800" cy="3041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0">
                      <a:extLst>
                        <a:ext uri="{28A0092B-C50C-407E-A947-70E740481C1C}"/>
                      </a:extLst>
                    </a:blip>
                    <a:srcRect/>
                    <a:stretch>
                      <a:fillRect/>
                    </a:stretch>
                  </pic:blipFill>
                  <pic:spPr bwMode="auto">
                    <a:xfrm>
                      <a:off x="0" y="0"/>
                      <a:ext cx="304800" cy="304165"/>
                    </a:xfrm>
                    <a:prstGeom prst="rect">
                      <a:avLst/>
                    </a:prstGeom>
                    <a:noFill/>
                  </pic:spPr>
                </pic:pic>
              </a:graphicData>
            </a:graphic>
          </wp:anchor>
        </w:drawing>
      </w:r>
    </w:p>
    <w:p>
      <w:pPr>
        <w:spacing w:after="0" w:line="108" w:lineRule="exact"/>
        <w:rPr>
          <w:sz w:val="20"/>
          <w:szCs w:val="20"/>
          <w:color w:val="auto"/>
        </w:rPr>
      </w:pPr>
    </w:p>
    <w:p>
      <w:pPr>
        <w:ind w:left="4" w:right="200" w:hanging="4"/>
        <w:spacing w:after="0" w:line="299" w:lineRule="auto"/>
        <w:tabs>
          <w:tab w:leader="none" w:pos="100" w:val="left"/>
        </w:tabs>
        <w:numPr>
          <w:ilvl w:val="0"/>
          <w:numId w:val="81"/>
        </w:numPr>
        <w:rPr>
          <w:rFonts w:ascii="Arial" w:cs="Arial" w:eastAsia="Arial" w:hAnsi="Arial"/>
          <w:sz w:val="14"/>
          <w:szCs w:val="14"/>
          <w:color w:val="001446"/>
        </w:rPr>
      </w:pPr>
      <w:r>
        <w:rPr>
          <w:rFonts w:ascii="Arial" w:cs="Arial" w:eastAsia="Arial" w:hAnsi="Arial"/>
          <w:sz w:val="14"/>
          <w:szCs w:val="14"/>
          <w:color w:val="001446"/>
        </w:rPr>
        <w:t>SolarEdge has been public since 2015. The Board weighed the potential impact of tenure on the independence of our longest-serving director, Mr. More and determined that Mr. More’s independence from management has not been diminished by his years of service.</w:t>
      </w:r>
    </w:p>
    <w:p>
      <w:pPr>
        <w:spacing w:after="0" w:line="75"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001446"/>
        </w:rPr>
        <w:t>Board Composition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-247015</wp:posOffset>
                </wp:positionV>
                <wp:extent cx="653224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4571">
                          <a:solidFill>
                            <a:srgbClr val="FF3232"/>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499pt" to="514.35pt,-19.4499pt" o:allowincell="f" strokecolor="#FF3232" strokeweight="0.3599pt"/>
            </w:pict>
          </mc:Fallback>
        </mc:AlternateContent>
      </w:r>
    </w:p>
    <w:p>
      <w:pPr>
        <w:spacing w:after="0" w:line="187" w:lineRule="exact"/>
        <w:rPr>
          <w:sz w:val="20"/>
          <w:szCs w:val="20"/>
          <w:color w:val="auto"/>
        </w:rPr>
      </w:pPr>
    </w:p>
    <w:p>
      <w:pPr>
        <w:ind w:left="4" w:right="20"/>
        <w:spacing w:after="0" w:line="262" w:lineRule="auto"/>
        <w:rPr>
          <w:sz w:val="20"/>
          <w:szCs w:val="20"/>
          <w:color w:val="auto"/>
        </w:rPr>
      </w:pPr>
      <w:r>
        <w:rPr>
          <w:rFonts w:ascii="Arial" w:cs="Arial" w:eastAsia="Arial" w:hAnsi="Arial"/>
          <w:sz w:val="14"/>
          <w:szCs w:val="14"/>
          <w:color w:val="001446"/>
        </w:rPr>
        <w:t>The Board conducts regular renewal and refreshment assessments. As part of such assessment, as set forth in our Principles of Corporate Governance (the “Principles”), the Nominating &amp; Corporate Governance Committee seeks to achieve an array of professional and personal backgrounds on the Board. The Board assesses its effectiveness in this regard as part of the annual board evaluation process. The Nominating &amp; Governance Committee regularly reviews the composition of our Board and assesses the skills, backgrounds, perspectives, viewpoints and experiences of our directors with a view towards enhancing the composition of our Board to support the Company’s evolving strategy.</w:t>
      </w:r>
    </w:p>
    <w:p>
      <w:pPr>
        <w:spacing w:after="0" w:line="129" w:lineRule="exact"/>
        <w:rPr>
          <w:sz w:val="20"/>
          <w:szCs w:val="20"/>
          <w:color w:val="auto"/>
        </w:rPr>
      </w:pPr>
    </w:p>
    <w:p>
      <w:pPr>
        <w:ind w:left="4"/>
        <w:spacing w:after="0" w:line="262" w:lineRule="auto"/>
        <w:rPr>
          <w:sz w:val="20"/>
          <w:szCs w:val="20"/>
          <w:color w:val="auto"/>
        </w:rPr>
      </w:pPr>
      <w:r>
        <w:rPr>
          <w:rFonts w:ascii="Arial" w:cs="Arial" w:eastAsia="Arial" w:hAnsi="Arial"/>
          <w:sz w:val="14"/>
          <w:szCs w:val="14"/>
          <w:color w:val="001446"/>
        </w:rPr>
        <w:t>Each of our director nominees has achieved a high level of success in his or her career, including extensive experience in technology companies and venture capital firms, as well as historical knowledge of the Company for those who have served several years on our Board. Based on their experiences, each has been directly involved in the challenges related to setting the strategic direction and managing the financial performance, personnel, and processes of large, complex organizations. Each has had exposure to effective leaders and has developed the ability to judge leadership qualities. The Nominating and Corporate Governance Committee consults with other members of the Board and management in identifying and evaluating candidates for directorship.</w:t>
      </w:r>
    </w:p>
    <w:p>
      <w:pPr>
        <w:spacing w:after="0" w:line="129" w:lineRule="exact"/>
        <w:rPr>
          <w:sz w:val="20"/>
          <w:szCs w:val="20"/>
          <w:color w:val="auto"/>
        </w:rPr>
      </w:pPr>
    </w:p>
    <w:p>
      <w:pPr>
        <w:ind w:left="4" w:right="200"/>
        <w:spacing w:after="0" w:line="299" w:lineRule="auto"/>
        <w:rPr>
          <w:sz w:val="20"/>
          <w:szCs w:val="20"/>
          <w:color w:val="auto"/>
        </w:rPr>
      </w:pPr>
      <w:r>
        <w:rPr>
          <w:rFonts w:ascii="Arial" w:cs="Arial" w:eastAsia="Arial" w:hAnsi="Arial"/>
          <w:sz w:val="14"/>
          <w:szCs w:val="14"/>
          <w:color w:val="001446"/>
        </w:rPr>
        <w:t>Additionally, the Board believes that diversity with respect to tenure is important in order to provide the Company with balanced views and insights from Board members who have a deep acquaintance with the Company’s history as well as a fresh perspective from new Board members.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532880" cy="58420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260" o:spid="_x0000_s1285" style="position:absolute;margin-left:0pt;margin-top:5.95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49"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432435</wp:posOffset>
                </wp:positionV>
                <wp:extent cx="653224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05pt" to="514.35pt,34.05pt" o:allowincell="f" strokecolor="#000000" strokeweight="1.62pt"/>
            </w:pict>
          </mc:Fallback>
        </mc:AlternateContent>
      </w:r>
    </w:p>
    <w:p>
      <w:pPr>
        <w:sectPr>
          <w:pgSz w:w="11900" w:h="16840" w:orient="portrait"/>
          <w:cols w:equalWidth="0" w:num="1">
            <w:col w:w="10224"/>
          </w:cols>
          <w:pgMar w:left="816" w:top="1135" w:right="864"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518160</wp:posOffset>
            </wp:positionH>
            <wp:positionV relativeFrom="page">
              <wp:posOffset>965200</wp:posOffset>
            </wp:positionV>
            <wp:extent cx="4145280" cy="24072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145280" cy="240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-247015</wp:posOffset>
                </wp:positionV>
                <wp:extent cx="653224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4499pt" to="514.15pt,-19.4499pt" o:allowincell="f" strokecolor="#FF3232" strokeweight="0.4199pt"/>
            </w:pict>
          </mc:Fallback>
        </mc:AlternateConten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001446"/>
        </w:rPr>
        <w:t>Board Independence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Under the listing requirements and Nasdaq rules, independent directors must comprise a majority of a listed company’s board of directors. Our Principles provide that an “independent” director is a director who meets the Nasdaq definition of independence. The Principles also provide that, under applicable Nasdaq rules, the members of each of the Audit and Compensation Committees are subject to additional heightened independence criteria applicable to directors serving on these committees. Our Board of Directors undertakes a review of its composition, the composition of its committees and the independence of each director (both generally, and, where applicable, under heightened independence criteria applicable to certain committees) on an annual basis.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More, Tietz, Gecht, and Almogy and Mses. Atkins and Gross are “independent” under Nasdaq rules. Our Board of Directors also previously determined that Marcel Gani, Dirk Hoke, and Nadav Zafrir, who served as directors until April 8, 2025, June 3, 2025, and October 2, 2025 respectively, were independent for the time they served as directors on the Board. In addition, our Board of Directors has determined that all the members of the Audit and Compensation Committees meet the additional, heightened independence criteria applicable to such committee members under the Nasdaq rules.</w:t>
      </w:r>
    </w:p>
    <w:p>
      <w:pPr>
        <w:spacing w:after="0" w:line="13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001446"/>
        </w:rPr>
        <w:t>When evaluating the independence of director nominees, the Board weighs numerous factors, including tenure. Directors with more than 12 years of service are subject to specific considerations to promote an undiminished level of independence. In particular, the Board weighed the potential impact of tenure on the independence of our longest -serving director and Chairperson of the Board, Mr. More. Mr. More provides valuable perspectives and expertise on matters of significance to the Company and is a respected leader in the Board room. The Board concluded that Mr. More is a valued director who fulfills his responsibilities with independent-minded oversight. Mr. More appropriately challenges management, and is reasoned, balanced, and thoughtful in Board deliberations and in communications with management. The Board determined that Mr. More’s independence from management has not been diminished by his years of service.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92710</wp:posOffset>
                </wp:positionV>
                <wp:extent cx="6532245" cy="58420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64" o:spid="_x0000_s1289" style="position:absolute;margin-left:-0.1499pt;margin-top:7.3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40"/>
          </w:cols>
          <w:pgMar w:left="820" w:top="1440" w:right="844" w:bottom="1440" w:gutter="0" w:footer="0" w:header="0"/>
        </w:sectPr>
      </w:pPr>
    </w:p>
    <w:bookmarkStart w:id="166" w:name="page167"/>
    <w:bookmarkEnd w:id="166"/>
    <w:p>
      <w:pPr>
        <w:ind w:right="280"/>
        <w:spacing w:after="0" w:line="299" w:lineRule="auto"/>
        <w:rPr>
          <w:sz w:val="20"/>
          <w:szCs w:val="20"/>
          <w:color w:val="auto"/>
        </w:rPr>
      </w:pPr>
      <w:r>
        <w:rPr>
          <w:rFonts w:ascii="Arial" w:cs="Arial" w:eastAsia="Arial" w:hAnsi="Arial"/>
          <w:sz w:val="14"/>
          <w:szCs w:val="14"/>
          <w:color w:val="001446"/>
        </w:rPr>
        <w:t>As described in our Principles, the independent directors meet in executive sessions without management present at every regular Board meeting to promote open discussion among independent directors.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001446"/>
        </w:rPr>
        <w:t>Leadership Structure and Succession Planning</w:t>
      </w:r>
    </w:p>
    <w:p>
      <w:pPr>
        <w:spacing w:after="0" w:line="184" w:lineRule="exact"/>
        <w:rPr>
          <w:sz w:val="20"/>
          <w:szCs w:val="20"/>
          <w:color w:val="auto"/>
        </w:rPr>
      </w:pPr>
    </w:p>
    <w:p>
      <w:pPr>
        <w:jc w:val="both"/>
        <w:ind w:right="140"/>
        <w:spacing w:after="0" w:line="266" w:lineRule="auto"/>
        <w:rPr>
          <w:sz w:val="20"/>
          <w:szCs w:val="20"/>
          <w:color w:val="auto"/>
        </w:rPr>
      </w:pPr>
      <w:r>
        <w:rPr>
          <w:rFonts w:ascii="Arial" w:cs="Arial" w:eastAsia="Arial" w:hAnsi="Arial"/>
          <w:sz w:val="14"/>
          <w:szCs w:val="14"/>
          <w:color w:val="001446"/>
        </w:rPr>
        <w:t>In 2019, we separated the roles of Board Chairperson and CEO. On November 6, 2024, Mr. More was appointed as the Chairperson of our Board of Directors, replacing Mr. Nadav Zafrir who served in this position since 2019. On December 4, 2024, Mr. Nir, who was the Company’s chief marketing officer since June of the same year, was appointed as the Company’s new CEO, replacing Mr. Ronen Faier who acted as an interim CEO, following the resignation of Mr. Zvi Lando, who served in this position since 2019.</w:t>
      </w:r>
    </w:p>
    <w:p>
      <w:pPr>
        <w:spacing w:after="0" w:line="126" w:lineRule="exact"/>
        <w:rPr>
          <w:sz w:val="20"/>
          <w:szCs w:val="20"/>
          <w:color w:val="auto"/>
        </w:rPr>
      </w:pPr>
    </w:p>
    <w:p>
      <w:pPr>
        <w:ind w:left="1000" w:hanging="284"/>
        <w:spacing w:after="0" w:line="253" w:lineRule="auto"/>
        <w:tabs>
          <w:tab w:leader="none" w:pos="1000" w:val="left"/>
        </w:tabs>
        <w:numPr>
          <w:ilvl w:val="0"/>
          <w:numId w:val="82"/>
        </w:numPr>
        <w:rPr>
          <w:rFonts w:ascii="Arial" w:cs="Arial" w:eastAsia="Arial" w:hAnsi="Arial"/>
          <w:sz w:val="14"/>
          <w:szCs w:val="14"/>
          <w:color w:val="FF0000"/>
        </w:rPr>
      </w:pPr>
      <w:r>
        <w:rPr>
          <w:rFonts w:ascii="Arial" w:cs="Arial" w:eastAsia="Arial" w:hAnsi="Arial"/>
          <w:sz w:val="14"/>
          <w:szCs w:val="14"/>
          <w:color w:val="001446"/>
        </w:rPr>
        <w:t>The Board believes that its current leadership structure serves well the objectives of the Board’s independent oversight of management, the ability of the Board to carry out its roles and responsibilities on behalf of the stockholders, and the Company’s overall corporate governance.</w:t>
      </w:r>
    </w:p>
    <w:p>
      <w:pPr>
        <w:ind w:left="1000" w:right="20" w:hanging="284"/>
        <w:spacing w:after="0" w:line="261" w:lineRule="auto"/>
        <w:tabs>
          <w:tab w:leader="none" w:pos="1000" w:val="left"/>
        </w:tabs>
        <w:numPr>
          <w:ilvl w:val="0"/>
          <w:numId w:val="82"/>
        </w:numPr>
        <w:rPr>
          <w:rFonts w:ascii="Arial" w:cs="Arial" w:eastAsia="Arial" w:hAnsi="Arial"/>
          <w:sz w:val="14"/>
          <w:szCs w:val="14"/>
          <w:color w:val="FF0000"/>
        </w:rPr>
      </w:pPr>
      <w:r>
        <w:rPr>
          <w:rFonts w:ascii="Arial" w:cs="Arial" w:eastAsia="Arial" w:hAnsi="Arial"/>
          <w:sz w:val="14"/>
          <w:szCs w:val="14"/>
          <w:color w:val="001446"/>
        </w:rPr>
        <w:t>The Board also believes that the separation of the Chairperson and CEO roles allows the CEO to focus his time and energy on operating and managing the Company and enables him to leverage the experience and perspectives of the Chairperson of the Board and the other experienced Board members. Among other things, the Chairperson helps guide the Company on strategy. The Board and the Nominating and Corporate Governance Committee periodically review the leadership structure and refreshment of the Board to promote continued contribution by the Board to management and to new and creative thought processes.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001446"/>
        </w:rPr>
        <w:t>Principles of Corporate Governance</w:t>
      </w:r>
    </w:p>
    <w:p>
      <w:pPr>
        <w:spacing w:after="0" w:line="183"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color w:val="001446"/>
        </w:rPr>
        <w:t>The Company is committed to robust corporate governance, ethical conduct, sustainability and accountability of our senior executives and board members. Our Principles of Corporate Governance are available under “Corporate Governance” on the investor relations page on our website.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001446"/>
        </w:rPr>
        <w:t>Board Meetings</w:t>
      </w:r>
    </w:p>
    <w:p>
      <w:pPr>
        <w:spacing w:after="0" w:line="183" w:lineRule="exact"/>
        <w:rPr>
          <w:sz w:val="20"/>
          <w:szCs w:val="20"/>
          <w:color w:val="auto"/>
        </w:rPr>
      </w:pPr>
    </w:p>
    <w:p>
      <w:pPr>
        <w:ind w:right="200"/>
        <w:spacing w:after="0" w:line="275" w:lineRule="auto"/>
        <w:rPr>
          <w:sz w:val="20"/>
          <w:szCs w:val="20"/>
          <w:color w:val="auto"/>
        </w:rPr>
      </w:pPr>
      <w:r>
        <w:rPr>
          <w:rFonts w:ascii="Arial" w:cs="Arial" w:eastAsia="Arial" w:hAnsi="Arial"/>
          <w:sz w:val="14"/>
          <w:szCs w:val="14"/>
          <w:color w:val="001446"/>
        </w:rPr>
        <w:t>During 2025, the Board of Directors held 8 meetings. Each director attended at least 87% of the meetings of the Board of Directors held during the period such director served and each of our directors attended 100% of the aggregate of the total number of the meetings held by any of the committees of the Board of Directors on which such director served during such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95250</wp:posOffset>
                </wp:positionV>
                <wp:extent cx="6532245" cy="584835"/>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266" o:spid="_x0000_s1291" style="position:absolute;margin-left:-0.1499pt;margin-top:7.5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548640</wp:posOffset>
                </wp:positionV>
                <wp:extent cx="653224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pt" to="514.15pt,43.2pt" o:allowincell="f" strokecolor="#000000" strokeweight="1.5599pt"/>
            </w:pict>
          </mc:Fallback>
        </mc:AlternateContent>
      </w:r>
    </w:p>
    <w:p>
      <w:pPr>
        <w:sectPr>
          <w:pgSz w:w="11900" w:h="16840" w:orient="portrait"/>
          <w:cols w:equalWidth="0" w:num="1">
            <w:col w:w="10280"/>
          </w:cols>
          <w:pgMar w:left="820" w:top="1151" w:right="804" w:bottom="1440" w:gutter="0" w:footer="0" w:header="0"/>
        </w:sectPr>
      </w:pPr>
    </w:p>
    <w:bookmarkStart w:id="167" w:name="page168"/>
    <w:bookmarkEnd w:id="167"/>
    <w:p>
      <w:pPr>
        <w:spacing w:after="0"/>
        <w:rPr>
          <w:sz w:val="20"/>
          <w:szCs w:val="20"/>
          <w:color w:val="auto"/>
        </w:rPr>
      </w:pPr>
      <w:r>
        <w:rPr>
          <w:rFonts w:ascii="Arial" w:cs="Arial" w:eastAsia="Arial" w:hAnsi="Arial"/>
          <w:sz w:val="38"/>
          <w:szCs w:val="38"/>
          <w:b w:val="1"/>
          <w:bCs w:val="1"/>
          <w:color w:val="001446"/>
        </w:rPr>
        <w:t>The Board’s Role in Risk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001446"/>
        </w:rPr>
        <w:t>The Board of Directors oversees the Company’s risk management process both directly and through its committees, the Audit Committee, the Compensation Committee, the Technology and Cyber Committee. The Board oversees a Company-wide approach to risk management, designed to enhance stockholder value, support the achievement of strategic objectives and improve long-term organizational performance. The Board continuously reviews the Company’s progress against its annual strategic plans and determines the appropriate level of risk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 health and safety, cyber security, sustainability matters, human capital management and compensation risks. The Board also considers risk when evaluating proposed transactions and other matters presented to the Board, including material acquisitions and financial matters.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001446"/>
        </w:rPr>
        <w:t>Risk Oversight</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While the Board maintains the ultimate oversight responsibility for the risk management process, its committees oversee risk in certain specified areas. In particular, the Audit Committee reviews and discusses the Company’s practices with respect to risk assessment and risk management. The Audit Committee also focuses on the adequacy and effectiveness of the Company’s internal controls. The Audit Committee receives regular reports from the Company on its internal system of audit and financial controls and enterprise risk information. In addition, the Audit Committee oversees the Company’s compliance program with respect to legal and regulatory requirements, including the Company’s codes of conduct and policies and procedures for monitoring compliance. The Compensation Committee oversees the assessment of the risks related to the Company’s compensation policies and programs applicable to its officers and other employees. Management regularly reports on applicable risks to the relevant committee or the Board, as appropriate, including reports on significant Company projects, with additional review or reporting on risks being conducted as needed or as requested by the Board and its committees.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1446"/>
        </w:rPr>
        <w:t>Sustainability Strategy and Oversight</w:t>
      </w:r>
    </w:p>
    <w:p>
      <w:pPr>
        <w:spacing w:after="0" w:line="183" w:lineRule="exact"/>
        <w:rPr>
          <w:sz w:val="20"/>
          <w:szCs w:val="20"/>
          <w:color w:val="auto"/>
        </w:rPr>
      </w:pPr>
    </w:p>
    <w:p>
      <w:pPr>
        <w:ind w:right="200"/>
        <w:spacing w:after="0" w:line="275" w:lineRule="auto"/>
        <w:rPr>
          <w:sz w:val="20"/>
          <w:szCs w:val="20"/>
          <w:color w:val="auto"/>
        </w:rPr>
      </w:pPr>
      <w:r>
        <w:rPr>
          <w:rFonts w:ascii="Arial" w:cs="Arial" w:eastAsia="Arial" w:hAnsi="Arial"/>
          <w:sz w:val="14"/>
          <w:szCs w:val="14"/>
          <w:color w:val="001446"/>
        </w:rPr>
        <w:t>The Board has delegated the overall oversight for the Company’s sustainability performance, disclosure, strategies, goals and objectives as well as monitoring evolving sustainability risks and opportunities to the Company’s Nominating and Corporate Governance Committee. The Board has delegated the overall oversight of the Company’s human capital management to the Compensation Committee.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001446"/>
        </w:rPr>
        <w:t>Oversight of Cybersecurity and Data Privacy Risks</w:t>
      </w:r>
    </w:p>
    <w:p>
      <w:pPr>
        <w:spacing w:after="0" w:line="184"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color w:val="001446"/>
        </w:rPr>
        <w:t>Cyber security risk is an area of increasing focus for our Board, particularly as an increasingly significant part of our operations rely on digital technologies. As a result, we have implemented a comprehensive cyber security program to assess, identify, and manage risks from cyber security threats that could result in material adverse effects on the confidentiality, integrity, and availability of our information systems. This program has been integrated into the Company’s overall risk management framework.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89535</wp:posOffset>
                </wp:positionV>
                <wp:extent cx="6532245" cy="58420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69" o:spid="_x0000_s1294" style="position:absolute;margin-left:-0.1499pt;margin-top:7.0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2pt"/>
            </w:pict>
          </mc:Fallback>
        </mc:AlternateContent>
      </w:r>
    </w:p>
    <w:p>
      <w:pPr>
        <w:sectPr>
          <w:pgSz w:w="11900" w:h="16840" w:orient="portrait"/>
          <w:cols w:equalWidth="0" w:num="1">
            <w:col w:w="10260"/>
          </w:cols>
          <w:pgMar w:left="820" w:top="1123" w:right="824" w:bottom="1440" w:gutter="0" w:footer="0" w:header="0"/>
        </w:sectPr>
      </w:pPr>
    </w:p>
    <w:bookmarkStart w:id="168" w:name="page169"/>
    <w:bookmarkEnd w:id="168"/>
    <w:p>
      <w:pPr>
        <w:ind w:right="80"/>
        <w:spacing w:after="0" w:line="266" w:lineRule="auto"/>
        <w:rPr>
          <w:sz w:val="20"/>
          <w:szCs w:val="20"/>
          <w:color w:val="auto"/>
        </w:rPr>
      </w:pPr>
      <w:r>
        <w:rPr>
          <w:rFonts w:ascii="Arial" w:cs="Arial" w:eastAsia="Arial" w:hAnsi="Arial"/>
          <w:sz w:val="14"/>
          <w:szCs w:val="14"/>
          <w:color w:val="001446"/>
        </w:rPr>
        <w:t>The Board has delegated primary oversight of the Company's risks from cyber security threats to the Technology and Cyber Committee. Our management team, including our Chief Information Security Officer (CISO), provides quarterly updates to our Technology and Cyber Committee and annual updates to the full Board regarding our cyber security activities and other developments impacting our digital security. We have established protocols by which certain cyber security incidents are escalated within the Company and, where appropriate, reported to the Board and Technology and Cyber Committee in a timely manner.</w:t>
      </w:r>
    </w:p>
    <w:p>
      <w:pPr>
        <w:spacing w:after="0" w:line="126"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color w:val="001446"/>
        </w:rPr>
        <w:t>For additional information regarding our cybersecurity governance and risk management, please refer to our Annual Report on Form 10-K for the year ended December 31, 2025, under the heading “Cybersecurity” in Item 1C.</w:t>
      </w:r>
    </w:p>
    <w:p>
      <w:pPr>
        <w:spacing w:after="0" w:line="75"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Board Committees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1446"/>
        </w:rPr>
        <w:t>Audit Committee</w:t>
      </w:r>
    </w:p>
    <w:p>
      <w:pPr>
        <w:spacing w:after="0" w:line="183" w:lineRule="exact"/>
        <w:rPr>
          <w:sz w:val="20"/>
          <w:szCs w:val="20"/>
          <w:color w:val="auto"/>
        </w:rPr>
      </w:pPr>
    </w:p>
    <w:p>
      <w:pPr>
        <w:ind w:right="460"/>
        <w:spacing w:after="0" w:line="299" w:lineRule="auto"/>
        <w:rPr>
          <w:sz w:val="20"/>
          <w:szCs w:val="20"/>
          <w:color w:val="auto"/>
        </w:rPr>
      </w:pPr>
      <w:r>
        <w:rPr>
          <w:rFonts w:ascii="Arial" w:cs="Arial" w:eastAsia="Arial" w:hAnsi="Arial"/>
          <w:sz w:val="14"/>
          <w:szCs w:val="14"/>
          <w:color w:val="001446"/>
        </w:rPr>
        <w:t>Our Board of Directors has established an Audit Committee, which operates under a written charter that is available on the “Corporate Governance” on the investor relations page on our website. The Audit Committee’s responsibilities include, but are not limited to:</w:t>
      </w:r>
    </w:p>
    <w:p>
      <w:pPr>
        <w:spacing w:after="0" w:line="103" w:lineRule="exact"/>
        <w:rPr>
          <w:sz w:val="20"/>
          <w:szCs w:val="20"/>
          <w:color w:val="auto"/>
        </w:rPr>
      </w:pP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Defining and emphasizing management’s and the board’s commitment to an environment that supports integrity in the financial reporting process;</w:t>
      </w:r>
    </w:p>
    <w:p>
      <w:pPr>
        <w:spacing w:after="0" w:line="11" w:lineRule="exact"/>
        <w:rPr>
          <w:rFonts w:ascii="Arial" w:cs="Arial" w:eastAsia="Arial" w:hAnsi="Arial"/>
          <w:sz w:val="14"/>
          <w:szCs w:val="14"/>
          <w:color w:val="FF0000"/>
        </w:rPr>
      </w:pPr>
    </w:p>
    <w:p>
      <w:pPr>
        <w:ind w:left="1000" w:right="660" w:hanging="284"/>
        <w:spacing w:after="0" w:line="250"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Assisting and representing the Board of Directors in discharging its oversight responsibilities over the accounting and financial reporting processes of both the Company and its subsidiaries;</w:t>
      </w: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Appointing, compensating, retaining, evaluating, terminating and overseeing our outside auditor;</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At least annually, overseeing processes for monitoring the outside auditor’s independence;</w:t>
      </w:r>
    </w:p>
    <w:p>
      <w:pPr>
        <w:spacing w:after="0" w:line="7" w:lineRule="exact"/>
        <w:rPr>
          <w:rFonts w:ascii="Arial" w:cs="Arial" w:eastAsia="Arial" w:hAnsi="Arial"/>
          <w:sz w:val="14"/>
          <w:szCs w:val="14"/>
          <w:color w:val="FF0000"/>
        </w:rPr>
      </w:pPr>
    </w:p>
    <w:p>
      <w:pPr>
        <w:ind w:left="1000" w:right="220" w:hanging="284"/>
        <w:spacing w:after="0" w:line="250"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Overseeing the implementation of new accounting standards by having the outside auditor report on a quarterly basis on accounting standards that could impact the Company’s business;</w:t>
      </w: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Reviewing with our outside auditor the matters required to be reviewed by applicable auditing requirements;</w:t>
      </w:r>
    </w:p>
    <w:p>
      <w:pPr>
        <w:spacing w:after="0" w:line="7" w:lineRule="exact"/>
        <w:rPr>
          <w:rFonts w:ascii="Arial" w:cs="Arial" w:eastAsia="Arial" w:hAnsi="Arial"/>
          <w:sz w:val="14"/>
          <w:szCs w:val="14"/>
          <w:color w:val="FF0000"/>
        </w:rPr>
      </w:pPr>
    </w:p>
    <w:p>
      <w:pPr>
        <w:ind w:left="1000" w:right="20" w:hanging="284"/>
        <w:spacing w:after="0" w:line="250"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Communicating with the outside auditor on matters related to the conduct of the audit and on critical audit matters expected to be described in the outside auditor’s report;</w:t>
      </w: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Approving in advance all audit and permissible non-audit services to be performed by our outside auditor;</w:t>
      </w:r>
    </w:p>
    <w:p>
      <w:pPr>
        <w:spacing w:after="0" w:line="7" w:lineRule="exact"/>
        <w:rPr>
          <w:rFonts w:ascii="Arial" w:cs="Arial" w:eastAsia="Arial" w:hAnsi="Arial"/>
          <w:sz w:val="14"/>
          <w:szCs w:val="14"/>
          <w:color w:val="FF0000"/>
        </w:rPr>
      </w:pPr>
    </w:p>
    <w:p>
      <w:pPr>
        <w:ind w:left="1000" w:right="220" w:hanging="284"/>
        <w:spacing w:after="0" w:line="250"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Meeting to review and discuss with management and the outside auditor the annual audited and quarterly financial statements of the company and the outside auditor’s reports related to the financial statements;</w:t>
      </w:r>
    </w:p>
    <w:p>
      <w:pPr>
        <w:ind w:left="1000" w:right="340" w:hanging="284"/>
        <w:spacing w:after="0" w:line="250"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Receiving reports from the outside auditor and management regarding, and reviewing and discussing the adequacy and effectiveness of, the company’s disclosure controls and procedures;</w:t>
      </w:r>
    </w:p>
    <w:p>
      <w:pPr>
        <w:ind w:left="1000" w:right="340" w:hanging="284"/>
        <w:spacing w:after="0" w:line="250"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Establishing and overseeing procedures for the confidential, anonymous submission of concerns regarding questionable accounting, internal controls, auditing and federal securities law matters;</w:t>
      </w:r>
    </w:p>
    <w:p>
      <w:pPr>
        <w:ind w:left="1000" w:right="60" w:hanging="284"/>
        <w:spacing w:after="0" w:line="254"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Overseeing the Company’s compliance program with respect to legal and regulatory requirements, including the Company’s code of conduct and the Company’s policies for monitoring compliance;</w:t>
      </w:r>
    </w:p>
    <w:p>
      <w:pPr>
        <w:spacing w:after="0" w:line="1" w:lineRule="exact"/>
        <w:rPr>
          <w:rFonts w:ascii="Arial" w:cs="Arial" w:eastAsia="Arial" w:hAnsi="Arial"/>
          <w:sz w:val="14"/>
          <w:szCs w:val="14"/>
          <w:color w:val="FF0000"/>
        </w:rPr>
      </w:pPr>
    </w:p>
    <w:p>
      <w:pPr>
        <w:ind w:left="1000" w:hanging="284"/>
        <w:spacing w:after="0" w:line="263" w:lineRule="auto"/>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Overseeing and participating in the resolution of internal control issues, where identified, including by meeting with the Company’s internal auditor, receiving reports of internal audits performed and overseeing implementation of recommendations by the internal auditor;</w:t>
      </w:r>
    </w:p>
    <w:p>
      <w:pPr>
        <w:spacing w:after="0" w:line="1" w:lineRule="exact"/>
        <w:rPr>
          <w:rFonts w:ascii="Arial" w:cs="Arial" w:eastAsia="Arial" w:hAnsi="Arial"/>
          <w:sz w:val="14"/>
          <w:szCs w:val="14"/>
          <w:color w:val="FF0000"/>
        </w:rPr>
      </w:pP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Assessing the Company’s risk management survey and the underlying internal audit plan;</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Establishing and periodically reviewing policies and procedures for the review, approval, and ratify related person transactions;</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3"/>
        </w:numPr>
        <w:rPr>
          <w:rFonts w:ascii="Arial" w:cs="Arial" w:eastAsia="Arial" w:hAnsi="Arial"/>
          <w:sz w:val="14"/>
          <w:szCs w:val="14"/>
          <w:color w:val="FF0000"/>
        </w:rPr>
      </w:pPr>
      <w:r>
        <w:rPr>
          <w:rFonts w:ascii="Arial" w:cs="Arial" w:eastAsia="Arial" w:hAnsi="Arial"/>
          <w:sz w:val="14"/>
          <w:szCs w:val="14"/>
          <w:color w:val="001446"/>
        </w:rPr>
        <w:t>Overseeing the preparation of the report of the Audit Committee that SEC rules require to be included in our annual proxy statement;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128905</wp:posOffset>
                </wp:positionV>
                <wp:extent cx="6532245" cy="58420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72" o:spid="_x0000_s1297" style="position:absolute;margin-left:-0.1499pt;margin-top:10.1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80"/>
          </w:cols>
          <w:pgMar w:left="820" w:top="1151" w:right="804" w:bottom="1440" w:gutter="0" w:footer="0" w:header="0"/>
        </w:sectPr>
      </w:pPr>
    </w:p>
    <w:bookmarkStart w:id="169" w:name="page170"/>
    <w:bookmarkEnd w:id="169"/>
    <w:p>
      <w:pPr>
        <w:ind w:left="1000" w:hanging="284"/>
        <w:spacing w:after="0"/>
        <w:tabs>
          <w:tab w:leader="none" w:pos="1000" w:val="left"/>
        </w:tabs>
        <w:numPr>
          <w:ilvl w:val="0"/>
          <w:numId w:val="84"/>
        </w:numPr>
        <w:rPr>
          <w:rFonts w:ascii="Arial" w:cs="Arial" w:eastAsia="Arial" w:hAnsi="Arial"/>
          <w:sz w:val="14"/>
          <w:szCs w:val="14"/>
          <w:color w:val="FF0000"/>
        </w:rPr>
      </w:pPr>
      <w:r>
        <w:rPr>
          <w:rFonts w:ascii="Arial" w:cs="Arial" w:eastAsia="Arial" w:hAnsi="Arial"/>
          <w:sz w:val="14"/>
          <w:szCs w:val="14"/>
          <w:color w:val="001446"/>
        </w:rPr>
        <w:t>Reviewing and understanding non-GAAP measures, and related company policies and disclosure controls.</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001446"/>
        </w:rPr>
        <w:t>Our Audit Committee, which met seven times in the year ended December 31, 2025, consists of Yoram Tietz, Guy Gecht , and Dana Gross, with Yoram Tietz serving as chairperson. Our Audit Committee has set meetings four times a year – dedicated to the review of our financial results /statements. Other matters are added to the agenda or additional meetings are scheduled on an as needed basis.</w:t>
      </w:r>
    </w:p>
    <w:p>
      <w:pPr>
        <w:spacing w:after="0" w:line="119" w:lineRule="exact"/>
        <w:rPr>
          <w:sz w:val="20"/>
          <w:szCs w:val="20"/>
          <w:color w:val="auto"/>
        </w:rPr>
      </w:pPr>
    </w:p>
    <w:p>
      <w:pPr>
        <w:spacing w:after="0" w:line="266" w:lineRule="auto"/>
        <w:rPr>
          <w:sz w:val="20"/>
          <w:szCs w:val="20"/>
          <w:color w:val="auto"/>
        </w:rPr>
      </w:pPr>
      <w:r>
        <w:rPr>
          <w:rFonts w:ascii="Arial" w:cs="Arial" w:eastAsia="Arial" w:hAnsi="Arial"/>
          <w:sz w:val="14"/>
          <w:szCs w:val="14"/>
          <w:color w:val="001446"/>
        </w:rPr>
        <w:t>The composition of our Audit Committee complies with the applicable requirements of the SEC and the listing requirements of Nasdaq. All of our Audit Committee members meet the additional, heightened independence criteria applicable to directors serving on the Audit Committee under the Nasdaq rules and SEC rules. Our Board of Directors has determined that Yoram Tietz, Dana Gross and Guy Gecht each qualify as an “Audit Committee financial expert” as defined by applicable SEC rules and has the requisite financial sophistication as defined under the applicable Nasdaq rules and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Committee</w:t>
      </w:r>
    </w:p>
    <w:p>
      <w:pPr>
        <w:spacing w:after="0" w:line="183"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color w:val="001446"/>
        </w:rPr>
        <w:t>Our Board of Directors has established a Compensation Committee, which operates under a written charter that is available on the “Corporate Governance” on the investor relations page on our website. The Compensation Committee’s responsibilities include, but are not limited to:</w:t>
      </w:r>
    </w:p>
    <w:p>
      <w:pPr>
        <w:spacing w:after="0" w:line="103" w:lineRule="exact"/>
        <w:rPr>
          <w:sz w:val="20"/>
          <w:szCs w:val="20"/>
          <w:color w:val="auto"/>
        </w:rPr>
      </w:pPr>
    </w:p>
    <w:p>
      <w:pPr>
        <w:ind w:left="1000" w:hanging="284"/>
        <w:spacing w:after="0"/>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Overseeing our overall compensation philosophy, policies, and programs;</w:t>
      </w:r>
    </w:p>
    <w:p>
      <w:pPr>
        <w:spacing w:after="0" w:line="11" w:lineRule="exact"/>
        <w:rPr>
          <w:rFonts w:ascii="Arial" w:cs="Arial" w:eastAsia="Arial" w:hAnsi="Arial"/>
          <w:sz w:val="14"/>
          <w:szCs w:val="14"/>
          <w:color w:val="FF0000"/>
        </w:rPr>
      </w:pPr>
    </w:p>
    <w:p>
      <w:pPr>
        <w:jc w:val="both"/>
        <w:ind w:left="1000" w:right="580" w:hanging="284"/>
        <w:spacing w:after="0" w:line="250" w:lineRule="auto"/>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Reviewing and approving corporate goals and objectives relevant to the compensation of our chief executive officer, evaluating the chief executive officer’s performance in light of those goals and objectives, approving grants of equity awards to the chief executive officer and recommending to the independent directors the chief executive officer’s compensation level based on this evaluation;</w:t>
      </w:r>
    </w:p>
    <w:p>
      <w:pPr>
        <w:ind w:left="1000" w:right="140" w:hanging="284"/>
        <w:spacing w:after="0" w:line="250" w:lineRule="auto"/>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Overseeing the evaluation of other executive officers and approving equity awards to these officers, and setting their compensation based upon the recommendation of the chief executive officer;</w:t>
      </w:r>
    </w:p>
    <w:p>
      <w:pPr>
        <w:ind w:left="1000" w:hanging="284"/>
        <w:spacing w:after="0"/>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Reviewing and approving the design of other benefit plans pertaining to executive officers;</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Reviewing and approving employment agreements and other similar arrangements between us and our executive officers;</w:t>
      </w:r>
    </w:p>
    <w:p>
      <w:pPr>
        <w:spacing w:after="0" w:line="7" w:lineRule="exact"/>
        <w:rPr>
          <w:rFonts w:ascii="Arial" w:cs="Arial" w:eastAsia="Arial" w:hAnsi="Arial"/>
          <w:sz w:val="14"/>
          <w:szCs w:val="14"/>
          <w:color w:val="FF0000"/>
        </w:rPr>
      </w:pPr>
    </w:p>
    <w:p>
      <w:pPr>
        <w:ind w:left="1000" w:right="260" w:hanging="284"/>
        <w:spacing w:after="0" w:line="250" w:lineRule="auto"/>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Overseeing preparation of the report of the compensation committee to the extent required by SEC rules to be included in our annual meeting proxy statement;</w:t>
      </w:r>
    </w:p>
    <w:p>
      <w:pPr>
        <w:ind w:left="1000" w:hanging="284"/>
        <w:spacing w:after="0"/>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Overseeing the Company’s engagement efforts with stockholders on the subject of executive compensation; and</w:t>
      </w:r>
    </w:p>
    <w:p>
      <w:pPr>
        <w:spacing w:after="0" w:line="7" w:lineRule="exact"/>
        <w:rPr>
          <w:rFonts w:ascii="Arial" w:cs="Arial" w:eastAsia="Arial" w:hAnsi="Arial"/>
          <w:sz w:val="14"/>
          <w:szCs w:val="14"/>
          <w:color w:val="FF0000"/>
        </w:rPr>
      </w:pPr>
    </w:p>
    <w:p>
      <w:pPr>
        <w:ind w:left="1000" w:right="240" w:hanging="284"/>
        <w:spacing w:after="0" w:line="293" w:lineRule="auto"/>
        <w:tabs>
          <w:tab w:leader="none" w:pos="1000" w:val="left"/>
        </w:tabs>
        <w:numPr>
          <w:ilvl w:val="0"/>
          <w:numId w:val="85"/>
        </w:numPr>
        <w:rPr>
          <w:rFonts w:ascii="Arial" w:cs="Arial" w:eastAsia="Arial" w:hAnsi="Arial"/>
          <w:sz w:val="14"/>
          <w:szCs w:val="14"/>
          <w:color w:val="FF0000"/>
        </w:rPr>
      </w:pPr>
      <w:r>
        <w:rPr>
          <w:rFonts w:ascii="Arial" w:cs="Arial" w:eastAsia="Arial" w:hAnsi="Arial"/>
          <w:sz w:val="14"/>
          <w:szCs w:val="14"/>
          <w:color w:val="001446"/>
        </w:rPr>
        <w:t>Overseeing the Company’s strategies and policies related to human capital management, including with respect to matters such as workplace environment and culture, employee health and safety and talent development and retention.</w:t>
      </w:r>
    </w:p>
    <w:p>
      <w:pPr>
        <w:spacing w:after="0" w:line="107"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001446"/>
        </w:rPr>
        <w:t>Our Compensation Committee may delegate its duties and responsibilities to one or more subcommittees, consisting of not less than two members of the Compensation Committee, as it determines appropriate. Our Compensation Committee, which met three times during the year ended December 31, 2025, consists of Yoram Tietz, Dana Gross, and Betsy Atkins, with Dana Gross serving as chairperson. The composition of our Compensation Committee meets the requirements for independence under the applicable rules and regulations of the SEC and the Nasdaq Global Select Market. Each member of the Compensation Committee is also a non-employee director, as defined pursuant to Rule 16b-3 promulgated under the Securities Exchange Act of 1934, as amended (the “Exchange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201295</wp:posOffset>
                </wp:positionV>
                <wp:extent cx="6532245" cy="583565"/>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274" o:spid="_x0000_s1299" style="position:absolute;margin-left:-0.1499pt;margin-top:15.8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60"/>
          </w:cols>
          <w:pgMar w:left="820" w:top="1168" w:right="824"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001446"/>
        </w:rPr>
        <w:t>Compensation Committee Interlocks and Insider Participation</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4"/>
          <w:szCs w:val="14"/>
          <w:color w:val="001446"/>
        </w:rPr>
        <w:t>During 2025, our Compensation Committee consisted of Dana Gross, Betsy Atkins, Yoram Tietz, and Nadav Zafrir. None of the members of our Compensation Committee is, or was during the year ended December 31, 2025, an officer or employee of the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1446"/>
        </w:rPr>
        <w:t>Nominating and Corporate Governance Committee</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001446"/>
        </w:rPr>
        <w:t>Our Board of Directors has established a Nominating and Corporate Governance Committee, which operates under a written charter that is available on that is available on the “Corporate Governance” on the investor relations page on our website. The Nominating and Corporate Governance Committee’s responsibilities include, but are not limited to:</w:t>
      </w:r>
    </w:p>
    <w:p>
      <w:pPr>
        <w:spacing w:after="0" w:line="119" w:lineRule="exact"/>
        <w:rPr>
          <w:sz w:val="20"/>
          <w:szCs w:val="20"/>
          <w:color w:val="auto"/>
        </w:rPr>
      </w:pP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Developing and recommending to the board criteria for identifying and evaluating director candidates and periodically reviewing these criteria;</w:t>
      </w:r>
    </w:p>
    <w:p>
      <w:pPr>
        <w:spacing w:after="0" w:line="11" w:lineRule="exact"/>
        <w:rPr>
          <w:rFonts w:ascii="Arial" w:cs="Arial" w:eastAsia="Arial" w:hAnsi="Arial"/>
          <w:sz w:val="14"/>
          <w:szCs w:val="14"/>
          <w:color w:val="FF0000"/>
        </w:rPr>
      </w:pP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Identifying individuals qualified to become members of our board of directors, consistent with criteria approved by our board of directors;</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Assessing the contributions and independence of incumbent directors in determining whether to recommend them for reelection to the board;</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Developing and recommending to our board of directors a set of corporate governance guidelines and principles;</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Establishing procedures for the consideration of board candidates recommended by the company’s stockholders;</w:t>
      </w:r>
    </w:p>
    <w:p>
      <w:pPr>
        <w:spacing w:after="0" w:line="7" w:lineRule="exact"/>
        <w:rPr>
          <w:rFonts w:ascii="Arial" w:cs="Arial" w:eastAsia="Arial" w:hAnsi="Arial"/>
          <w:sz w:val="14"/>
          <w:szCs w:val="14"/>
          <w:color w:val="FF0000"/>
        </w:rPr>
      </w:pPr>
    </w:p>
    <w:p>
      <w:pPr>
        <w:ind w:left="1000" w:hanging="284"/>
        <w:spacing w:after="0" w:line="250" w:lineRule="auto"/>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Recommending to the board candidates to be elected by the board to fill vacancies and newly created directorships and candidates for election or reelection at each annual stockholders’ meeting;</w:t>
      </w:r>
    </w:p>
    <w:p>
      <w:pPr>
        <w:ind w:left="1000" w:right="100" w:hanging="284"/>
        <w:spacing w:after="0" w:line="250" w:lineRule="auto"/>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Periodically reviewing the board’s leadership structure, size, composition, and functioning; Overseeing succession planning for positions held by executive offices;</w:t>
      </w: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Overseeing the evaluation of the board and its committees;</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Overseeing the orientation process for new directors and ongoing education for directors;</w:t>
      </w:r>
    </w:p>
    <w:p>
      <w:pPr>
        <w:spacing w:after="0" w:line="7" w:lineRule="exact"/>
        <w:rPr>
          <w:rFonts w:ascii="Arial" w:cs="Arial" w:eastAsia="Arial" w:hAnsi="Arial"/>
          <w:sz w:val="14"/>
          <w:szCs w:val="14"/>
          <w:color w:val="FF0000"/>
        </w:rPr>
      </w:pPr>
    </w:p>
    <w:p>
      <w:pPr>
        <w:ind w:left="1000" w:right="180" w:hanging="284"/>
        <w:spacing w:after="0" w:line="250" w:lineRule="auto"/>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Annually reviewing the compensation of directors for service on the board and its committees and recommend changes in compensation to the board, as appropriate; and</w:t>
      </w:r>
    </w:p>
    <w:p>
      <w:pPr>
        <w:ind w:left="1000" w:hanging="284"/>
        <w:spacing w:after="0"/>
        <w:tabs>
          <w:tab w:leader="none" w:pos="1000" w:val="left"/>
        </w:tabs>
        <w:numPr>
          <w:ilvl w:val="0"/>
          <w:numId w:val="86"/>
        </w:numPr>
        <w:rPr>
          <w:rFonts w:ascii="Arial" w:cs="Arial" w:eastAsia="Arial" w:hAnsi="Arial"/>
          <w:sz w:val="14"/>
          <w:szCs w:val="14"/>
          <w:color w:val="FF0000"/>
        </w:rPr>
      </w:pPr>
      <w:r>
        <w:rPr>
          <w:rFonts w:ascii="Arial" w:cs="Arial" w:eastAsia="Arial" w:hAnsi="Arial"/>
          <w:sz w:val="14"/>
          <w:szCs w:val="14"/>
          <w:color w:val="001446"/>
        </w:rPr>
        <w:t>Overseeing and making recommendations to the board regarding sustainability matters.</w:t>
      </w:r>
    </w:p>
    <w:p>
      <w:pPr>
        <w:spacing w:after="0" w:line="171" w:lineRule="exact"/>
        <w:rPr>
          <w:sz w:val="20"/>
          <w:szCs w:val="20"/>
          <w:color w:val="auto"/>
        </w:rPr>
      </w:pPr>
    </w:p>
    <w:p>
      <w:pPr>
        <w:jc w:val="both"/>
        <w:ind w:right="140"/>
        <w:spacing w:after="0" w:line="275" w:lineRule="auto"/>
        <w:rPr>
          <w:sz w:val="20"/>
          <w:szCs w:val="20"/>
          <w:color w:val="auto"/>
        </w:rPr>
      </w:pPr>
      <w:r>
        <w:rPr>
          <w:rFonts w:ascii="Arial" w:cs="Arial" w:eastAsia="Arial" w:hAnsi="Arial"/>
          <w:sz w:val="14"/>
          <w:szCs w:val="14"/>
          <w:color w:val="001446"/>
        </w:rPr>
        <w:t>Our Nominating and Corporate Governance Committee, which met two times during the year ended December 31, 2025, consists of Betsy Atkins, Yoram Tietz, and Avery More with Betsy Atkins serving as chairperson. The composition of our nominating and corporate governance committee meets the requirements for independence under the applicable rules of the Nasdaq Global Select Market.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001446"/>
        </w:rPr>
        <w:t>Technology and Cyber Committee</w:t>
      </w:r>
    </w:p>
    <w:p>
      <w:pPr>
        <w:spacing w:after="0" w:line="183"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color w:val="001446"/>
        </w:rPr>
        <w:t>Our Board of Directors has established a Technology Committee, which operates under a written charter that is available on the “Corporate Governance” on the investor relations page on our website. The Technology Committee’s main responsibilities include, but are not limited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75565</wp:posOffset>
                </wp:positionV>
                <wp:extent cx="6532245" cy="58420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76" o:spid="_x0000_s1301" style="position:absolute;margin-left:-0.1499pt;margin-top:5.9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60"/>
          </w:cols>
          <w:pgMar w:left="820" w:top="1139" w:right="824" w:bottom="1440" w:gutter="0" w:footer="0" w:header="0"/>
        </w:sectPr>
      </w:pPr>
    </w:p>
    <w:bookmarkStart w:id="171" w:name="page172"/>
    <w:bookmarkEnd w:id="171"/>
    <w:p>
      <w:pPr>
        <w:ind w:left="1000" w:hanging="284"/>
        <w:spacing w:after="0"/>
        <w:tabs>
          <w:tab w:leader="none" w:pos="1000" w:val="left"/>
        </w:tabs>
        <w:numPr>
          <w:ilvl w:val="0"/>
          <w:numId w:val="87"/>
        </w:numPr>
        <w:rPr>
          <w:rFonts w:ascii="Arial" w:cs="Arial" w:eastAsia="Arial" w:hAnsi="Arial"/>
          <w:sz w:val="14"/>
          <w:szCs w:val="14"/>
          <w:color w:val="FF0000"/>
        </w:rPr>
      </w:pPr>
      <w:r>
        <w:rPr>
          <w:rFonts w:ascii="Arial" w:cs="Arial" w:eastAsia="Arial" w:hAnsi="Arial"/>
          <w:sz w:val="14"/>
          <w:szCs w:val="14"/>
          <w:color w:val="001446"/>
        </w:rPr>
        <w:t>Overseeing the Company’s technology related strategies, processes, and programs;</w:t>
      </w:r>
    </w:p>
    <w:p>
      <w:pPr>
        <w:spacing w:after="0" w:line="11" w:lineRule="exact"/>
        <w:rPr>
          <w:rFonts w:ascii="Arial" w:cs="Arial" w:eastAsia="Arial" w:hAnsi="Arial"/>
          <w:sz w:val="14"/>
          <w:szCs w:val="14"/>
          <w:color w:val="FF0000"/>
        </w:rPr>
      </w:pPr>
    </w:p>
    <w:p>
      <w:pPr>
        <w:ind w:left="1000" w:hanging="284"/>
        <w:spacing w:after="0"/>
        <w:tabs>
          <w:tab w:leader="none" w:pos="1000" w:val="left"/>
        </w:tabs>
        <w:numPr>
          <w:ilvl w:val="0"/>
          <w:numId w:val="87"/>
        </w:numPr>
        <w:rPr>
          <w:rFonts w:ascii="Arial" w:cs="Arial" w:eastAsia="Arial" w:hAnsi="Arial"/>
          <w:sz w:val="14"/>
          <w:szCs w:val="14"/>
          <w:color w:val="FF0000"/>
        </w:rPr>
      </w:pPr>
      <w:r>
        <w:rPr>
          <w:rFonts w:ascii="Arial" w:cs="Arial" w:eastAsia="Arial" w:hAnsi="Arial"/>
          <w:sz w:val="14"/>
          <w:szCs w:val="14"/>
          <w:color w:val="001446"/>
        </w:rPr>
        <w:t>Reviewing periodically plans, strategy and implementation of new technology, product, manufacturing plans and quality and reliability plans;</w:t>
      </w:r>
    </w:p>
    <w:p>
      <w:pPr>
        <w:spacing w:after="0" w:line="7" w:lineRule="exact"/>
        <w:rPr>
          <w:rFonts w:ascii="Arial" w:cs="Arial" w:eastAsia="Arial" w:hAnsi="Arial"/>
          <w:sz w:val="14"/>
          <w:szCs w:val="14"/>
          <w:color w:val="FF0000"/>
        </w:rPr>
      </w:pPr>
    </w:p>
    <w:p>
      <w:pPr>
        <w:ind w:left="1000" w:hanging="284"/>
        <w:spacing w:after="0"/>
        <w:tabs>
          <w:tab w:leader="none" w:pos="1000" w:val="left"/>
        </w:tabs>
        <w:numPr>
          <w:ilvl w:val="0"/>
          <w:numId w:val="87"/>
        </w:numPr>
        <w:rPr>
          <w:rFonts w:ascii="Arial" w:cs="Arial" w:eastAsia="Arial" w:hAnsi="Arial"/>
          <w:sz w:val="14"/>
          <w:szCs w:val="14"/>
          <w:color w:val="FF0000"/>
        </w:rPr>
      </w:pPr>
      <w:r>
        <w:rPr>
          <w:rFonts w:ascii="Arial" w:cs="Arial" w:eastAsia="Arial" w:hAnsi="Arial"/>
          <w:sz w:val="14"/>
          <w:szCs w:val="14"/>
          <w:color w:val="001446"/>
        </w:rPr>
        <w:t>Reviewing benefits, risks and potential risk mitigation measures associated with proposed technology advancement programs;</w:t>
      </w:r>
    </w:p>
    <w:p>
      <w:pPr>
        <w:spacing w:after="0" w:line="7" w:lineRule="exact"/>
        <w:rPr>
          <w:rFonts w:ascii="Arial" w:cs="Arial" w:eastAsia="Arial" w:hAnsi="Arial"/>
          <w:sz w:val="14"/>
          <w:szCs w:val="14"/>
          <w:color w:val="FF0000"/>
        </w:rPr>
      </w:pPr>
    </w:p>
    <w:p>
      <w:pPr>
        <w:ind w:left="1000" w:right="200" w:hanging="284"/>
        <w:spacing w:after="0" w:line="250" w:lineRule="auto"/>
        <w:tabs>
          <w:tab w:leader="none" w:pos="1000" w:val="left"/>
        </w:tabs>
        <w:numPr>
          <w:ilvl w:val="0"/>
          <w:numId w:val="87"/>
        </w:numPr>
        <w:rPr>
          <w:rFonts w:ascii="Arial" w:cs="Arial" w:eastAsia="Arial" w:hAnsi="Arial"/>
          <w:sz w:val="14"/>
          <w:szCs w:val="14"/>
          <w:color w:val="FF0000"/>
        </w:rPr>
      </w:pPr>
      <w:r>
        <w:rPr>
          <w:rFonts w:ascii="Arial" w:cs="Arial" w:eastAsia="Arial" w:hAnsi="Arial"/>
          <w:sz w:val="14"/>
          <w:szCs w:val="14"/>
          <w:color w:val="001446"/>
        </w:rPr>
        <w:t>Reviewing the status of ongoing and proposed technology development with an emphasis on results measured against goals set from time to time;</w:t>
      </w:r>
    </w:p>
    <w:p>
      <w:pPr>
        <w:ind w:left="1000" w:right="360" w:hanging="284"/>
        <w:spacing w:after="0" w:line="250" w:lineRule="auto"/>
        <w:tabs>
          <w:tab w:leader="none" w:pos="1000" w:val="left"/>
        </w:tabs>
        <w:numPr>
          <w:ilvl w:val="0"/>
          <w:numId w:val="87"/>
        </w:numPr>
        <w:rPr>
          <w:rFonts w:ascii="Arial" w:cs="Arial" w:eastAsia="Arial" w:hAnsi="Arial"/>
          <w:sz w:val="14"/>
          <w:szCs w:val="14"/>
          <w:color w:val="FF0000"/>
        </w:rPr>
      </w:pPr>
      <w:r>
        <w:rPr>
          <w:rFonts w:ascii="Arial" w:cs="Arial" w:eastAsia="Arial" w:hAnsi="Arial"/>
          <w:sz w:val="14"/>
          <w:szCs w:val="14"/>
          <w:color w:val="001446"/>
        </w:rPr>
        <w:t>Reviewing actions and risks associated with any current shortfalls in product performance, quality, or reliability and manufacturing methods including any product security; and</w:t>
      </w:r>
    </w:p>
    <w:p>
      <w:pPr>
        <w:ind w:left="1000" w:right="20" w:hanging="284"/>
        <w:spacing w:after="0" w:line="293" w:lineRule="auto"/>
        <w:tabs>
          <w:tab w:leader="none" w:pos="1000" w:val="left"/>
        </w:tabs>
        <w:numPr>
          <w:ilvl w:val="0"/>
          <w:numId w:val="87"/>
        </w:numPr>
        <w:rPr>
          <w:rFonts w:ascii="Arial" w:cs="Arial" w:eastAsia="Arial" w:hAnsi="Arial"/>
          <w:sz w:val="14"/>
          <w:szCs w:val="14"/>
          <w:color w:val="FF0000"/>
        </w:rPr>
      </w:pPr>
      <w:r>
        <w:rPr>
          <w:rFonts w:ascii="Arial" w:cs="Arial" w:eastAsia="Arial" w:hAnsi="Arial"/>
          <w:sz w:val="14"/>
          <w:szCs w:val="14"/>
          <w:color w:val="001446"/>
        </w:rPr>
        <w:t>Reviewing risks identified with cyber-related exposure, including any incidents may have arisen and measures taken and/or recommended to be taken to protect the Company’s assets.</w:t>
      </w:r>
    </w:p>
    <w:p>
      <w:pPr>
        <w:spacing w:after="0" w:line="10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color w:val="001446"/>
        </w:rPr>
        <w:t>Our Technology and Cyber Committee, which met five times during the year ended December 31, 2025 consists of Betsy Atkins, Guy Gecht, Gilad Almogy, and Avery More, with Guy Gecht serving as chairperson.</w:t>
      </w:r>
    </w:p>
    <w:p>
      <w:pPr>
        <w:spacing w:after="0" w:line="75"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Policy Regarding Stockholder Recommendations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4">
                          <a:solidFill>
                            <a:srgbClr val="FF3232"/>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2pt"/>
            </w:pict>
          </mc:Fallback>
        </mc:AlternateConten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4"/>
          <w:szCs w:val="14"/>
          <w:color w:val="001446"/>
        </w:rPr>
        <w:t>The Company identifies new director candidates through a variety of sources. The Nominating and Corporate Governance Committee will consider director candidates recommended by stockholders in the same manner it considers other candidates, as described above.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Company’s Corporate Secretary at 1 HaMada Street, Herziliya Pituach, Israel, 4673335.</w:t>
      </w:r>
    </w:p>
    <w:p>
      <w:pPr>
        <w:spacing w:after="0" w:line="12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001446"/>
        </w:rPr>
        <w:t>Stockholders may also submit director nominees by adhering to the advance notice procedure described under “Stockholder Proposals” elsewhere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74930</wp:posOffset>
                </wp:positionV>
                <wp:extent cx="6532245" cy="58420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279" o:spid="_x0000_s1304" style="position:absolute;margin-left:-0.1499pt;margin-top:5.9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180"/>
          </w:cols>
          <w:pgMar w:left="820" w:top="983" w:right="904" w:bottom="1440" w:gutter="0" w:footer="0" w:header="0"/>
        </w:sectPr>
      </w:pPr>
    </w:p>
    <w:bookmarkStart w:id="172" w:name="page173"/>
    <w:bookmarkEnd w:id="172"/>
    <w:p>
      <w:pPr>
        <w:spacing w:after="0"/>
        <w:rPr>
          <w:sz w:val="20"/>
          <w:szCs w:val="20"/>
          <w:color w:val="auto"/>
        </w:rPr>
      </w:pPr>
      <w:r>
        <w:rPr>
          <w:rFonts w:ascii="Arial" w:cs="Arial" w:eastAsia="Arial" w:hAnsi="Arial"/>
          <w:sz w:val="38"/>
          <w:szCs w:val="38"/>
          <w:b w:val="1"/>
          <w:bCs w:val="1"/>
          <w:color w:val="auto"/>
        </w:rPr>
        <w:t>Director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001346"/>
        </w:rPr>
        <w:t>Each of our non-employee directors is eligible to receive compensation for their service on our Board of Directors consisting of annual cash retainers and equity awards. The table below reflects the cash compensation of our directors in effect in 2025, which was paid in quarterly installments. Directors serving as chairs of committees do not receive additional compensation for serving as general members of the committees they chair. On July 22, 2024, the Board agreed to voluntarily reduce their cash retainers by 20%, effective July 1, 2024, to support the Company’s cash conservation efforts. Such voluntary reduction of cash retainers remains in effect as set forth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0" w:type="dxa"/>
            <w:vAlign w:val="bottom"/>
            <w:shd w:val="clear" w:color="auto" w:fill="001446"/>
          </w:tcPr>
          <w:p>
            <w:pPr>
              <w:ind w:left="80"/>
              <w:spacing w:after="0"/>
              <w:rPr>
                <w:sz w:val="20"/>
                <w:szCs w:val="20"/>
                <w:color w:val="auto"/>
              </w:rPr>
            </w:pPr>
            <w:r>
              <w:rPr>
                <w:rFonts w:ascii="Arial" w:cs="Arial" w:eastAsia="Arial" w:hAnsi="Arial"/>
                <w:sz w:val="14"/>
                <w:szCs w:val="14"/>
                <w:b w:val="1"/>
                <w:bCs w:val="1"/>
                <w:color w:val="FFFFFF"/>
              </w:rPr>
              <w:t>Position</w:t>
            </w:r>
          </w:p>
        </w:tc>
        <w:tc>
          <w:tcPr>
            <w:tcW w:w="4480" w:type="dxa"/>
            <w:vAlign w:val="bottom"/>
            <w:shd w:val="clear" w:color="auto" w:fill="001446"/>
          </w:tcPr>
          <w:p>
            <w:pPr>
              <w:ind w:left="1200"/>
              <w:spacing w:after="0"/>
              <w:rPr>
                <w:sz w:val="20"/>
                <w:szCs w:val="20"/>
                <w:color w:val="auto"/>
              </w:rPr>
            </w:pPr>
            <w:r>
              <w:rPr>
                <w:rFonts w:ascii="Arial" w:cs="Arial" w:eastAsia="Arial" w:hAnsi="Arial"/>
                <w:sz w:val="14"/>
                <w:szCs w:val="14"/>
                <w:b w:val="1"/>
                <w:bCs w:val="1"/>
                <w:color w:val="FFFFFF"/>
              </w:rPr>
              <w:t>2025 Annual Reduced Retainers($)</w:t>
            </w:r>
          </w:p>
        </w:tc>
      </w:tr>
      <w:tr>
        <w:trPr>
          <w:trHeight w:val="168"/>
        </w:trPr>
        <w:tc>
          <w:tcPr>
            <w:tcW w:w="580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Chairperson of the Board</w:t>
            </w:r>
          </w:p>
        </w:tc>
        <w:tc>
          <w:tcPr>
            <w:tcW w:w="4480" w:type="dxa"/>
            <w:vAlign w:val="bottom"/>
            <w:shd w:val="clear" w:color="auto" w:fill="F2F2F2"/>
          </w:tcPr>
          <w:p>
            <w:pPr>
              <w:jc w:val="center"/>
              <w:ind w:left="208"/>
              <w:spacing w:after="0"/>
              <w:rPr>
                <w:sz w:val="20"/>
                <w:szCs w:val="20"/>
                <w:color w:val="auto"/>
              </w:rPr>
            </w:pPr>
            <w:r>
              <w:rPr>
                <w:rFonts w:ascii="Arial" w:cs="Arial" w:eastAsia="Arial" w:hAnsi="Arial"/>
                <w:sz w:val="14"/>
                <w:szCs w:val="14"/>
                <w:color w:val="001346"/>
              </w:rPr>
              <w:t>264,000</w:t>
            </w:r>
          </w:p>
        </w:tc>
      </w:tr>
      <w:tr>
        <w:trPr>
          <w:trHeight w:val="168"/>
        </w:trPr>
        <w:tc>
          <w:tcPr>
            <w:tcW w:w="5800" w:type="dxa"/>
            <w:vAlign w:val="bottom"/>
          </w:tcPr>
          <w:p>
            <w:pPr>
              <w:ind w:left="80"/>
              <w:spacing w:after="0"/>
              <w:rPr>
                <w:sz w:val="20"/>
                <w:szCs w:val="20"/>
                <w:color w:val="auto"/>
              </w:rPr>
            </w:pPr>
            <w:r>
              <w:rPr>
                <w:rFonts w:ascii="Arial" w:cs="Arial" w:eastAsia="Arial" w:hAnsi="Arial"/>
                <w:sz w:val="14"/>
                <w:szCs w:val="14"/>
                <w:color w:val="001346"/>
              </w:rPr>
              <w:t>Board Member</w:t>
            </w:r>
          </w:p>
        </w:tc>
        <w:tc>
          <w:tcPr>
            <w:tcW w:w="4480" w:type="dxa"/>
            <w:vAlign w:val="bottom"/>
          </w:tcPr>
          <w:p>
            <w:pPr>
              <w:jc w:val="center"/>
              <w:ind w:left="208"/>
              <w:spacing w:after="0"/>
              <w:rPr>
                <w:sz w:val="20"/>
                <w:szCs w:val="20"/>
                <w:color w:val="auto"/>
              </w:rPr>
            </w:pPr>
            <w:r>
              <w:rPr>
                <w:rFonts w:ascii="Arial" w:cs="Arial" w:eastAsia="Arial" w:hAnsi="Arial"/>
                <w:sz w:val="14"/>
                <w:szCs w:val="14"/>
                <w:color w:val="001346"/>
              </w:rPr>
              <w:t>56,000</w:t>
            </w:r>
          </w:p>
        </w:tc>
      </w:tr>
      <w:tr>
        <w:trPr>
          <w:trHeight w:val="168"/>
        </w:trPr>
        <w:tc>
          <w:tcPr>
            <w:tcW w:w="580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Audit Committee Chair</w:t>
            </w:r>
          </w:p>
        </w:tc>
        <w:tc>
          <w:tcPr>
            <w:tcW w:w="4480" w:type="dxa"/>
            <w:vAlign w:val="bottom"/>
            <w:shd w:val="clear" w:color="auto" w:fill="F2F2F2"/>
          </w:tcPr>
          <w:p>
            <w:pPr>
              <w:jc w:val="center"/>
              <w:ind w:left="208"/>
              <w:spacing w:after="0"/>
              <w:rPr>
                <w:sz w:val="20"/>
                <w:szCs w:val="20"/>
                <w:color w:val="auto"/>
              </w:rPr>
            </w:pPr>
            <w:r>
              <w:rPr>
                <w:rFonts w:ascii="Arial" w:cs="Arial" w:eastAsia="Arial" w:hAnsi="Arial"/>
                <w:sz w:val="14"/>
                <w:szCs w:val="14"/>
                <w:color w:val="001346"/>
              </w:rPr>
              <w:t>26,000</w:t>
            </w:r>
          </w:p>
        </w:tc>
      </w:tr>
      <w:tr>
        <w:trPr>
          <w:trHeight w:val="168"/>
        </w:trPr>
        <w:tc>
          <w:tcPr>
            <w:tcW w:w="5800" w:type="dxa"/>
            <w:vAlign w:val="bottom"/>
          </w:tcPr>
          <w:p>
            <w:pPr>
              <w:ind w:left="80"/>
              <w:spacing w:after="0"/>
              <w:rPr>
                <w:sz w:val="20"/>
                <w:szCs w:val="20"/>
                <w:color w:val="auto"/>
              </w:rPr>
            </w:pPr>
            <w:r>
              <w:rPr>
                <w:rFonts w:ascii="Arial" w:cs="Arial" w:eastAsia="Arial" w:hAnsi="Arial"/>
                <w:sz w:val="14"/>
                <w:szCs w:val="14"/>
                <w:color w:val="001346"/>
              </w:rPr>
              <w:t>Compensation Committee Chair</w:t>
            </w:r>
          </w:p>
        </w:tc>
        <w:tc>
          <w:tcPr>
            <w:tcW w:w="4480" w:type="dxa"/>
            <w:vAlign w:val="bottom"/>
          </w:tcPr>
          <w:p>
            <w:pPr>
              <w:jc w:val="center"/>
              <w:ind w:left="208"/>
              <w:spacing w:after="0"/>
              <w:rPr>
                <w:sz w:val="20"/>
                <w:szCs w:val="20"/>
                <w:color w:val="auto"/>
              </w:rPr>
            </w:pPr>
            <w:r>
              <w:rPr>
                <w:rFonts w:ascii="Arial" w:cs="Arial" w:eastAsia="Arial" w:hAnsi="Arial"/>
                <w:sz w:val="14"/>
                <w:szCs w:val="14"/>
                <w:color w:val="001346"/>
              </w:rPr>
              <w:t>18,000</w:t>
            </w:r>
          </w:p>
        </w:tc>
      </w:tr>
      <w:tr>
        <w:trPr>
          <w:trHeight w:val="168"/>
        </w:trPr>
        <w:tc>
          <w:tcPr>
            <w:tcW w:w="580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Nominating and Corporate Governance Committee Chair</w:t>
            </w:r>
          </w:p>
        </w:tc>
        <w:tc>
          <w:tcPr>
            <w:tcW w:w="4480" w:type="dxa"/>
            <w:vAlign w:val="bottom"/>
            <w:shd w:val="clear" w:color="auto" w:fill="F2F2F2"/>
          </w:tcPr>
          <w:p>
            <w:pPr>
              <w:jc w:val="center"/>
              <w:ind w:left="208"/>
              <w:spacing w:after="0"/>
              <w:rPr>
                <w:sz w:val="20"/>
                <w:szCs w:val="20"/>
                <w:color w:val="auto"/>
              </w:rPr>
            </w:pPr>
            <w:r>
              <w:rPr>
                <w:rFonts w:ascii="Arial" w:cs="Arial" w:eastAsia="Arial" w:hAnsi="Arial"/>
                <w:sz w:val="14"/>
                <w:szCs w:val="14"/>
                <w:color w:val="001346"/>
              </w:rPr>
              <w:t>12,000</w:t>
            </w:r>
          </w:p>
        </w:tc>
      </w:tr>
      <w:tr>
        <w:trPr>
          <w:trHeight w:val="168"/>
        </w:trPr>
        <w:tc>
          <w:tcPr>
            <w:tcW w:w="5800" w:type="dxa"/>
            <w:vAlign w:val="bottom"/>
          </w:tcPr>
          <w:p>
            <w:pPr>
              <w:ind w:left="80"/>
              <w:spacing w:after="0"/>
              <w:rPr>
                <w:sz w:val="20"/>
                <w:szCs w:val="20"/>
                <w:color w:val="auto"/>
              </w:rPr>
            </w:pPr>
            <w:r>
              <w:rPr>
                <w:rFonts w:ascii="Arial" w:cs="Arial" w:eastAsia="Arial" w:hAnsi="Arial"/>
                <w:sz w:val="14"/>
                <w:szCs w:val="14"/>
                <w:color w:val="001346"/>
              </w:rPr>
              <w:t>Technology and Cyber Committee Chair</w:t>
            </w:r>
          </w:p>
        </w:tc>
        <w:tc>
          <w:tcPr>
            <w:tcW w:w="4480" w:type="dxa"/>
            <w:vAlign w:val="bottom"/>
          </w:tcPr>
          <w:p>
            <w:pPr>
              <w:jc w:val="center"/>
              <w:ind w:left="208"/>
              <w:spacing w:after="0"/>
              <w:rPr>
                <w:sz w:val="20"/>
                <w:szCs w:val="20"/>
                <w:color w:val="auto"/>
              </w:rPr>
            </w:pPr>
            <w:r>
              <w:rPr>
                <w:rFonts w:ascii="Arial" w:cs="Arial" w:eastAsia="Arial" w:hAnsi="Arial"/>
                <w:sz w:val="14"/>
                <w:szCs w:val="14"/>
                <w:color w:val="001346"/>
              </w:rPr>
              <w:t>12,000</w:t>
            </w:r>
          </w:p>
        </w:tc>
      </w:tr>
      <w:tr>
        <w:trPr>
          <w:trHeight w:val="168"/>
        </w:trPr>
        <w:tc>
          <w:tcPr>
            <w:tcW w:w="580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Audit Committee Non-Chair Member</w:t>
            </w:r>
          </w:p>
        </w:tc>
        <w:tc>
          <w:tcPr>
            <w:tcW w:w="4480" w:type="dxa"/>
            <w:vAlign w:val="bottom"/>
            <w:shd w:val="clear" w:color="auto" w:fill="F2F2F2"/>
          </w:tcPr>
          <w:p>
            <w:pPr>
              <w:jc w:val="center"/>
              <w:ind w:left="208"/>
              <w:spacing w:after="0"/>
              <w:rPr>
                <w:sz w:val="20"/>
                <w:szCs w:val="20"/>
                <w:color w:val="auto"/>
              </w:rPr>
            </w:pPr>
            <w:r>
              <w:rPr>
                <w:rFonts w:ascii="Arial" w:cs="Arial" w:eastAsia="Arial" w:hAnsi="Arial"/>
                <w:sz w:val="14"/>
                <w:szCs w:val="14"/>
                <w:color w:val="001346"/>
              </w:rPr>
              <w:t>10,000</w:t>
            </w:r>
          </w:p>
        </w:tc>
      </w:tr>
      <w:tr>
        <w:trPr>
          <w:trHeight w:val="168"/>
        </w:trPr>
        <w:tc>
          <w:tcPr>
            <w:tcW w:w="5800" w:type="dxa"/>
            <w:vAlign w:val="bottom"/>
          </w:tcPr>
          <w:p>
            <w:pPr>
              <w:ind w:left="80"/>
              <w:spacing w:after="0"/>
              <w:rPr>
                <w:sz w:val="20"/>
                <w:szCs w:val="20"/>
                <w:color w:val="auto"/>
              </w:rPr>
            </w:pPr>
            <w:r>
              <w:rPr>
                <w:rFonts w:ascii="Arial" w:cs="Arial" w:eastAsia="Arial" w:hAnsi="Arial"/>
                <w:sz w:val="14"/>
                <w:szCs w:val="14"/>
                <w:color w:val="001346"/>
              </w:rPr>
              <w:t>Compensation Committee Non-Chair Member</w:t>
            </w:r>
          </w:p>
        </w:tc>
        <w:tc>
          <w:tcPr>
            <w:tcW w:w="4480" w:type="dxa"/>
            <w:vAlign w:val="bottom"/>
          </w:tcPr>
          <w:p>
            <w:pPr>
              <w:jc w:val="center"/>
              <w:ind w:left="208"/>
              <w:spacing w:after="0"/>
              <w:rPr>
                <w:sz w:val="20"/>
                <w:szCs w:val="20"/>
                <w:color w:val="auto"/>
              </w:rPr>
            </w:pPr>
            <w:r>
              <w:rPr>
                <w:rFonts w:ascii="Arial" w:cs="Arial" w:eastAsia="Arial" w:hAnsi="Arial"/>
                <w:sz w:val="14"/>
                <w:szCs w:val="14"/>
                <w:color w:val="001346"/>
              </w:rPr>
              <w:t>8,000</w:t>
            </w:r>
          </w:p>
        </w:tc>
      </w:tr>
      <w:tr>
        <w:trPr>
          <w:trHeight w:val="168"/>
        </w:trPr>
        <w:tc>
          <w:tcPr>
            <w:tcW w:w="580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Nominating and Corporate Governance Committee Non-Chair Member</w:t>
            </w:r>
          </w:p>
        </w:tc>
        <w:tc>
          <w:tcPr>
            <w:tcW w:w="4480" w:type="dxa"/>
            <w:vAlign w:val="bottom"/>
            <w:shd w:val="clear" w:color="auto" w:fill="F2F2F2"/>
          </w:tcPr>
          <w:p>
            <w:pPr>
              <w:jc w:val="center"/>
              <w:ind w:left="208"/>
              <w:spacing w:after="0"/>
              <w:rPr>
                <w:sz w:val="20"/>
                <w:szCs w:val="20"/>
                <w:color w:val="auto"/>
              </w:rPr>
            </w:pPr>
            <w:r>
              <w:rPr>
                <w:rFonts w:ascii="Arial" w:cs="Arial" w:eastAsia="Arial" w:hAnsi="Arial"/>
                <w:sz w:val="14"/>
                <w:szCs w:val="14"/>
                <w:color w:val="001346"/>
              </w:rPr>
              <w:t>6,000</w:t>
            </w:r>
          </w:p>
        </w:tc>
      </w:tr>
      <w:tr>
        <w:trPr>
          <w:trHeight w:val="194"/>
        </w:trPr>
        <w:tc>
          <w:tcPr>
            <w:tcW w:w="5800" w:type="dxa"/>
            <w:vAlign w:val="bottom"/>
          </w:tcPr>
          <w:p>
            <w:pPr>
              <w:ind w:left="80"/>
              <w:spacing w:after="0"/>
              <w:rPr>
                <w:sz w:val="20"/>
                <w:szCs w:val="20"/>
                <w:color w:val="auto"/>
              </w:rPr>
            </w:pPr>
            <w:r>
              <w:rPr>
                <w:rFonts w:ascii="Arial" w:cs="Arial" w:eastAsia="Arial" w:hAnsi="Arial"/>
                <w:sz w:val="14"/>
                <w:szCs w:val="14"/>
                <w:color w:val="001346"/>
              </w:rPr>
              <w:t>Technology and Cyber Committee Non-Chair Member</w:t>
            </w:r>
          </w:p>
        </w:tc>
        <w:tc>
          <w:tcPr>
            <w:tcW w:w="4480" w:type="dxa"/>
            <w:vAlign w:val="bottom"/>
          </w:tcPr>
          <w:p>
            <w:pPr>
              <w:jc w:val="center"/>
              <w:ind w:left="208"/>
              <w:spacing w:after="0"/>
              <w:rPr>
                <w:sz w:val="20"/>
                <w:szCs w:val="20"/>
                <w:color w:val="auto"/>
              </w:rPr>
            </w:pPr>
            <w:r>
              <w:rPr>
                <w:rFonts w:ascii="Arial" w:cs="Arial" w:eastAsia="Arial" w:hAnsi="Arial"/>
                <w:sz w:val="14"/>
                <w:szCs w:val="14"/>
                <w:color w:val="001346"/>
              </w:rPr>
              <w:t>6,000</w:t>
            </w:r>
          </w:p>
        </w:tc>
      </w:tr>
    </w:tbl>
    <w:p>
      <w:pPr>
        <w:spacing w:after="0" w:line="126"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001346"/>
        </w:rPr>
        <w:t>The equity award program for our non-employee directors in 2025 consisted of (i) an equity award in the form of restricted stock units, granted upon the individual’s initial appointment to our Board, with a grant date value of $150,000, (ii) an annual equity award in the form of restricted stock units with a grant date value of $195,000 for non-employee directors other than the Chairperson of the Board, subject to proration for directors whose commencement of Board service is not on the date of the annual stockholder meeting, and (iii) an annual equity award in the form of restricted stock units with a grant date value of $425,000 for the Chairperson of the Board. The initial restricted stock unit awards vest in equal annual installments over three years and the annual RSUs, both for directors and Chairperson of the Board, vest in full on the earlier of (a) the one-year anniversary of the grant date or (b) the Company’s next regular Annual General Meeting of Stockholders, subject to continued board service through the applicable vesting date.</w:t>
      </w:r>
    </w:p>
    <w:p>
      <w:pPr>
        <w:spacing w:after="0" w:line="133"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001346"/>
        </w:rPr>
        <w:t>Our directors are also reimbursed for travel, food, lodging, and other expenses directly related to their activities as directors. Our directors are also entitled to the protection provided by the indemnification provisions in our by-laws. Our Board of Directors may revise the compensation arrangements for our directors from time to time. In addition, starting with equity awards made in 2023, directors are entitled to vesting acceleration upon death or disability.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95250</wp:posOffset>
                </wp:positionV>
                <wp:extent cx="6532245" cy="70104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282" o:spid="_x0000_s1307" style="position:absolute;margin-left:-0.1499pt;margin-top:7.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549275</wp:posOffset>
                </wp:positionV>
                <wp:extent cx="653224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5pt" to="514.15pt,43.25pt" o:allowincell="f" strokecolor="#000000" strokeweight="1.6199pt"/>
            </w:pict>
          </mc:Fallback>
        </mc:AlternateContent>
      </w:r>
    </w:p>
    <w:p>
      <w:pPr>
        <w:sectPr>
          <w:pgSz w:w="11900" w:h="16840" w:orient="portrait"/>
          <w:cols w:equalWidth="0" w:num="1">
            <w:col w:w="10280"/>
          </w:cols>
          <w:pgMar w:left="820" w:top="955" w:right="804" w:bottom="1440" w:gutter="0" w:footer="0" w:header="0"/>
        </w:sectPr>
      </w:pPr>
    </w:p>
    <w:bookmarkStart w:id="173" w:name="page174"/>
    <w:bookmarkEnd w:id="173"/>
    <w:p>
      <w:pPr>
        <w:ind w:left="4" w:right="20"/>
        <w:spacing w:after="0" w:line="275" w:lineRule="auto"/>
        <w:rPr>
          <w:sz w:val="20"/>
          <w:szCs w:val="20"/>
          <w:color w:val="auto"/>
        </w:rPr>
      </w:pPr>
      <w:r>
        <w:rPr>
          <w:rFonts w:ascii="Arial" w:cs="Arial" w:eastAsia="Arial" w:hAnsi="Arial"/>
          <w:sz w:val="14"/>
          <w:szCs w:val="14"/>
          <w:color w:val="001346"/>
        </w:rPr>
        <w:t>The following table sets forth the total cash and equity compensation paid to our non-employee directors for their service on our Board, on committees of our Board and as the Chairperson of our Board during the year ended December 31, 2025. Mr. Nir was not eligible to receive any additional compensation for serving on our Board. His compensation is disclosed in the “Summary Compensation Table” below.</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179"/>
        </w:trPr>
        <w:tc>
          <w:tcPr>
            <w:tcW w:w="1980" w:type="dxa"/>
            <w:vAlign w:val="bottom"/>
            <w:shd w:val="clear" w:color="auto" w:fill="000F47"/>
          </w:tcPr>
          <w:p>
            <w:pPr>
              <w:ind w:left="80"/>
              <w:spacing w:after="0"/>
              <w:rPr>
                <w:sz w:val="20"/>
                <w:szCs w:val="20"/>
                <w:color w:val="auto"/>
              </w:rPr>
            </w:pPr>
            <w:r>
              <w:rPr>
                <w:rFonts w:ascii="Arial" w:cs="Arial" w:eastAsia="Arial" w:hAnsi="Arial"/>
                <w:sz w:val="14"/>
                <w:szCs w:val="14"/>
                <w:b w:val="1"/>
                <w:bCs w:val="1"/>
                <w:color w:val="FFFFFF"/>
              </w:rPr>
              <w:t>Name</w:t>
            </w:r>
          </w:p>
        </w:tc>
        <w:tc>
          <w:tcPr>
            <w:tcW w:w="3700" w:type="dxa"/>
            <w:vAlign w:val="bottom"/>
            <w:shd w:val="clear" w:color="auto" w:fill="000F47"/>
          </w:tcPr>
          <w:p>
            <w:pPr>
              <w:ind w:left="900"/>
              <w:spacing w:after="0"/>
              <w:rPr>
                <w:sz w:val="20"/>
                <w:szCs w:val="20"/>
                <w:color w:val="auto"/>
              </w:rPr>
            </w:pPr>
            <w:r>
              <w:rPr>
                <w:rFonts w:ascii="Arial" w:cs="Arial" w:eastAsia="Arial" w:hAnsi="Arial"/>
                <w:sz w:val="14"/>
                <w:szCs w:val="14"/>
                <w:b w:val="1"/>
                <w:bCs w:val="1"/>
                <w:color w:val="FFFFFF"/>
              </w:rPr>
              <w:t>Fees Earned or Paid in Cash ($)</w:t>
            </w:r>
          </w:p>
        </w:tc>
        <w:tc>
          <w:tcPr>
            <w:tcW w:w="2640" w:type="dxa"/>
            <w:vAlign w:val="bottom"/>
            <w:shd w:val="clear" w:color="auto" w:fill="000F47"/>
          </w:tcPr>
          <w:p>
            <w:pPr>
              <w:ind w:left="640"/>
              <w:spacing w:after="0"/>
              <w:rPr>
                <w:sz w:val="20"/>
                <w:szCs w:val="20"/>
                <w:color w:val="auto"/>
              </w:rPr>
            </w:pPr>
            <w:r>
              <w:rPr>
                <w:rFonts w:ascii="Arial" w:cs="Arial" w:eastAsia="Arial" w:hAnsi="Arial"/>
                <w:sz w:val="14"/>
                <w:szCs w:val="14"/>
                <w:b w:val="1"/>
                <w:bCs w:val="1"/>
                <w:color w:val="FFFFFF"/>
              </w:rPr>
              <w:t>Stock Awards ($)(1)</w:t>
            </w:r>
          </w:p>
        </w:tc>
        <w:tc>
          <w:tcPr>
            <w:tcW w:w="1960" w:type="dxa"/>
            <w:vAlign w:val="bottom"/>
            <w:shd w:val="clear" w:color="auto" w:fill="000F47"/>
          </w:tcPr>
          <w:p>
            <w:pPr>
              <w:ind w:left="660"/>
              <w:spacing w:after="0"/>
              <w:rPr>
                <w:sz w:val="20"/>
                <w:szCs w:val="20"/>
                <w:color w:val="auto"/>
              </w:rPr>
            </w:pPr>
            <w:r>
              <w:rPr>
                <w:rFonts w:ascii="Arial" w:cs="Arial" w:eastAsia="Arial" w:hAnsi="Arial"/>
                <w:sz w:val="14"/>
                <w:szCs w:val="14"/>
                <w:b w:val="1"/>
                <w:bCs w:val="1"/>
                <w:color w:val="FFFFFF"/>
              </w:rPr>
              <w:t>Total ($)</w:t>
            </w:r>
          </w:p>
        </w:tc>
      </w:tr>
      <w:tr>
        <w:trPr>
          <w:trHeight w:val="168"/>
        </w:trPr>
        <w:tc>
          <w:tcPr>
            <w:tcW w:w="198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Avery More</w:t>
            </w:r>
          </w:p>
        </w:tc>
        <w:tc>
          <w:tcPr>
            <w:tcW w:w="3700" w:type="dxa"/>
            <w:vAlign w:val="bottom"/>
            <w:shd w:val="clear" w:color="auto" w:fill="F2F2F2"/>
          </w:tcPr>
          <w:p>
            <w:pPr>
              <w:jc w:val="center"/>
              <w:ind w:left="188"/>
              <w:spacing w:after="0"/>
              <w:rPr>
                <w:sz w:val="20"/>
                <w:szCs w:val="20"/>
                <w:color w:val="auto"/>
              </w:rPr>
            </w:pPr>
            <w:r>
              <w:rPr>
                <w:rFonts w:ascii="Arial" w:cs="Arial" w:eastAsia="Arial" w:hAnsi="Arial"/>
                <w:sz w:val="14"/>
                <w:szCs w:val="14"/>
                <w:color w:val="001346"/>
              </w:rPr>
              <w:t>273,000</w:t>
            </w:r>
          </w:p>
        </w:tc>
        <w:tc>
          <w:tcPr>
            <w:tcW w:w="2640" w:type="dxa"/>
            <w:vAlign w:val="bottom"/>
            <w:shd w:val="clear" w:color="auto" w:fill="F2F2F2"/>
          </w:tcPr>
          <w:p>
            <w:pPr>
              <w:jc w:val="center"/>
              <w:spacing w:after="0"/>
              <w:rPr>
                <w:sz w:val="20"/>
                <w:szCs w:val="20"/>
                <w:color w:val="auto"/>
              </w:rPr>
            </w:pPr>
            <w:r>
              <w:rPr>
                <w:rFonts w:ascii="Arial" w:cs="Arial" w:eastAsia="Arial" w:hAnsi="Arial"/>
                <w:sz w:val="14"/>
                <w:szCs w:val="14"/>
                <w:color w:val="001346"/>
              </w:rPr>
              <w:t>424,987 (2)</w:t>
            </w:r>
          </w:p>
        </w:tc>
        <w:tc>
          <w:tcPr>
            <w:tcW w:w="196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001346"/>
              </w:rPr>
              <w:t>697,987</w:t>
            </w:r>
          </w:p>
        </w:tc>
      </w:tr>
      <w:tr>
        <w:trPr>
          <w:trHeight w:val="168"/>
        </w:trPr>
        <w:tc>
          <w:tcPr>
            <w:tcW w:w="1980" w:type="dxa"/>
            <w:vAlign w:val="bottom"/>
          </w:tcPr>
          <w:p>
            <w:pPr>
              <w:ind w:left="80"/>
              <w:spacing w:after="0"/>
              <w:rPr>
                <w:sz w:val="20"/>
                <w:szCs w:val="20"/>
                <w:color w:val="auto"/>
              </w:rPr>
            </w:pPr>
            <w:r>
              <w:rPr>
                <w:rFonts w:ascii="Arial" w:cs="Arial" w:eastAsia="Arial" w:hAnsi="Arial"/>
                <w:sz w:val="14"/>
                <w:szCs w:val="14"/>
                <w:color w:val="001346"/>
              </w:rPr>
              <w:t>Gilad Almogy</w:t>
            </w:r>
          </w:p>
        </w:tc>
        <w:tc>
          <w:tcPr>
            <w:tcW w:w="3700" w:type="dxa"/>
            <w:vAlign w:val="bottom"/>
          </w:tcPr>
          <w:p>
            <w:pPr>
              <w:jc w:val="center"/>
              <w:ind w:left="188"/>
              <w:spacing w:after="0"/>
              <w:rPr>
                <w:sz w:val="20"/>
                <w:szCs w:val="20"/>
                <w:color w:val="auto"/>
              </w:rPr>
            </w:pPr>
            <w:r>
              <w:rPr>
                <w:rFonts w:ascii="Arial" w:cs="Arial" w:eastAsia="Arial" w:hAnsi="Arial"/>
                <w:sz w:val="14"/>
                <w:szCs w:val="14"/>
                <w:color w:val="001346"/>
              </w:rPr>
              <w:t>62,000</w:t>
            </w:r>
          </w:p>
        </w:tc>
        <w:tc>
          <w:tcPr>
            <w:tcW w:w="2640" w:type="dxa"/>
            <w:vAlign w:val="bottom"/>
          </w:tcPr>
          <w:p>
            <w:pPr>
              <w:jc w:val="center"/>
              <w:spacing w:after="0"/>
              <w:rPr>
                <w:sz w:val="20"/>
                <w:szCs w:val="20"/>
                <w:color w:val="auto"/>
              </w:rPr>
            </w:pPr>
            <w:r>
              <w:rPr>
                <w:rFonts w:ascii="Arial" w:cs="Arial" w:eastAsia="Arial" w:hAnsi="Arial"/>
                <w:sz w:val="14"/>
                <w:szCs w:val="14"/>
                <w:color w:val="001346"/>
              </w:rPr>
              <w:t>425,119 (3)(4)</w:t>
            </w:r>
          </w:p>
        </w:tc>
        <w:tc>
          <w:tcPr>
            <w:tcW w:w="1960" w:type="dxa"/>
            <w:vAlign w:val="bottom"/>
          </w:tcPr>
          <w:p>
            <w:pPr>
              <w:jc w:val="center"/>
              <w:ind w:right="8"/>
              <w:spacing w:after="0"/>
              <w:rPr>
                <w:sz w:val="20"/>
                <w:szCs w:val="20"/>
                <w:color w:val="auto"/>
              </w:rPr>
            </w:pPr>
            <w:r>
              <w:rPr>
                <w:rFonts w:ascii="Arial" w:cs="Arial" w:eastAsia="Arial" w:hAnsi="Arial"/>
                <w:sz w:val="14"/>
                <w:szCs w:val="14"/>
                <w:color w:val="001346"/>
              </w:rPr>
              <w:t>487,119</w:t>
            </w:r>
          </w:p>
        </w:tc>
      </w:tr>
      <w:tr>
        <w:trPr>
          <w:trHeight w:val="168"/>
        </w:trPr>
        <w:tc>
          <w:tcPr>
            <w:tcW w:w="19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Betsy Atkins</w:t>
            </w:r>
          </w:p>
        </w:tc>
        <w:tc>
          <w:tcPr>
            <w:tcW w:w="3700" w:type="dxa"/>
            <w:vAlign w:val="bottom"/>
            <w:shd w:val="clear" w:color="auto" w:fill="F0F0F0"/>
          </w:tcPr>
          <w:p>
            <w:pPr>
              <w:jc w:val="center"/>
              <w:ind w:left="188"/>
              <w:spacing w:after="0"/>
              <w:rPr>
                <w:sz w:val="20"/>
                <w:szCs w:val="20"/>
                <w:color w:val="auto"/>
              </w:rPr>
            </w:pPr>
            <w:r>
              <w:rPr>
                <w:rFonts w:ascii="Arial" w:cs="Arial" w:eastAsia="Arial" w:hAnsi="Arial"/>
                <w:sz w:val="14"/>
                <w:szCs w:val="14"/>
                <w:color w:val="001346"/>
              </w:rPr>
              <w:t>82,000</w:t>
            </w:r>
          </w:p>
        </w:tc>
        <w:tc>
          <w:tcPr>
            <w:tcW w:w="2640" w:type="dxa"/>
            <w:vAlign w:val="bottom"/>
            <w:shd w:val="clear" w:color="auto" w:fill="F0F0F0"/>
          </w:tcPr>
          <w:p>
            <w:pPr>
              <w:jc w:val="center"/>
              <w:spacing w:after="0"/>
              <w:rPr>
                <w:sz w:val="20"/>
                <w:szCs w:val="20"/>
                <w:color w:val="auto"/>
              </w:rPr>
            </w:pPr>
            <w:r>
              <w:rPr>
                <w:rFonts w:ascii="Arial" w:cs="Arial" w:eastAsia="Arial" w:hAnsi="Arial"/>
                <w:sz w:val="14"/>
                <w:szCs w:val="14"/>
                <w:color w:val="001346"/>
              </w:rPr>
              <w:t>194,990 (3)</w:t>
            </w:r>
          </w:p>
        </w:tc>
        <w:tc>
          <w:tcPr>
            <w:tcW w:w="1960" w:type="dxa"/>
            <w:vAlign w:val="bottom"/>
            <w:shd w:val="clear" w:color="auto" w:fill="F0F0F0"/>
          </w:tcPr>
          <w:p>
            <w:pPr>
              <w:jc w:val="center"/>
              <w:ind w:right="8"/>
              <w:spacing w:after="0"/>
              <w:rPr>
                <w:sz w:val="20"/>
                <w:szCs w:val="20"/>
                <w:color w:val="auto"/>
              </w:rPr>
            </w:pPr>
            <w:r>
              <w:rPr>
                <w:rFonts w:ascii="Arial" w:cs="Arial" w:eastAsia="Arial" w:hAnsi="Arial"/>
                <w:sz w:val="14"/>
                <w:szCs w:val="14"/>
                <w:color w:val="001346"/>
              </w:rPr>
              <w:t>276,990</w:t>
            </w:r>
          </w:p>
        </w:tc>
      </w:tr>
      <w:tr>
        <w:trPr>
          <w:trHeight w:val="168"/>
        </w:trPr>
        <w:tc>
          <w:tcPr>
            <w:tcW w:w="1980" w:type="dxa"/>
            <w:vAlign w:val="bottom"/>
          </w:tcPr>
          <w:p>
            <w:pPr>
              <w:ind w:left="80"/>
              <w:spacing w:after="0"/>
              <w:rPr>
                <w:sz w:val="20"/>
                <w:szCs w:val="20"/>
                <w:color w:val="auto"/>
              </w:rPr>
            </w:pPr>
            <w:r>
              <w:rPr>
                <w:rFonts w:ascii="Arial" w:cs="Arial" w:eastAsia="Arial" w:hAnsi="Arial"/>
                <w:sz w:val="14"/>
                <w:szCs w:val="14"/>
                <w:color w:val="001346"/>
              </w:rPr>
              <w:t>Dana Gross</w:t>
            </w:r>
          </w:p>
        </w:tc>
        <w:tc>
          <w:tcPr>
            <w:tcW w:w="3700" w:type="dxa"/>
            <w:vAlign w:val="bottom"/>
          </w:tcPr>
          <w:p>
            <w:pPr>
              <w:jc w:val="center"/>
              <w:ind w:left="188"/>
              <w:spacing w:after="0"/>
              <w:rPr>
                <w:sz w:val="20"/>
                <w:szCs w:val="20"/>
                <w:color w:val="auto"/>
              </w:rPr>
            </w:pPr>
            <w:r>
              <w:rPr>
                <w:rFonts w:ascii="Arial" w:cs="Arial" w:eastAsia="Arial" w:hAnsi="Arial"/>
                <w:sz w:val="14"/>
                <w:szCs w:val="14"/>
                <w:color w:val="001346"/>
              </w:rPr>
              <w:t>84,000</w:t>
            </w:r>
          </w:p>
        </w:tc>
        <w:tc>
          <w:tcPr>
            <w:tcW w:w="2640" w:type="dxa"/>
            <w:vAlign w:val="bottom"/>
          </w:tcPr>
          <w:p>
            <w:pPr>
              <w:jc w:val="center"/>
              <w:spacing w:after="0"/>
              <w:rPr>
                <w:sz w:val="20"/>
                <w:szCs w:val="20"/>
                <w:color w:val="auto"/>
              </w:rPr>
            </w:pPr>
            <w:r>
              <w:rPr>
                <w:rFonts w:ascii="Arial" w:cs="Arial" w:eastAsia="Arial" w:hAnsi="Arial"/>
                <w:sz w:val="14"/>
                <w:szCs w:val="14"/>
                <w:color w:val="001346"/>
              </w:rPr>
              <w:t>194,990 (3)</w:t>
            </w:r>
          </w:p>
        </w:tc>
        <w:tc>
          <w:tcPr>
            <w:tcW w:w="1960" w:type="dxa"/>
            <w:vAlign w:val="bottom"/>
          </w:tcPr>
          <w:p>
            <w:pPr>
              <w:jc w:val="center"/>
              <w:ind w:right="8"/>
              <w:spacing w:after="0"/>
              <w:rPr>
                <w:sz w:val="20"/>
                <w:szCs w:val="20"/>
                <w:color w:val="auto"/>
              </w:rPr>
            </w:pPr>
            <w:r>
              <w:rPr>
                <w:rFonts w:ascii="Arial" w:cs="Arial" w:eastAsia="Arial" w:hAnsi="Arial"/>
                <w:sz w:val="14"/>
                <w:szCs w:val="14"/>
                <w:color w:val="001346"/>
              </w:rPr>
              <w:t>278,990</w:t>
            </w:r>
          </w:p>
        </w:tc>
      </w:tr>
      <w:tr>
        <w:trPr>
          <w:trHeight w:val="168"/>
        </w:trPr>
        <w:tc>
          <w:tcPr>
            <w:tcW w:w="19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Guy Gecht</w:t>
            </w:r>
          </w:p>
        </w:tc>
        <w:tc>
          <w:tcPr>
            <w:tcW w:w="3700" w:type="dxa"/>
            <w:vAlign w:val="bottom"/>
            <w:shd w:val="clear" w:color="auto" w:fill="F0F0F0"/>
          </w:tcPr>
          <w:p>
            <w:pPr>
              <w:jc w:val="center"/>
              <w:ind w:left="188"/>
              <w:spacing w:after="0"/>
              <w:rPr>
                <w:sz w:val="20"/>
                <w:szCs w:val="20"/>
                <w:color w:val="auto"/>
              </w:rPr>
            </w:pPr>
            <w:r>
              <w:rPr>
                <w:rFonts w:ascii="Arial" w:cs="Arial" w:eastAsia="Arial" w:hAnsi="Arial"/>
                <w:sz w:val="14"/>
                <w:szCs w:val="14"/>
                <w:color w:val="001346"/>
              </w:rPr>
              <w:t>78,000</w:t>
            </w:r>
          </w:p>
        </w:tc>
        <w:tc>
          <w:tcPr>
            <w:tcW w:w="2640" w:type="dxa"/>
            <w:vAlign w:val="bottom"/>
            <w:shd w:val="clear" w:color="auto" w:fill="F0F0F0"/>
          </w:tcPr>
          <w:p>
            <w:pPr>
              <w:jc w:val="center"/>
              <w:spacing w:after="0"/>
              <w:rPr>
                <w:sz w:val="20"/>
                <w:szCs w:val="20"/>
                <w:color w:val="auto"/>
              </w:rPr>
            </w:pPr>
            <w:r>
              <w:rPr>
                <w:rFonts w:ascii="Arial" w:cs="Arial" w:eastAsia="Arial" w:hAnsi="Arial"/>
                <w:sz w:val="14"/>
                <w:szCs w:val="14"/>
                <w:color w:val="001346"/>
              </w:rPr>
              <w:t>194,990 (3)</w:t>
            </w:r>
          </w:p>
        </w:tc>
        <w:tc>
          <w:tcPr>
            <w:tcW w:w="1960" w:type="dxa"/>
            <w:vAlign w:val="bottom"/>
            <w:shd w:val="clear" w:color="auto" w:fill="F0F0F0"/>
          </w:tcPr>
          <w:p>
            <w:pPr>
              <w:jc w:val="center"/>
              <w:ind w:right="8"/>
              <w:spacing w:after="0"/>
              <w:rPr>
                <w:sz w:val="20"/>
                <w:szCs w:val="20"/>
                <w:color w:val="auto"/>
              </w:rPr>
            </w:pPr>
            <w:r>
              <w:rPr>
                <w:rFonts w:ascii="Arial" w:cs="Arial" w:eastAsia="Arial" w:hAnsi="Arial"/>
                <w:sz w:val="14"/>
                <w:szCs w:val="14"/>
                <w:color w:val="001346"/>
              </w:rPr>
              <w:t>272,990</w:t>
            </w:r>
          </w:p>
        </w:tc>
      </w:tr>
      <w:tr>
        <w:trPr>
          <w:trHeight w:val="168"/>
        </w:trPr>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001346"/>
              </w:rPr>
              <w:t>Yoram Tietz</w:t>
            </w:r>
          </w:p>
        </w:tc>
        <w:tc>
          <w:tcPr>
            <w:tcW w:w="37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001346"/>
              </w:rPr>
              <w:t>89,500</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346"/>
              </w:rPr>
              <w:t>425,119 (3)(4)</w:t>
            </w:r>
          </w:p>
        </w:tc>
        <w:tc>
          <w:tcPr>
            <w:tcW w:w="1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001346"/>
              </w:rPr>
              <w:t>514,619</w:t>
            </w:r>
          </w:p>
        </w:tc>
      </w:tr>
      <w:tr>
        <w:trPr>
          <w:trHeight w:val="165"/>
        </w:trPr>
        <w:tc>
          <w:tcPr>
            <w:tcW w:w="198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Nadav Zafrir (5)</w:t>
            </w:r>
          </w:p>
        </w:tc>
        <w:tc>
          <w:tcPr>
            <w:tcW w:w="3700" w:type="dxa"/>
            <w:vAlign w:val="bottom"/>
            <w:shd w:val="clear" w:color="auto" w:fill="F2F2F2"/>
          </w:tcPr>
          <w:p>
            <w:pPr>
              <w:jc w:val="center"/>
              <w:ind w:left="188"/>
              <w:spacing w:after="0"/>
              <w:rPr>
                <w:sz w:val="20"/>
                <w:szCs w:val="20"/>
                <w:color w:val="auto"/>
              </w:rPr>
            </w:pPr>
            <w:r>
              <w:rPr>
                <w:rFonts w:ascii="Arial" w:cs="Arial" w:eastAsia="Arial" w:hAnsi="Arial"/>
                <w:sz w:val="14"/>
                <w:szCs w:val="14"/>
                <w:color w:val="001346"/>
              </w:rPr>
              <w:t>50,000</w:t>
            </w:r>
          </w:p>
        </w:tc>
        <w:tc>
          <w:tcPr>
            <w:tcW w:w="2640" w:type="dxa"/>
            <w:vAlign w:val="bottom"/>
            <w:shd w:val="clear" w:color="auto" w:fill="F2F2F2"/>
          </w:tcPr>
          <w:p>
            <w:pPr>
              <w:jc w:val="center"/>
              <w:spacing w:after="0"/>
              <w:rPr>
                <w:sz w:val="20"/>
                <w:szCs w:val="20"/>
                <w:color w:val="auto"/>
              </w:rPr>
            </w:pPr>
            <w:r>
              <w:rPr>
                <w:rFonts w:ascii="Arial" w:cs="Arial" w:eastAsia="Arial" w:hAnsi="Arial"/>
                <w:sz w:val="14"/>
                <w:szCs w:val="14"/>
                <w:color w:val="001346"/>
              </w:rPr>
              <w:t>194,990(3)</w:t>
            </w:r>
          </w:p>
        </w:tc>
        <w:tc>
          <w:tcPr>
            <w:tcW w:w="196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001346"/>
              </w:rPr>
              <w:t>244,990</w:t>
            </w:r>
          </w:p>
        </w:tc>
      </w:tr>
      <w:tr>
        <w:trPr>
          <w:trHeight w:val="168"/>
        </w:trPr>
        <w:tc>
          <w:tcPr>
            <w:tcW w:w="1980" w:type="dxa"/>
            <w:vAlign w:val="bottom"/>
          </w:tcPr>
          <w:p>
            <w:pPr>
              <w:ind w:left="80"/>
              <w:spacing w:after="0"/>
              <w:rPr>
                <w:sz w:val="20"/>
                <w:szCs w:val="20"/>
                <w:color w:val="auto"/>
              </w:rPr>
            </w:pPr>
            <w:r>
              <w:rPr>
                <w:rFonts w:ascii="Arial" w:cs="Arial" w:eastAsia="Arial" w:hAnsi="Arial"/>
                <w:sz w:val="14"/>
                <w:szCs w:val="14"/>
                <w:color w:val="001346"/>
              </w:rPr>
              <w:t>Marcel Gani (6)</w:t>
            </w:r>
          </w:p>
        </w:tc>
        <w:tc>
          <w:tcPr>
            <w:tcW w:w="3700" w:type="dxa"/>
            <w:vAlign w:val="bottom"/>
          </w:tcPr>
          <w:p>
            <w:pPr>
              <w:jc w:val="center"/>
              <w:ind w:left="188"/>
              <w:spacing w:after="0"/>
              <w:rPr>
                <w:sz w:val="20"/>
                <w:szCs w:val="20"/>
                <w:color w:val="auto"/>
              </w:rPr>
            </w:pPr>
            <w:r>
              <w:rPr>
                <w:rFonts w:ascii="Arial" w:cs="Arial" w:eastAsia="Arial" w:hAnsi="Arial"/>
                <w:sz w:val="14"/>
                <w:szCs w:val="14"/>
                <w:color w:val="001346"/>
              </w:rPr>
              <w:t>16,500</w:t>
            </w:r>
          </w:p>
        </w:tc>
        <w:tc>
          <w:tcPr>
            <w:tcW w:w="2640" w:type="dxa"/>
            <w:vAlign w:val="bottom"/>
          </w:tcPr>
          <w:p>
            <w:pPr>
              <w:spacing w:after="0"/>
              <w:rPr>
                <w:sz w:val="14"/>
                <w:szCs w:val="14"/>
                <w:color w:val="auto"/>
              </w:rPr>
            </w:pPr>
          </w:p>
        </w:tc>
        <w:tc>
          <w:tcPr>
            <w:tcW w:w="1960" w:type="dxa"/>
            <w:vAlign w:val="bottom"/>
          </w:tcPr>
          <w:p>
            <w:pPr>
              <w:jc w:val="center"/>
              <w:ind w:right="8"/>
              <w:spacing w:after="0"/>
              <w:rPr>
                <w:sz w:val="20"/>
                <w:szCs w:val="20"/>
                <w:color w:val="auto"/>
              </w:rPr>
            </w:pPr>
            <w:r>
              <w:rPr>
                <w:rFonts w:ascii="Arial" w:cs="Arial" w:eastAsia="Arial" w:hAnsi="Arial"/>
                <w:sz w:val="14"/>
                <w:szCs w:val="14"/>
                <w:color w:val="001346"/>
              </w:rPr>
              <w:t>16,500</w:t>
            </w:r>
          </w:p>
        </w:tc>
      </w:tr>
      <w:tr>
        <w:trPr>
          <w:trHeight w:val="168"/>
        </w:trPr>
        <w:tc>
          <w:tcPr>
            <w:tcW w:w="19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Dirk Hoke (7)</w:t>
            </w:r>
          </w:p>
        </w:tc>
        <w:tc>
          <w:tcPr>
            <w:tcW w:w="3700" w:type="dxa"/>
            <w:vAlign w:val="bottom"/>
            <w:shd w:val="clear" w:color="auto" w:fill="F0F0F0"/>
          </w:tcPr>
          <w:p>
            <w:pPr>
              <w:jc w:val="center"/>
              <w:ind w:left="188"/>
              <w:spacing w:after="0"/>
              <w:rPr>
                <w:sz w:val="20"/>
                <w:szCs w:val="20"/>
                <w:color w:val="auto"/>
              </w:rPr>
            </w:pPr>
            <w:r>
              <w:rPr>
                <w:rFonts w:ascii="Arial" w:cs="Arial" w:eastAsia="Arial" w:hAnsi="Arial"/>
                <w:sz w:val="14"/>
                <w:szCs w:val="14"/>
                <w:color w:val="001346"/>
              </w:rPr>
              <w:t>25,833</w:t>
            </w:r>
          </w:p>
        </w:tc>
        <w:tc>
          <w:tcPr>
            <w:tcW w:w="2640" w:type="dxa"/>
            <w:vAlign w:val="bottom"/>
            <w:shd w:val="clear" w:color="auto" w:fill="F0F0F0"/>
          </w:tcPr>
          <w:p>
            <w:pPr>
              <w:spacing w:after="0"/>
              <w:rPr>
                <w:sz w:val="14"/>
                <w:szCs w:val="14"/>
                <w:color w:val="auto"/>
              </w:rPr>
            </w:pPr>
          </w:p>
        </w:tc>
        <w:tc>
          <w:tcPr>
            <w:tcW w:w="1960" w:type="dxa"/>
            <w:vAlign w:val="bottom"/>
            <w:shd w:val="clear" w:color="auto" w:fill="F0F0F0"/>
          </w:tcPr>
          <w:p>
            <w:pPr>
              <w:jc w:val="center"/>
              <w:ind w:right="8"/>
              <w:spacing w:after="0"/>
              <w:rPr>
                <w:sz w:val="20"/>
                <w:szCs w:val="20"/>
                <w:color w:val="auto"/>
              </w:rPr>
            </w:pPr>
            <w:r>
              <w:rPr>
                <w:rFonts w:ascii="Arial" w:cs="Arial" w:eastAsia="Arial" w:hAnsi="Arial"/>
                <w:sz w:val="14"/>
                <w:szCs w:val="14"/>
                <w:color w:val="001346"/>
              </w:rPr>
              <w:t>25,833</w:t>
            </w:r>
          </w:p>
        </w:tc>
      </w:tr>
    </w:tbl>
    <w:p>
      <w:pPr>
        <w:spacing w:after="0" w:line="168" w:lineRule="exact"/>
        <w:rPr>
          <w:sz w:val="20"/>
          <w:szCs w:val="20"/>
          <w:color w:val="auto"/>
        </w:rPr>
      </w:pPr>
    </w:p>
    <w:p>
      <w:pPr>
        <w:ind w:left="284" w:right="40" w:hanging="284"/>
        <w:spacing w:after="0" w:line="243" w:lineRule="auto"/>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All equity awards are calculated in accordance with FASB ASC Topic 718. We provide information regarding the assumptions used to calculate the value of the equity-based awards in Note 2ad to the audited consolidated financial statements included in our Annual Report on Form 10-K filed on February 25, 2026. As of December 31, 2025, Mr. More held 23,467 unvested restricted stock units, Mr. Zafrir held 0 restricted stock units, Ms. Atkins held 10,767 unvested restricted stock units, Ms. Gross held 11,040 unvested restricted stock units, Mr. Gecht held 16,067 unvested restricted stock units, and Mr. Tietz and Mr. Almogy held 19,975 unvested restricted stock units.</w:t>
      </w:r>
    </w:p>
    <w:p>
      <w:pPr>
        <w:spacing w:after="0" w:line="114" w:lineRule="exact"/>
        <w:rPr>
          <w:rFonts w:ascii="Arial" w:cs="Arial" w:eastAsia="Arial" w:hAnsi="Arial"/>
          <w:sz w:val="13"/>
          <w:szCs w:val="13"/>
          <w:color w:val="001346"/>
        </w:rPr>
      </w:pPr>
    </w:p>
    <w:p>
      <w:pPr>
        <w:ind w:left="284" w:right="300" w:hanging="284"/>
        <w:spacing w:after="0" w:line="267" w:lineRule="auto"/>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Represents the grant date fair value of Mr. More’s annual equity award granted on June 03, 2025 of 23,467 restricted stock units ($424,987). All such units will become fully vested on June 03, 2026.</w:t>
      </w:r>
    </w:p>
    <w:p>
      <w:pPr>
        <w:spacing w:after="0" w:line="99" w:lineRule="exact"/>
        <w:rPr>
          <w:rFonts w:ascii="Arial" w:cs="Arial" w:eastAsia="Arial" w:hAnsi="Arial"/>
          <w:sz w:val="13"/>
          <w:szCs w:val="13"/>
          <w:color w:val="001346"/>
        </w:rPr>
      </w:pPr>
    </w:p>
    <w:p>
      <w:pPr>
        <w:ind w:left="284" w:right="120" w:hanging="284"/>
        <w:spacing w:after="0" w:line="267" w:lineRule="auto"/>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The amount reported here represents the grant date fair value of 10,767 restricted stock units ($194,990) granted to each director on June 03, 2025. All such units will become fully vested on June 03, 2026.</w:t>
      </w:r>
    </w:p>
    <w:p>
      <w:pPr>
        <w:spacing w:after="0" w:line="99" w:lineRule="exact"/>
        <w:rPr>
          <w:rFonts w:ascii="Arial" w:cs="Arial" w:eastAsia="Arial" w:hAnsi="Arial"/>
          <w:sz w:val="13"/>
          <w:szCs w:val="13"/>
          <w:color w:val="001346"/>
        </w:rPr>
      </w:pPr>
    </w:p>
    <w:p>
      <w:pPr>
        <w:ind w:left="284" w:right="40" w:hanging="284"/>
        <w:spacing w:after="0" w:line="267" w:lineRule="auto"/>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Includes Mr. Tietz's and Mr. Almog's initial equity award of 9,208 restricted stock units ($149,998) which vest in equal annual installments over three years, and pro-rated annual equity award granted upon appointment to the Board on January 6, 2025 of 4,919 restricted stock units ($80,130) which become fully vested on June 3, 2025.</w:t>
      </w:r>
    </w:p>
    <w:p>
      <w:pPr>
        <w:spacing w:after="0" w:line="99" w:lineRule="exact"/>
        <w:rPr>
          <w:rFonts w:ascii="Arial" w:cs="Arial" w:eastAsia="Arial" w:hAnsi="Arial"/>
          <w:sz w:val="13"/>
          <w:szCs w:val="13"/>
          <w:color w:val="001346"/>
        </w:rPr>
      </w:pPr>
    </w:p>
    <w:p>
      <w:pPr>
        <w:ind w:left="284" w:hanging="284"/>
        <w:spacing w:after="0"/>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Mr. Zafrir resigned from the Company’s Board of Directors effective as of October 2, 2025.</w:t>
      </w:r>
    </w:p>
    <w:p>
      <w:pPr>
        <w:spacing w:after="0" w:line="138" w:lineRule="exact"/>
        <w:rPr>
          <w:rFonts w:ascii="Arial" w:cs="Arial" w:eastAsia="Arial" w:hAnsi="Arial"/>
          <w:sz w:val="13"/>
          <w:szCs w:val="13"/>
          <w:color w:val="001346"/>
        </w:rPr>
      </w:pPr>
    </w:p>
    <w:p>
      <w:pPr>
        <w:ind w:left="284" w:hanging="284"/>
        <w:spacing w:after="0"/>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Mr. Gani resigned from the Company’s Board of Directors effective as of April 8, 2025.</w:t>
      </w:r>
    </w:p>
    <w:p>
      <w:pPr>
        <w:spacing w:after="0" w:line="138" w:lineRule="exact"/>
        <w:rPr>
          <w:rFonts w:ascii="Arial" w:cs="Arial" w:eastAsia="Arial" w:hAnsi="Arial"/>
          <w:sz w:val="13"/>
          <w:szCs w:val="13"/>
          <w:color w:val="001346"/>
        </w:rPr>
      </w:pPr>
    </w:p>
    <w:p>
      <w:pPr>
        <w:ind w:left="284" w:hanging="284"/>
        <w:spacing w:after="0"/>
        <w:tabs>
          <w:tab w:leader="none" w:pos="284" w:val="left"/>
        </w:tabs>
        <w:numPr>
          <w:ilvl w:val="0"/>
          <w:numId w:val="88"/>
        </w:numPr>
        <w:rPr>
          <w:rFonts w:ascii="Arial" w:cs="Arial" w:eastAsia="Arial" w:hAnsi="Arial"/>
          <w:sz w:val="13"/>
          <w:szCs w:val="13"/>
          <w:color w:val="001346"/>
        </w:rPr>
      </w:pPr>
      <w:r>
        <w:rPr>
          <w:rFonts w:ascii="Arial" w:cs="Arial" w:eastAsia="Arial" w:hAnsi="Arial"/>
          <w:sz w:val="13"/>
          <w:szCs w:val="13"/>
          <w:color w:val="001346"/>
        </w:rPr>
        <w:t>Mr. Hoke resigned from the Company’s Board of Directors effective as of June 3, 2025.</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auto"/>
        </w:rPr>
        <w:t>Stockholder Engagement and Communication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-247015</wp:posOffset>
                </wp:positionV>
                <wp:extent cx="653224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4">
                          <a:solidFill>
                            <a:srgbClr val="FF3232"/>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499pt" to="514.35pt,-19.4499pt" o:allowincell="f" strokecolor="#FF3232" strokeweight="0.42pt"/>
            </w:pict>
          </mc:Fallback>
        </mc:AlternateContent>
      </w:r>
    </w:p>
    <w:p>
      <w:pPr>
        <w:spacing w:after="0" w:line="202" w:lineRule="exact"/>
        <w:rPr>
          <w:sz w:val="20"/>
          <w:szCs w:val="20"/>
          <w:color w:val="auto"/>
        </w:rPr>
      </w:pPr>
    </w:p>
    <w:p>
      <w:pPr>
        <w:ind w:left="4" w:right="40"/>
        <w:spacing w:after="0" w:line="262" w:lineRule="auto"/>
        <w:rPr>
          <w:sz w:val="20"/>
          <w:szCs w:val="20"/>
          <w:color w:val="auto"/>
        </w:rPr>
      </w:pPr>
      <w:r>
        <w:rPr>
          <w:rFonts w:ascii="Arial" w:cs="Arial" w:eastAsia="Arial" w:hAnsi="Arial"/>
          <w:sz w:val="14"/>
          <w:szCs w:val="14"/>
          <w:color w:val="001346"/>
        </w:rPr>
        <w:t>Understanding the issues that are important to our stockholders is critical in ensuring that we address their interests in a meaningful and effective way. In 2025, the Company’s cross functional team included our CFO, our Head of Investor Relations, our Chief Legal Officer and Corporate Secretary, and members of the Board engage with our stockholders year-round, on a regular basis to discuss a range of topics, including our performance, strategy, risk management, executive compensation, sustainability and corporate governance. We recognize the value of taking our stockholders’ views into account. Dialogue and engagement with our stockholders help us understand how they view us and set goals and expectations for our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102235</wp:posOffset>
                </wp:positionV>
                <wp:extent cx="6532880" cy="70104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701040"/>
                        </a:xfrm>
                        <a:prstGeom prst="rect">
                          <a:avLst/>
                        </a:prstGeom>
                        <a:solidFill>
                          <a:srgbClr val="00082E"/>
                        </a:solidFill>
                      </wps:spPr>
                      <wps:bodyPr/>
                    </wps:wsp>
                  </a:graphicData>
                </a:graphic>
              </wp:anchor>
            </w:drawing>
          </mc:Choice>
          <mc:Fallback>
            <w:pict>
              <v:rect id="Shape 285" o:spid="_x0000_s1310" style="position:absolute;margin-left:0pt;margin-top:8.05pt;width:514.4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92" w:lineRule="exact"/>
        <w:rPr>
          <w:sz w:val="20"/>
          <w:szCs w:val="20"/>
          <w:color w:val="auto"/>
        </w:rPr>
      </w:pPr>
    </w:p>
    <w:p>
      <w:pPr>
        <w:ind w:left="724"/>
        <w:spacing w:after="0"/>
        <w:rPr>
          <w:sz w:val="20"/>
          <w:szCs w:val="20"/>
          <w:color w:val="auto"/>
        </w:rPr>
      </w:pPr>
      <w:r>
        <w:rPr>
          <w:rFonts w:ascii="Arial" w:cs="Arial" w:eastAsia="Arial" w:hAnsi="Arial"/>
          <w:sz w:val="16"/>
          <w:szCs w:val="16"/>
          <w:color w:val="FFFFFF"/>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666115</wp:posOffset>
                </wp:positionV>
                <wp:extent cx="653224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45pt" to="514.35pt,52.45pt" o:allowincell="f" strokecolor="#000000" strokeweight="1.6199pt"/>
            </w:pict>
          </mc:Fallback>
        </mc:AlternateContent>
      </w:r>
    </w:p>
    <w:p>
      <w:pPr>
        <w:sectPr>
          <w:pgSz w:w="11900" w:h="16840" w:orient="portrait"/>
          <w:cols w:equalWidth="0" w:num="1">
            <w:col w:w="10284"/>
          </w:cols>
          <w:pgMar w:left="816" w:top="1168" w:right="804" w:bottom="1440" w:gutter="0" w:footer="0" w:header="0"/>
        </w:sectPr>
      </w:pPr>
    </w:p>
    <w:bookmarkStart w:id="174" w:name="page175"/>
    <w:bookmarkEnd w:id="174"/>
    <w:p>
      <w:pPr>
        <w:ind w:left="4"/>
        <w:spacing w:after="0"/>
        <w:rPr>
          <w:sz w:val="20"/>
          <w:szCs w:val="20"/>
          <w:color w:val="auto"/>
        </w:rPr>
      </w:pPr>
      <w:r>
        <w:rPr>
          <w:rFonts w:ascii="Arial" w:cs="Arial" w:eastAsia="Arial" w:hAnsi="Arial"/>
          <w:sz w:val="14"/>
          <w:szCs w:val="14"/>
          <w:color w:val="001346"/>
        </w:rPr>
        <w:t>These meetings provide an opportunity for us to maintain an active dialogue with our stockholders so that their perspectives can be thoughtfully considered.</w:t>
      </w:r>
    </w:p>
    <w:p>
      <w:pPr>
        <w:sectPr>
          <w:pgSz w:w="11900" w:h="16840" w:orient="portrait"/>
          <w:cols w:equalWidth="0" w:num="1">
            <w:col w:w="10284"/>
          </w:cols>
          <w:pgMar w:left="816" w:top="1168" w:right="804" w:bottom="1440" w:gutter="0" w:footer="0" w:header="0"/>
        </w:sectPr>
      </w:pPr>
    </w:p>
    <w:p>
      <w:pPr>
        <w:spacing w:after="0" w:line="187"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001346"/>
        </w:rPr>
        <w:t>Spring / Summer</w:t>
      </w:r>
    </w:p>
    <w:p>
      <w:pPr>
        <w:spacing w:after="0" w:line="107" w:lineRule="exact"/>
        <w:rPr>
          <w:sz w:val="20"/>
          <w:szCs w:val="20"/>
          <w:color w:val="auto"/>
        </w:rPr>
      </w:pPr>
    </w:p>
    <w:p>
      <w:pPr>
        <w:ind w:left="284" w:right="2260" w:hanging="284"/>
        <w:spacing w:after="0" w:line="299" w:lineRule="auto"/>
        <w:tabs>
          <w:tab w:leader="none" w:pos="283" w:val="left"/>
        </w:tabs>
        <w:numPr>
          <w:ilvl w:val="0"/>
          <w:numId w:val="89"/>
        </w:numPr>
        <w:rPr>
          <w:rFonts w:ascii="Arial" w:cs="Arial" w:eastAsia="Arial" w:hAnsi="Arial"/>
          <w:sz w:val="14"/>
          <w:szCs w:val="14"/>
          <w:color w:val="FF0000"/>
        </w:rPr>
      </w:pPr>
      <w:r>
        <w:rPr>
          <w:rFonts w:ascii="Arial" w:cs="Arial" w:eastAsia="Arial" w:hAnsi="Arial"/>
          <w:sz w:val="14"/>
          <w:szCs w:val="14"/>
          <w:color w:val="001346"/>
        </w:rPr>
        <w:t>Analyze and consider voting results and investor feedback following our annual meeting.</w:t>
      </w:r>
    </w:p>
    <w:p>
      <w:pPr>
        <w:spacing w:after="0" w:line="30" w:lineRule="exact"/>
        <w:rPr>
          <w:rFonts w:ascii="Arial" w:cs="Arial" w:eastAsia="Arial" w:hAnsi="Arial"/>
          <w:sz w:val="14"/>
          <w:szCs w:val="14"/>
          <w:color w:val="FF0000"/>
        </w:rPr>
      </w:pPr>
    </w:p>
    <w:p>
      <w:pPr>
        <w:ind w:left="284" w:right="2200" w:hanging="284"/>
        <w:spacing w:after="0" w:line="299" w:lineRule="auto"/>
        <w:tabs>
          <w:tab w:leader="none" w:pos="283" w:val="left"/>
        </w:tabs>
        <w:numPr>
          <w:ilvl w:val="0"/>
          <w:numId w:val="89"/>
        </w:numPr>
        <w:rPr>
          <w:rFonts w:ascii="Arial" w:cs="Arial" w:eastAsia="Arial" w:hAnsi="Arial"/>
          <w:sz w:val="14"/>
          <w:szCs w:val="14"/>
          <w:color w:val="FF0000"/>
        </w:rPr>
      </w:pPr>
      <w:r>
        <w:rPr>
          <w:rFonts w:ascii="Arial" w:cs="Arial" w:eastAsia="Arial" w:hAnsi="Arial"/>
          <w:sz w:val="14"/>
          <w:szCs w:val="14"/>
          <w:color w:val="001346"/>
        </w:rPr>
        <w:t>Identify governance trends and potential areas for improvement.</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001346"/>
        </w:rPr>
        <w:t>Summer / Fall</w:t>
      </w:r>
    </w:p>
    <w:p>
      <w:pPr>
        <w:spacing w:after="0" w:line="107" w:lineRule="exact"/>
        <w:rPr>
          <w:sz w:val="20"/>
          <w:szCs w:val="20"/>
          <w:color w:val="auto"/>
        </w:rPr>
      </w:pPr>
    </w:p>
    <w:p>
      <w:pPr>
        <w:ind w:left="284" w:right="2540" w:hanging="284"/>
        <w:spacing w:after="0" w:line="299" w:lineRule="auto"/>
        <w:tabs>
          <w:tab w:leader="none" w:pos="283" w:val="left"/>
        </w:tabs>
        <w:numPr>
          <w:ilvl w:val="0"/>
          <w:numId w:val="90"/>
        </w:numPr>
        <w:rPr>
          <w:rFonts w:ascii="Arial" w:cs="Arial" w:eastAsia="Arial" w:hAnsi="Arial"/>
          <w:sz w:val="14"/>
          <w:szCs w:val="14"/>
          <w:color w:val="FF0000"/>
        </w:rPr>
      </w:pPr>
      <w:r>
        <w:rPr>
          <w:rFonts w:ascii="Arial" w:cs="Arial" w:eastAsia="Arial" w:hAnsi="Arial"/>
          <w:sz w:val="14"/>
          <w:szCs w:val="14"/>
          <w:color w:val="001346"/>
        </w:rPr>
        <w:t>Conduct pro-active off-season outreach with stockholders.</w:t>
      </w:r>
    </w:p>
    <w:p>
      <w:pPr>
        <w:spacing w:after="0" w:line="30" w:lineRule="exact"/>
        <w:rPr>
          <w:rFonts w:ascii="Arial" w:cs="Arial" w:eastAsia="Arial" w:hAnsi="Arial"/>
          <w:sz w:val="14"/>
          <w:szCs w:val="14"/>
          <w:color w:val="FF0000"/>
        </w:rPr>
      </w:pPr>
    </w:p>
    <w:p>
      <w:pPr>
        <w:ind w:left="284" w:hanging="284"/>
        <w:spacing w:after="0"/>
        <w:tabs>
          <w:tab w:leader="none" w:pos="284" w:val="left"/>
        </w:tabs>
        <w:numPr>
          <w:ilvl w:val="0"/>
          <w:numId w:val="90"/>
        </w:numPr>
        <w:rPr>
          <w:rFonts w:ascii="Arial" w:cs="Arial" w:eastAsia="Arial" w:hAnsi="Arial"/>
          <w:sz w:val="14"/>
          <w:szCs w:val="14"/>
          <w:color w:val="FF0000"/>
        </w:rPr>
      </w:pPr>
      <w:r>
        <w:rPr>
          <w:rFonts w:ascii="Arial" w:cs="Arial" w:eastAsia="Arial" w:hAnsi="Arial"/>
          <w:sz w:val="14"/>
          <w:szCs w:val="14"/>
          <w:color w:val="001346"/>
        </w:rPr>
        <w:t>Implement changes to align with investor feedback.</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Fall /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-88900</wp:posOffset>
            </wp:positionV>
            <wp:extent cx="1447165" cy="1447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2">
                      <a:extLst>
                        <a:ext uri="{28A0092B-C50C-407E-A947-70E740481C1C}"/>
                      </a:extLst>
                    </a:blip>
                    <a:srcRect/>
                    <a:stretch>
                      <a:fillRect/>
                    </a:stretch>
                  </pic:blipFill>
                  <pic:spPr bwMode="auto">
                    <a:xfrm>
                      <a:off x="0" y="0"/>
                      <a:ext cx="1447165" cy="1447800"/>
                    </a:xfrm>
                    <a:prstGeom prst="rect">
                      <a:avLst/>
                    </a:prstGeom>
                    <a:noFill/>
                  </pic:spPr>
                </pic:pic>
              </a:graphicData>
            </a:graphic>
          </wp:anchor>
        </w:drawing>
      </w:r>
    </w:p>
    <w:p>
      <w:pPr>
        <w:spacing w:after="0" w:line="87" w:lineRule="exact"/>
        <w:rPr>
          <w:sz w:val="20"/>
          <w:szCs w:val="20"/>
          <w:color w:val="auto"/>
        </w:rPr>
      </w:pPr>
    </w:p>
    <w:p>
      <w:pPr>
        <w:ind w:left="240" w:hanging="239"/>
        <w:spacing w:after="0"/>
        <w:tabs>
          <w:tab w:leader="none" w:pos="240" w:val="left"/>
        </w:tabs>
        <w:numPr>
          <w:ilvl w:val="0"/>
          <w:numId w:val="91"/>
        </w:numPr>
        <w:rPr>
          <w:rFonts w:ascii="Arial" w:cs="Arial" w:eastAsia="Arial" w:hAnsi="Arial"/>
          <w:sz w:val="14"/>
          <w:szCs w:val="14"/>
          <w:color w:val="FF0000"/>
        </w:rPr>
      </w:pPr>
      <w:r>
        <w:rPr>
          <w:rFonts w:ascii="Arial" w:cs="Arial" w:eastAsia="Arial" w:hAnsi="Arial"/>
          <w:sz w:val="14"/>
          <w:szCs w:val="14"/>
          <w:color w:val="001346"/>
        </w:rPr>
        <w:t>Continued stockholder engagement.</w:t>
      </w:r>
    </w:p>
    <w:p>
      <w:pPr>
        <w:spacing w:after="0" w:line="103" w:lineRule="exact"/>
        <w:rPr>
          <w:rFonts w:ascii="Arial" w:cs="Arial" w:eastAsia="Arial" w:hAnsi="Arial"/>
          <w:sz w:val="14"/>
          <w:szCs w:val="14"/>
          <w:color w:val="FF0000"/>
        </w:rPr>
      </w:pPr>
    </w:p>
    <w:p>
      <w:pPr>
        <w:ind w:left="280" w:hanging="279"/>
        <w:spacing w:after="0" w:line="299" w:lineRule="auto"/>
        <w:tabs>
          <w:tab w:leader="none" w:pos="239" w:val="left"/>
        </w:tabs>
        <w:numPr>
          <w:ilvl w:val="0"/>
          <w:numId w:val="91"/>
        </w:numPr>
        <w:rPr>
          <w:rFonts w:ascii="Arial" w:cs="Arial" w:eastAsia="Arial" w:hAnsi="Arial"/>
          <w:sz w:val="14"/>
          <w:szCs w:val="14"/>
          <w:color w:val="FF0000"/>
        </w:rPr>
      </w:pPr>
      <w:r>
        <w:rPr>
          <w:rFonts w:ascii="Arial" w:cs="Arial" w:eastAsia="Arial" w:hAnsi="Arial"/>
          <w:sz w:val="14"/>
          <w:szCs w:val="14"/>
          <w:color w:val="001346"/>
        </w:rPr>
        <w:t>Enhance Proxy Statement and Annual Report disclosures based on feedback.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Winter / Spring</w:t>
      </w:r>
    </w:p>
    <w:p>
      <w:pPr>
        <w:spacing w:after="0" w:line="107" w:lineRule="exact"/>
        <w:rPr>
          <w:sz w:val="20"/>
          <w:szCs w:val="20"/>
          <w:color w:val="auto"/>
        </w:rPr>
      </w:pPr>
    </w:p>
    <w:p>
      <w:pPr>
        <w:ind w:left="280" w:right="400" w:hanging="279"/>
        <w:spacing w:after="0" w:line="299" w:lineRule="auto"/>
        <w:tabs>
          <w:tab w:leader="none" w:pos="239" w:val="left"/>
        </w:tabs>
        <w:numPr>
          <w:ilvl w:val="0"/>
          <w:numId w:val="92"/>
        </w:numPr>
        <w:rPr>
          <w:rFonts w:ascii="Arial" w:cs="Arial" w:eastAsia="Arial" w:hAnsi="Arial"/>
          <w:sz w:val="14"/>
          <w:szCs w:val="14"/>
          <w:color w:val="FF0000"/>
        </w:rPr>
      </w:pPr>
      <w:r>
        <w:rPr>
          <w:rFonts w:ascii="Arial" w:cs="Arial" w:eastAsia="Arial" w:hAnsi="Arial"/>
          <w:sz w:val="14"/>
          <w:szCs w:val="14"/>
          <w:color w:val="001346"/>
        </w:rPr>
        <w:t>Engage with investors that expressed Proxy related concerns or questions.</w:t>
      </w:r>
    </w:p>
    <w:p>
      <w:pPr>
        <w:spacing w:after="0" w:line="30" w:lineRule="exact"/>
        <w:rPr>
          <w:rFonts w:ascii="Arial" w:cs="Arial" w:eastAsia="Arial" w:hAnsi="Arial"/>
          <w:sz w:val="14"/>
          <w:szCs w:val="14"/>
          <w:color w:val="FF0000"/>
        </w:rPr>
      </w:pPr>
    </w:p>
    <w:p>
      <w:pPr>
        <w:ind w:left="240" w:hanging="239"/>
        <w:spacing w:after="0"/>
        <w:tabs>
          <w:tab w:leader="none" w:pos="240" w:val="left"/>
        </w:tabs>
        <w:numPr>
          <w:ilvl w:val="0"/>
          <w:numId w:val="92"/>
        </w:numPr>
        <w:rPr>
          <w:rFonts w:ascii="Arial" w:cs="Arial" w:eastAsia="Arial" w:hAnsi="Arial"/>
          <w:sz w:val="14"/>
          <w:szCs w:val="14"/>
          <w:color w:val="FF0000"/>
        </w:rPr>
      </w:pPr>
      <w:r>
        <w:rPr>
          <w:rFonts w:ascii="Arial" w:cs="Arial" w:eastAsia="Arial" w:hAnsi="Arial"/>
          <w:sz w:val="14"/>
          <w:szCs w:val="14"/>
          <w:color w:val="001346"/>
        </w:rPr>
        <w:t>Annual Meeting of Stockholders in June.</w:t>
      </w:r>
    </w:p>
    <w:p>
      <w:pPr>
        <w:spacing w:after="0" w:line="335" w:lineRule="exact"/>
        <w:rPr>
          <w:sz w:val="20"/>
          <w:szCs w:val="20"/>
          <w:color w:val="auto"/>
        </w:rPr>
      </w:pPr>
    </w:p>
    <w:p>
      <w:pPr>
        <w:sectPr>
          <w:pgSz w:w="11900" w:h="16840" w:orient="portrait"/>
          <w:cols w:equalWidth="0" w:num="2">
            <w:col w:w="5644" w:space="720"/>
            <w:col w:w="3920"/>
          </w:cols>
          <w:pgMar w:left="816" w:top="1168" w:right="804" w:bottom="1440" w:gutter="0" w:footer="0" w:header="0"/>
          <w:type w:val="continuous"/>
        </w:sectPr>
      </w:pPr>
    </w:p>
    <w:p>
      <w:pPr>
        <w:spacing w:after="0" w:line="187"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001346"/>
        </w:rPr>
        <w:t>During 2025 we engaged with stockholders 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134620</wp:posOffset>
            </wp:positionV>
            <wp:extent cx="3375660" cy="768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3">
                      <a:extLst>
                        <a:ext uri="{28A0092B-C50C-407E-A947-70E740481C1C}"/>
                      </a:extLst>
                    </a:blip>
                    <a:srcRect/>
                    <a:stretch>
                      <a:fillRect/>
                    </a:stretch>
                  </pic:blipFill>
                  <pic:spPr bwMode="auto">
                    <a:xfrm>
                      <a:off x="0" y="0"/>
                      <a:ext cx="3375660" cy="76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 w:right="240"/>
        <w:spacing w:after="0" w:line="299" w:lineRule="auto"/>
        <w:rPr>
          <w:sz w:val="20"/>
          <w:szCs w:val="20"/>
          <w:color w:val="auto"/>
        </w:rPr>
      </w:pPr>
      <w:r>
        <w:rPr>
          <w:rFonts w:ascii="Arial" w:cs="Arial" w:eastAsia="Arial" w:hAnsi="Arial"/>
          <w:sz w:val="14"/>
          <w:szCs w:val="14"/>
          <w:color w:val="001346"/>
        </w:rPr>
        <w:t>Our CFO and other members of the Company’s cross-functional team routinely report feedback received from stockholders to our executive management and Board.</w:t>
      </w:r>
    </w:p>
    <w:p>
      <w:pPr>
        <w:spacing w:after="0" w:line="103" w:lineRule="exact"/>
        <w:rPr>
          <w:sz w:val="20"/>
          <w:szCs w:val="20"/>
          <w:color w:val="auto"/>
        </w:rPr>
      </w:pPr>
    </w:p>
    <w:p>
      <w:pPr>
        <w:jc w:val="both"/>
        <w:ind w:left="4" w:right="220"/>
        <w:spacing w:after="0" w:line="275" w:lineRule="auto"/>
        <w:rPr>
          <w:sz w:val="20"/>
          <w:szCs w:val="20"/>
          <w:color w:val="auto"/>
        </w:rPr>
      </w:pPr>
      <w:r>
        <w:rPr>
          <w:rFonts w:ascii="Arial" w:cs="Arial" w:eastAsia="Arial" w:hAnsi="Arial"/>
          <w:sz w:val="14"/>
          <w:szCs w:val="14"/>
          <w:color w:val="001346"/>
        </w:rPr>
        <w:t>We further communicate with stockholders and other stakeholders through various media, including our annual report and SEC filings, proxy statement, press releases, and our website. Additionally, our CEO and CFO engage in meaningful dialogue with our shareholders through investor -related outreach events, and through our quarterly earnings calls which are open to all. Our earnings calls are available in real-time and as archived webcasts on our website.</w:t>
      </w:r>
    </w:p>
    <w:p>
      <w:pPr>
        <w:spacing w:after="0" w:line="119" w:lineRule="exact"/>
        <w:rPr>
          <w:sz w:val="20"/>
          <w:szCs w:val="20"/>
          <w:color w:val="auto"/>
        </w:rPr>
      </w:pPr>
    </w:p>
    <w:p>
      <w:pPr>
        <w:ind w:left="4" w:right="640"/>
        <w:spacing w:after="0" w:line="299" w:lineRule="auto"/>
        <w:rPr>
          <w:sz w:val="20"/>
          <w:szCs w:val="20"/>
          <w:color w:val="auto"/>
        </w:rPr>
      </w:pPr>
      <w:r>
        <w:rPr>
          <w:rFonts w:ascii="Arial" w:cs="Arial" w:eastAsia="Arial" w:hAnsi="Arial"/>
          <w:sz w:val="14"/>
          <w:szCs w:val="14"/>
          <w:color w:val="001346"/>
        </w:rPr>
        <w:t>The Company encourages stockholders to participate in the Company’s annual stockholder meeting, as it provides a valuable opportunity to discuss the Company, its corporate governance, and other important matters.</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1346"/>
        </w:rPr>
        <w:t>2025 Engagement Topics</w:t>
      </w:r>
    </w:p>
    <w:p>
      <w:pPr>
        <w:spacing w:after="0" w:line="204" w:lineRule="exact"/>
        <w:rPr>
          <w:sz w:val="20"/>
          <w:szCs w:val="20"/>
          <w:color w:val="auto"/>
        </w:rPr>
      </w:pP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Board Composition and tenure;</w:t>
      </w:r>
    </w:p>
    <w:p>
      <w:pPr>
        <w:spacing w:after="0" w:line="3" w:lineRule="exact"/>
        <w:rPr>
          <w:rFonts w:ascii="Arial" w:cs="Arial" w:eastAsia="Arial" w:hAnsi="Arial"/>
          <w:sz w:val="16"/>
          <w:szCs w:val="16"/>
          <w:color w:val="FF0000"/>
        </w:rPr>
      </w:pP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Corporate governance matters, including current stockholder rights, board declassification, and board leadership structure;</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Compensation program and long-term incentive compensation mix linking pay and performance;</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Financial performance and key operational metrics;</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Policy and regulatory developments;</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Long term corporate strategy;</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Executive compensation;</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Corporate Social Responsibility matters; and</w:t>
      </w:r>
    </w:p>
    <w:p>
      <w:pPr>
        <w:ind w:left="864" w:hanging="288"/>
        <w:spacing w:after="0"/>
        <w:tabs>
          <w:tab w:leader="none" w:pos="864" w:val="left"/>
        </w:tabs>
        <w:numPr>
          <w:ilvl w:val="0"/>
          <w:numId w:val="93"/>
        </w:numPr>
        <w:rPr>
          <w:rFonts w:ascii="Arial" w:cs="Arial" w:eastAsia="Arial" w:hAnsi="Arial"/>
          <w:sz w:val="16"/>
          <w:szCs w:val="16"/>
          <w:color w:val="FF0000"/>
        </w:rPr>
      </w:pPr>
      <w:r>
        <w:rPr>
          <w:rFonts w:ascii="Arial" w:cs="Arial" w:eastAsia="Arial" w:hAnsi="Arial"/>
          <w:sz w:val="14"/>
          <w:szCs w:val="14"/>
          <w:color w:val="001346"/>
        </w:rPr>
        <w:t>Human capital management including pay equity, inclusion and employee engagement.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124460</wp:posOffset>
                </wp:positionV>
                <wp:extent cx="6532880" cy="70104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701040"/>
                        </a:xfrm>
                        <a:prstGeom prst="rect">
                          <a:avLst/>
                        </a:prstGeom>
                        <a:solidFill>
                          <a:srgbClr val="00082E"/>
                        </a:solidFill>
                      </wps:spPr>
                      <wps:bodyPr/>
                    </wps:wsp>
                  </a:graphicData>
                </a:graphic>
              </wp:anchor>
            </w:drawing>
          </mc:Choice>
          <mc:Fallback>
            <w:pict>
              <v:rect id="Shape 289" o:spid="_x0000_s1314" style="position:absolute;margin-left:0pt;margin-top:9.8pt;width:514.4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27" w:lineRule="exact"/>
        <w:rPr>
          <w:sz w:val="20"/>
          <w:szCs w:val="20"/>
          <w:color w:val="auto"/>
        </w:rPr>
      </w:pPr>
    </w:p>
    <w:p>
      <w:pPr>
        <w:ind w:left="724"/>
        <w:spacing w:after="0"/>
        <w:rPr>
          <w:sz w:val="20"/>
          <w:szCs w:val="20"/>
          <w:color w:val="auto"/>
        </w:rPr>
      </w:pPr>
      <w:r>
        <w:rPr>
          <w:rFonts w:ascii="Arial" w:cs="Arial" w:eastAsia="Arial" w:hAnsi="Arial"/>
          <w:sz w:val="16"/>
          <w:szCs w:val="16"/>
          <w:color w:val="FFFFFF"/>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53224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5pt" to="514.35pt,43.25pt" o:allowincell="f" strokecolor="#000000" strokeweight="1.62pt"/>
            </w:pict>
          </mc:Fallback>
        </mc:AlternateContent>
      </w:r>
    </w:p>
    <w:p>
      <w:pPr>
        <w:sectPr>
          <w:pgSz w:w="11900" w:h="16840" w:orient="portrait"/>
          <w:cols w:equalWidth="0" w:num="1">
            <w:col w:w="10284"/>
          </w:cols>
          <w:pgMar w:left="816" w:top="1168" w:right="804"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38"/>
          <w:szCs w:val="38"/>
          <w:b w:val="1"/>
          <w:bCs w:val="1"/>
          <w:color w:val="auto"/>
        </w:rPr>
        <w:t>Communications with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-247015</wp:posOffset>
                </wp:positionV>
                <wp:extent cx="653224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4">
                          <a:solidFill>
                            <a:srgbClr val="FF3232"/>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4499pt" to="514.15pt,-19.4499pt" o:allowincell="f" strokecolor="#FF3232" strokeweight="0.42pt"/>
            </w:pict>
          </mc:Fallback>
        </mc:AlternateConten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346"/>
        </w:rPr>
        <w:t>Any stockholder of the Company or any other interested party wishing to communicate with the Board, Chairperson of the Board or individual directors may write to the Board at Board of Directors, c/o Corporate Secretary, 1 HaMada Street, Herziliya 4673335, Israel, or by email at investors@solaredge.com.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the Chairperson of the Board or individual directors so addressed will be advised of any communication withheld for safety or security reasons as soon as practicable.</w:t>
      </w:r>
    </w:p>
    <w:p>
      <w:pPr>
        <w:spacing w:after="0" w:line="301"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color w:val="001346"/>
        </w:rPr>
        <w:t>In addition, any person wishing to communicate with the Company’s independent directors may do so by writing to them, c/o Corporate Secretary, 1 HaMada Street, Herziliya, Israel, 4673335 or by email at investors@solaredge.com.</w:t>
      </w:r>
    </w:p>
    <w:p>
      <w:pPr>
        <w:spacing w:after="0" w:line="87"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 xml:space="preserve">Corporate Social Responsibility </w:t>
      </w:r>
      <w:r>
        <w:rPr>
          <w:rFonts w:ascii="Arial" w:cs="Arial" w:eastAsia="Arial" w:hAnsi="Arial"/>
          <w:sz w:val="64"/>
          <w:szCs w:val="64"/>
          <w:b w:val="1"/>
          <w:bCs w:val="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-434340</wp:posOffset>
                </wp:positionV>
                <wp:extent cx="653224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1999pt" to="514.15pt,-34.1999pt" o:allowincell="f" strokecolor="#FF3232" strokeweight="0.4199pt"/>
            </w:pict>
          </mc:Fallback>
        </mc:AlternateContent>
        <w:drawing>
          <wp:anchor simplePos="0" relativeHeight="251657728" behindDoc="1" locked="0" layoutInCell="0" allowOverlap="1">
            <wp:simplePos x="0" y="0"/>
            <wp:positionH relativeFrom="column">
              <wp:posOffset>52070</wp:posOffset>
            </wp:positionH>
            <wp:positionV relativeFrom="paragraph">
              <wp:posOffset>-34925</wp:posOffset>
            </wp:positionV>
            <wp:extent cx="358140" cy="3581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4">
                      <a:extLst>
                        <a:ext uri="{28A0092B-C50C-407E-A947-70E740481C1C}"/>
                      </a:extLst>
                    </a:blip>
                    <a:srcRect/>
                    <a:stretch>
                      <a:fillRect/>
                    </a:stretch>
                  </pic:blipFill>
                  <pic:spPr bwMode="auto">
                    <a:xfrm>
                      <a:off x="0" y="0"/>
                      <a:ext cx="358140" cy="3581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-34925</wp:posOffset>
            </wp:positionV>
            <wp:extent cx="320040" cy="3352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5">
                      <a:extLst>
                        <a:ext uri="{28A0092B-C50C-407E-A947-70E740481C1C}"/>
                      </a:extLst>
                    </a:blip>
                    <a:srcRect/>
                    <a:stretch>
                      <a:fillRect/>
                    </a:stretch>
                  </pic:blipFill>
                  <pic:spPr bwMode="auto">
                    <a:xfrm>
                      <a:off x="0" y="0"/>
                      <a:ext cx="320040" cy="33528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-34925</wp:posOffset>
            </wp:positionV>
            <wp:extent cx="358140" cy="281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6">
                      <a:extLst>
                        <a:ext uri="{28A0092B-C50C-407E-A947-70E740481C1C}"/>
                      </a:extLst>
                    </a:blip>
                    <a:srcRect/>
                    <a:stretch>
                      <a:fillRect/>
                    </a:stretch>
                  </pic:blipFill>
                  <pic:spPr bwMode="auto">
                    <a:xfrm>
                      <a:off x="0" y="0"/>
                      <a:ext cx="358140" cy="2819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880" w:type="dxa"/>
        <w:tblCellMar>
          <w:top w:w="0" w:type="dxa"/>
          <w:left w:w="0" w:type="dxa"/>
          <w:bottom w:w="0" w:type="dxa"/>
          <w:right w:w="0" w:type="dxa"/>
        </w:tblCellMar>
      </w:tblPr>
      <w:tr>
        <w:trPr>
          <w:trHeight w:val="194"/>
        </w:trPr>
        <w:tc>
          <w:tcPr>
            <w:tcW w:w="2760" w:type="dxa"/>
            <w:vAlign w:val="bottom"/>
          </w:tcPr>
          <w:p>
            <w:pPr>
              <w:ind w:left="160"/>
              <w:spacing w:after="0"/>
              <w:rPr>
                <w:sz w:val="20"/>
                <w:szCs w:val="20"/>
                <w:color w:val="auto"/>
              </w:rPr>
            </w:pPr>
            <w:r>
              <w:rPr>
                <w:rFonts w:ascii="Arial" w:cs="Arial" w:eastAsia="Arial" w:hAnsi="Arial"/>
                <w:sz w:val="14"/>
                <w:szCs w:val="14"/>
                <w:color w:val="001346"/>
              </w:rPr>
              <w:t>Product Innovation</w:t>
            </w:r>
          </w:p>
        </w:tc>
        <w:tc>
          <w:tcPr>
            <w:tcW w:w="3120" w:type="dxa"/>
            <w:vAlign w:val="bottom"/>
          </w:tcPr>
          <w:p>
            <w:pPr>
              <w:ind w:left="800"/>
              <w:spacing w:after="0"/>
              <w:rPr>
                <w:sz w:val="20"/>
                <w:szCs w:val="20"/>
                <w:color w:val="auto"/>
              </w:rPr>
            </w:pPr>
            <w:r>
              <w:rPr>
                <w:rFonts w:ascii="Arial" w:cs="Arial" w:eastAsia="Arial" w:hAnsi="Arial"/>
                <w:sz w:val="14"/>
                <w:szCs w:val="14"/>
                <w:color w:val="001346"/>
              </w:rPr>
              <w:t>Powering People</w:t>
            </w:r>
          </w:p>
        </w:tc>
        <w:tc>
          <w:tcPr>
            <w:tcW w:w="2680" w:type="dxa"/>
            <w:vAlign w:val="bottom"/>
          </w:tcPr>
          <w:p>
            <w:pPr>
              <w:ind w:left="760"/>
              <w:spacing w:after="0"/>
              <w:rPr>
                <w:sz w:val="20"/>
                <w:szCs w:val="20"/>
                <w:color w:val="auto"/>
              </w:rPr>
            </w:pPr>
            <w:r>
              <w:rPr>
                <w:rFonts w:ascii="Arial" w:cs="Arial" w:eastAsia="Arial" w:hAnsi="Arial"/>
                <w:sz w:val="14"/>
                <w:szCs w:val="14"/>
                <w:color w:val="001346"/>
              </w:rPr>
              <w:t>Powering Business</w:t>
            </w:r>
          </w:p>
        </w:tc>
      </w:tr>
      <w:tr>
        <w:trPr>
          <w:trHeight w:val="216"/>
        </w:trPr>
        <w:tc>
          <w:tcPr>
            <w:tcW w:w="2760" w:type="dxa"/>
            <w:vAlign w:val="bottom"/>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Powering Clean Energy</w:t>
            </w:r>
          </w:p>
        </w:tc>
        <w:tc>
          <w:tcPr>
            <w:tcW w:w="3120" w:type="dxa"/>
            <w:vAlign w:val="bottom"/>
          </w:tcPr>
          <w:p>
            <w:pPr>
              <w:ind w:left="64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Be a responsible employer</w:t>
            </w:r>
          </w:p>
        </w:tc>
        <w:tc>
          <w:tcPr>
            <w:tcW w:w="2680" w:type="dxa"/>
            <w:vAlign w:val="bottom"/>
          </w:tcPr>
          <w:p>
            <w:pPr>
              <w:ind w:left="6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Ethical and compliant conduct</w:t>
            </w:r>
          </w:p>
        </w:tc>
      </w:tr>
      <w:tr>
        <w:trPr>
          <w:trHeight w:val="190"/>
        </w:trPr>
        <w:tc>
          <w:tcPr>
            <w:tcW w:w="2760" w:type="dxa"/>
            <w:vAlign w:val="bottom"/>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Accelerate affordable clean</w:t>
            </w:r>
          </w:p>
        </w:tc>
        <w:tc>
          <w:tcPr>
            <w:tcW w:w="3120" w:type="dxa"/>
            <w:vAlign w:val="bottom"/>
          </w:tcPr>
          <w:p>
            <w:pPr>
              <w:ind w:left="64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Protect human rights</w:t>
            </w:r>
          </w:p>
        </w:tc>
        <w:tc>
          <w:tcPr>
            <w:tcW w:w="2680" w:type="dxa"/>
            <w:vAlign w:val="bottom"/>
          </w:tcPr>
          <w:p>
            <w:pPr>
              <w:ind w:left="6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Climate resilience</w:t>
            </w:r>
          </w:p>
        </w:tc>
      </w:tr>
      <w:tr>
        <w:trPr>
          <w:trHeight w:val="216"/>
        </w:trPr>
        <w:tc>
          <w:tcPr>
            <w:tcW w:w="2760" w:type="dxa"/>
            <w:vAlign w:val="bottom"/>
          </w:tcPr>
          <w:p>
            <w:pPr>
              <w:spacing w:after="0"/>
              <w:rPr>
                <w:sz w:val="20"/>
                <w:szCs w:val="20"/>
                <w:color w:val="auto"/>
              </w:rPr>
            </w:pPr>
            <w:r>
              <w:rPr>
                <w:rFonts w:ascii="Arial" w:cs="Arial" w:eastAsia="Arial" w:hAnsi="Arial"/>
                <w:sz w:val="14"/>
                <w:szCs w:val="14"/>
                <w:color w:val="001346"/>
              </w:rPr>
              <w:t>energy</w:t>
            </w:r>
          </w:p>
        </w:tc>
        <w:tc>
          <w:tcPr>
            <w:tcW w:w="3120" w:type="dxa"/>
            <w:vAlign w:val="bottom"/>
          </w:tcPr>
          <w:p>
            <w:pPr>
              <w:ind w:left="64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Invest in communities</w:t>
            </w:r>
          </w:p>
        </w:tc>
        <w:tc>
          <w:tcPr>
            <w:tcW w:w="2680" w:type="dxa"/>
            <w:vAlign w:val="bottom"/>
          </w:tcPr>
          <w:p>
            <w:pPr>
              <w:ind w:left="6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Resource efficiency</w:t>
            </w:r>
          </w:p>
        </w:tc>
      </w:tr>
      <w:tr>
        <w:trPr>
          <w:trHeight w:val="220"/>
        </w:trPr>
        <w:tc>
          <w:tcPr>
            <w:tcW w:w="2760" w:type="dxa"/>
            <w:vAlign w:val="bottom"/>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Deliver smart energy solutions</w:t>
            </w:r>
          </w:p>
        </w:tc>
        <w:tc>
          <w:tcPr>
            <w:tcW w:w="3120" w:type="dxa"/>
            <w:vAlign w:val="bottom"/>
          </w:tcPr>
          <w:p>
            <w:pPr>
              <w:spacing w:after="0"/>
              <w:rPr>
                <w:sz w:val="19"/>
                <w:szCs w:val="19"/>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Ethical sourcing</w:t>
            </w:r>
          </w:p>
        </w:tc>
      </w:tr>
    </w:tbl>
    <w:p>
      <w:pPr>
        <w:ind w:left="1040" w:hanging="157"/>
        <w:spacing w:after="0"/>
        <w:tabs>
          <w:tab w:leader="none" w:pos="1040" w:val="left"/>
        </w:tabs>
        <w:numPr>
          <w:ilvl w:val="1"/>
          <w:numId w:val="94"/>
        </w:numPr>
        <w:rPr>
          <w:rFonts w:ascii="Arial" w:cs="Arial" w:eastAsia="Arial" w:hAnsi="Arial"/>
          <w:sz w:val="14"/>
          <w:szCs w:val="14"/>
          <w:color w:val="FF0000"/>
        </w:rPr>
      </w:pPr>
      <w:r>
        <w:rPr>
          <w:rFonts w:ascii="Arial" w:cs="Arial" w:eastAsia="Arial" w:hAnsi="Arial"/>
          <w:sz w:val="14"/>
          <w:szCs w:val="14"/>
          <w:color w:val="001346"/>
        </w:rPr>
        <w:t>Deliver sustainable products</w:t>
      </w:r>
    </w:p>
    <w:p>
      <w:pPr>
        <w:spacing w:after="0" w:line="187" w:lineRule="exact"/>
        <w:rPr>
          <w:rFonts w:ascii="Arial" w:cs="Arial" w:eastAsia="Arial" w:hAnsi="Arial"/>
          <w:sz w:val="14"/>
          <w:szCs w:val="14"/>
          <w:color w:val="FF0000"/>
        </w:rPr>
      </w:pPr>
    </w:p>
    <w:p>
      <w:pPr>
        <w:ind w:left="580" w:right="140" w:hanging="296"/>
        <w:spacing w:after="0" w:line="266" w:lineRule="auto"/>
        <w:tabs>
          <w:tab w:leader="none" w:pos="580" w:val="left"/>
        </w:tabs>
        <w:numPr>
          <w:ilvl w:val="0"/>
          <w:numId w:val="94"/>
        </w:numPr>
        <w:rPr>
          <w:rFonts w:ascii="Arial" w:cs="Arial" w:eastAsia="Arial" w:hAnsi="Arial"/>
          <w:sz w:val="14"/>
          <w:szCs w:val="14"/>
          <w:color w:val="001346"/>
        </w:rPr>
      </w:pPr>
      <w:r>
        <w:rPr>
          <w:rFonts w:ascii="Arial" w:cs="Arial" w:eastAsia="Arial" w:hAnsi="Arial"/>
          <w:sz w:val="14"/>
          <w:szCs w:val="14"/>
          <w:color w:val="001346"/>
        </w:rPr>
        <w:t>Our sustainability initiatives and goals are aspirational and may change. Statements regarding our initiatives and goals are not guarantees or promises that they will be met, and the inclusion of information in our sustainability reports (as discussed below), or identifying it as material for purposes of such report or assessing our sustainability and corporate social responsibility initiatives, should not be construed as a characterization of the materiality or financial impact of that information with respect to us or for purposes of any of our SEC filings.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100330</wp:posOffset>
                </wp:positionV>
                <wp:extent cx="6532245" cy="70104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296" o:spid="_x0000_s1321" style="position:absolute;margin-left:-0.1499pt;margin-top:7.9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539115</wp:posOffset>
            </wp:positionV>
            <wp:extent cx="6532880"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7">
                      <a:extLst>
                        <a:ext uri="{28A0092B-C50C-407E-A947-70E740481C1C}"/>
                      </a:extLst>
                    </a:blip>
                    <a:srcRect/>
                    <a:stretch>
                      <a:fillRect/>
                    </a:stretch>
                  </pic:blipFill>
                  <pic:spPr bwMode="auto">
                    <a:xfrm>
                      <a:off x="0" y="0"/>
                      <a:ext cx="6532880" cy="20320"/>
                    </a:xfrm>
                    <a:prstGeom prst="rect">
                      <a:avLst/>
                    </a:prstGeom>
                    <a:noFill/>
                  </pic:spPr>
                </pic:pic>
              </a:graphicData>
            </a:graphic>
          </wp:anchor>
        </w:drawing>
      </w:r>
    </w:p>
    <w:p>
      <w:pPr>
        <w:sectPr>
          <w:pgSz w:w="11900" w:h="16840" w:orient="portrait"/>
          <w:cols w:equalWidth="0" w:num="1">
            <w:col w:w="10280"/>
          </w:cols>
          <w:pgMar w:left="820" w:top="1140" w:right="804" w:bottom="1440" w:gutter="0" w:footer="0" w:header="0"/>
        </w:sectPr>
      </w:pPr>
    </w:p>
    <w:bookmarkStart w:id="176" w:name="page177"/>
    <w:bookmarkEnd w:id="176"/>
    <w:p>
      <w:pPr>
        <w:ind w:left="4" w:right="40"/>
        <w:spacing w:after="0" w:line="260" w:lineRule="auto"/>
        <w:rPr>
          <w:sz w:val="20"/>
          <w:szCs w:val="20"/>
          <w:color w:val="auto"/>
        </w:rPr>
      </w:pPr>
      <w:r>
        <w:rPr>
          <w:rFonts w:ascii="Arial" w:cs="Arial" w:eastAsia="Arial" w:hAnsi="Arial"/>
          <w:sz w:val="14"/>
          <w:szCs w:val="14"/>
          <w:color w:val="001346"/>
        </w:rPr>
        <w:t>Sustainability is a focus area in the SolarEdge vision and business activities. We are dedicated to working to accelerate the move to a low-carbon world, powered by a decentralized, distributed, interconnected energy network with the aim that electricity is generated, stored, managed and used in the most optimal manner. During 2025, we continued making our sustainability performance and disclosures. We have crafted a comprehensive sustainability strategy with quantitative and qualitative targets in several areas. Our seventh annual Sustainability Report, published in 2025, was prepared in reference to leading global sustainability disclosure standards, GRI (Global Reporting Initiative) and in reference to SASB (Sustainability Accounting Standards Board) standards, and aimed to meet the expectations of investors and other stakeholders. Our sustainability strategy includes the following pillars:</w:t>
      </w:r>
    </w:p>
    <w:p>
      <w:pPr>
        <w:spacing w:after="0" w:line="132" w:lineRule="exact"/>
        <w:rPr>
          <w:sz w:val="20"/>
          <w:szCs w:val="20"/>
          <w:color w:val="auto"/>
        </w:rPr>
      </w:pPr>
    </w:p>
    <w:p>
      <w:pPr>
        <w:ind w:left="824" w:right="40" w:hanging="309"/>
        <w:spacing w:after="0" w:line="279" w:lineRule="auto"/>
        <w:tabs>
          <w:tab w:leader="none" w:pos="824" w:val="left"/>
        </w:tabs>
        <w:numPr>
          <w:ilvl w:val="0"/>
          <w:numId w:val="9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Powering Clean Energy</w:t>
      </w:r>
      <w:r>
        <w:rPr>
          <w:rFonts w:ascii="Arial" w:cs="Arial" w:eastAsia="Arial" w:hAnsi="Arial"/>
          <w:sz w:val="14"/>
          <w:szCs w:val="14"/>
          <w:color w:val="001346"/>
        </w:rPr>
        <w:t>: Accelerating the uptake of clean energy, delivering new smart energy, innovative solutions and improving the lifecycle</w:t>
      </w:r>
      <w:r>
        <w:rPr>
          <w:rFonts w:ascii="Arial" w:cs="Arial" w:eastAsia="Arial" w:hAnsi="Arial"/>
          <w:sz w:val="14"/>
          <w:szCs w:val="14"/>
          <w:b w:val="1"/>
          <w:bCs w:val="1"/>
          <w:color w:val="001346"/>
        </w:rPr>
        <w:t xml:space="preserve"> </w:t>
      </w:r>
      <w:r>
        <w:rPr>
          <w:rFonts w:ascii="Arial" w:cs="Arial" w:eastAsia="Arial" w:hAnsi="Arial"/>
          <w:sz w:val="14"/>
          <w:szCs w:val="14"/>
          <w:color w:val="001346"/>
        </w:rPr>
        <w:t>impacts of our products. As a business founded upon the acceleration of clean energy, we strive to reduce our climate impact by minimizing GHG (greenhouse gas) emissions and transitioning to renewable electricity usage in our facilities. By the end of 2025, SolarEdge has three of its own PV systems on its rooftops. Our manufacturing sites have conducted several steps to further optimize and reduce their energy consumption. Furthermore, we have completed a lifecycle analysis for three of our key products, examining the environmental impact of all product life stages. We also strive to achieve near-zero e-waste and minimize the landfill waste of all waste types.</w:t>
      </w:r>
    </w:p>
    <w:p>
      <w:pPr>
        <w:spacing w:after="0" w:line="133" w:lineRule="exact"/>
        <w:rPr>
          <w:rFonts w:ascii="Times New Roman" w:cs="Times New Roman" w:eastAsia="Times New Roman" w:hAnsi="Times New Roman"/>
          <w:sz w:val="14"/>
          <w:szCs w:val="14"/>
          <w:color w:val="FF0000"/>
        </w:rPr>
      </w:pPr>
    </w:p>
    <w:p>
      <w:pPr>
        <w:ind w:left="824" w:right="500" w:hanging="309"/>
        <w:spacing w:after="0" w:line="263" w:lineRule="auto"/>
        <w:tabs>
          <w:tab w:leader="none" w:pos="824" w:val="left"/>
        </w:tabs>
        <w:numPr>
          <w:ilvl w:val="0"/>
          <w:numId w:val="9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 xml:space="preserve">Powering People: </w:t>
      </w:r>
      <w:r>
        <w:rPr>
          <w:rFonts w:ascii="Arial" w:cs="Arial" w:eastAsia="Arial" w:hAnsi="Arial"/>
          <w:sz w:val="14"/>
          <w:szCs w:val="14"/>
          <w:color w:val="001346"/>
        </w:rPr>
        <w:t>Maintaining leading responsible employment practices, upholding human rights and investing in communities. In 2025 we</w:t>
      </w:r>
      <w:r>
        <w:rPr>
          <w:rFonts w:ascii="Arial" w:cs="Arial" w:eastAsia="Arial" w:hAnsi="Arial"/>
          <w:sz w:val="14"/>
          <w:szCs w:val="14"/>
          <w:b w:val="1"/>
          <w:bCs w:val="1"/>
          <w:color w:val="001346"/>
        </w:rPr>
        <w:t xml:space="preserve"> </w:t>
      </w:r>
      <w:r>
        <w:rPr>
          <w:rFonts w:ascii="Arial" w:cs="Arial" w:eastAsia="Arial" w:hAnsi="Arial"/>
          <w:sz w:val="14"/>
          <w:szCs w:val="14"/>
          <w:color w:val="001346"/>
        </w:rPr>
        <w:t>continued to invest in our workforce to support SolarEdge’s business growth, and maintained responsible employment practices, including an enhanced focus on safety and on employee growth and development. Our community engagement program focuses on the advancement of renewable energy for environmental community value; encouraging STEM education and youth innovation; and strengthening a range of populations.</w:t>
      </w:r>
    </w:p>
    <w:p>
      <w:pPr>
        <w:spacing w:after="0" w:line="140" w:lineRule="exact"/>
        <w:rPr>
          <w:rFonts w:ascii="Times New Roman" w:cs="Times New Roman" w:eastAsia="Times New Roman" w:hAnsi="Times New Roman"/>
          <w:sz w:val="14"/>
          <w:szCs w:val="14"/>
          <w:color w:val="FF0000"/>
        </w:rPr>
      </w:pPr>
    </w:p>
    <w:p>
      <w:pPr>
        <w:ind w:left="824" w:right="240" w:hanging="309"/>
        <w:spacing w:after="0" w:line="304" w:lineRule="auto"/>
        <w:tabs>
          <w:tab w:leader="none" w:pos="824" w:val="left"/>
        </w:tabs>
        <w:numPr>
          <w:ilvl w:val="0"/>
          <w:numId w:val="9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 xml:space="preserve">Powering Business: </w:t>
      </w:r>
      <w:r>
        <w:rPr>
          <w:rFonts w:ascii="Arial" w:cs="Arial" w:eastAsia="Arial" w:hAnsi="Arial"/>
          <w:sz w:val="14"/>
          <w:szCs w:val="14"/>
          <w:color w:val="001346"/>
        </w:rPr>
        <w:t>Maintaining and reinforcing ethical conduct throughout our value chain, advancing sustainability, improving the efficiency of</w:t>
      </w:r>
      <w:r>
        <w:rPr>
          <w:rFonts w:ascii="Arial" w:cs="Arial" w:eastAsia="Arial" w:hAnsi="Arial"/>
          <w:sz w:val="14"/>
          <w:szCs w:val="14"/>
          <w:b w:val="1"/>
          <w:bCs w:val="1"/>
          <w:color w:val="001346"/>
        </w:rPr>
        <w:t xml:space="preserve"> </w:t>
      </w:r>
      <w:r>
        <w:rPr>
          <w:rFonts w:ascii="Arial" w:cs="Arial" w:eastAsia="Arial" w:hAnsi="Arial"/>
          <w:sz w:val="14"/>
          <w:szCs w:val="14"/>
          <w:color w:val="001346"/>
        </w:rPr>
        <w:t>our resource consumption and ethical sourcing of raw materials and components.</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4"/>
          <w:szCs w:val="14"/>
          <w:color w:val="001346"/>
        </w:rPr>
        <w:t>Below are some examples of our efforts and practices in several sustainability and corporate social responsibility fields: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001346"/>
        </w:rPr>
        <w:t>Climate change and greenhouse gas (GHG) emissions</w:t>
      </w:r>
    </w:p>
    <w:p>
      <w:pPr>
        <w:spacing w:after="0" w:line="15" w:lineRule="exact"/>
        <w:rPr>
          <w:sz w:val="20"/>
          <w:szCs w:val="20"/>
          <w:color w:val="auto"/>
        </w:rPr>
      </w:pPr>
    </w:p>
    <w:p>
      <w:pPr>
        <w:ind w:left="4"/>
        <w:spacing w:after="0" w:line="293" w:lineRule="auto"/>
        <w:rPr>
          <w:sz w:val="20"/>
          <w:szCs w:val="20"/>
          <w:color w:val="auto"/>
        </w:rPr>
      </w:pPr>
      <w:r>
        <w:rPr>
          <w:rFonts w:ascii="Arial" w:cs="Arial" w:eastAsia="Arial" w:hAnsi="Arial"/>
          <w:sz w:val="14"/>
          <w:szCs w:val="14"/>
          <w:color w:val="001346"/>
        </w:rPr>
        <w:t>SolarEdge is a market leader in smart and renewable energy solutions. Our products contribute to the global climate change mitigation efforts. Our solutions allow for millions of tonnes in carbon emission reductions, helping governments and organizations reduce their climate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4930140" cy="677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8">
                      <a:extLst>
                        <a:ext uri="{28A0092B-C50C-407E-A947-70E740481C1C}"/>
                      </a:extLst>
                    </a:blip>
                    <a:srcRect/>
                    <a:stretch>
                      <a:fillRect/>
                    </a:stretch>
                  </pic:blipFill>
                  <pic:spPr bwMode="auto">
                    <a:xfrm>
                      <a:off x="0" y="0"/>
                      <a:ext cx="49301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
        <w:spacing w:after="0"/>
        <w:rPr>
          <w:sz w:val="20"/>
          <w:szCs w:val="20"/>
          <w:color w:val="auto"/>
        </w:rPr>
      </w:pPr>
      <w:r>
        <w:rPr>
          <w:rFonts w:ascii="Arial" w:cs="Arial" w:eastAsia="Arial" w:hAnsi="Arial"/>
          <w:sz w:val="14"/>
          <w:szCs w:val="14"/>
          <w:color w:val="001346"/>
        </w:rPr>
        <w:t>As stated above, we have installed of our own PV systems in three of our different facilities, which will help us reduce our own Scope 2 emissions.</w:t>
      </w:r>
    </w:p>
    <w:p>
      <w:pPr>
        <w:spacing w:after="0" w:line="181" w:lineRule="exact"/>
        <w:rPr>
          <w:sz w:val="20"/>
          <w:szCs w:val="20"/>
          <w:color w:val="auto"/>
        </w:rPr>
      </w:pPr>
    </w:p>
    <w:p>
      <w:pPr>
        <w:ind w:left="4" w:right="580"/>
        <w:spacing w:after="0" w:line="299" w:lineRule="auto"/>
        <w:rPr>
          <w:sz w:val="20"/>
          <w:szCs w:val="20"/>
          <w:color w:val="auto"/>
        </w:rPr>
      </w:pPr>
      <w:r>
        <w:rPr>
          <w:rFonts w:ascii="Arial" w:cs="Arial" w:eastAsia="Arial" w:hAnsi="Arial"/>
          <w:sz w:val="14"/>
          <w:szCs w:val="14"/>
          <w:color w:val="001346"/>
        </w:rPr>
        <w:t>During 2025, our production and R&amp;D sites have continued to implement enhanced energy saving methods, such as automatic shutdowns and/or motion detectors for AC and lighting systems and optimization of HVAC system operation.</w:t>
      </w:r>
    </w:p>
    <w:p>
      <w:pPr>
        <w:spacing w:after="0" w:line="103" w:lineRule="exact"/>
        <w:rPr>
          <w:sz w:val="20"/>
          <w:szCs w:val="20"/>
          <w:color w:val="auto"/>
        </w:rPr>
      </w:pPr>
    </w:p>
    <w:p>
      <w:pPr>
        <w:ind w:left="4" w:right="100" w:hanging="4"/>
        <w:spacing w:after="0" w:line="299" w:lineRule="auto"/>
        <w:tabs>
          <w:tab w:leader="none" w:pos="196" w:val="left"/>
        </w:tabs>
        <w:numPr>
          <w:ilvl w:val="0"/>
          <w:numId w:val="96"/>
        </w:numPr>
        <w:rPr>
          <w:rFonts w:ascii="Arial" w:cs="Arial" w:eastAsia="Arial" w:hAnsi="Arial"/>
          <w:sz w:val="14"/>
          <w:szCs w:val="14"/>
          <w:color w:val="001346"/>
        </w:rPr>
      </w:pPr>
      <w:r>
        <w:rPr>
          <w:rFonts w:ascii="Arial" w:cs="Arial" w:eastAsia="Arial" w:hAnsi="Arial"/>
          <w:sz w:val="14"/>
          <w:szCs w:val="14"/>
          <w:color w:val="001346"/>
        </w:rPr>
        <w:t>Estimated. Assuming all SolarEdge systems shipped by end of 2025 are installed and producing for a full year. See our annual sustainability report for further details on our method for calculating the global GHG savings achieved through use of our products.</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4"/>
          <w:szCs w:val="14"/>
          <w:color w:val="001346"/>
        </w:rPr>
        <w:t>Life Cycle Analysis</w:t>
      </w:r>
    </w:p>
    <w:p>
      <w:pPr>
        <w:spacing w:after="0" w:line="17" w:lineRule="exact"/>
        <w:rPr>
          <w:sz w:val="20"/>
          <w:szCs w:val="20"/>
          <w:color w:val="auto"/>
        </w:rPr>
      </w:pPr>
    </w:p>
    <w:p>
      <w:pPr>
        <w:ind w:left="4" w:right="100"/>
        <w:spacing w:after="0" w:line="279" w:lineRule="auto"/>
        <w:rPr>
          <w:sz w:val="20"/>
          <w:szCs w:val="20"/>
          <w:color w:val="auto"/>
        </w:rPr>
      </w:pPr>
      <w:r>
        <w:rPr>
          <w:rFonts w:ascii="Arial" w:cs="Arial" w:eastAsia="Arial" w:hAnsi="Arial"/>
          <w:sz w:val="14"/>
          <w:szCs w:val="14"/>
          <w:color w:val="001346"/>
        </w:rPr>
        <w:t>To date, we have completed the process of life cycle analysis (LCA) research and the subsequent publication of Environmental Product Declarations for three of our key products. The LCA research included an evaluation of environmental performance over the entire life cycle of our products. The entire value chain of our products was examined to study its environmental impact, from material extraction to manufactured product, usage stage and end of life. The LCA results were externally verified and were registered with the International EPD® System. The analysis helps us to better recognize opportunities for environmental impact reduction, including (among else) opportunities for reducing Scope 3 greenhouse gas emissions.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97790</wp:posOffset>
                </wp:positionV>
                <wp:extent cx="6532880" cy="70104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701040"/>
                        </a:xfrm>
                        <a:prstGeom prst="rect">
                          <a:avLst/>
                        </a:prstGeom>
                        <a:solidFill>
                          <a:srgbClr val="00082E"/>
                        </a:solidFill>
                      </wps:spPr>
                      <wps:bodyPr/>
                    </wps:wsp>
                  </a:graphicData>
                </a:graphic>
              </wp:anchor>
            </w:drawing>
          </mc:Choice>
          <mc:Fallback>
            <w:pict>
              <v:rect id="Shape 299" o:spid="_x0000_s1324" style="position:absolute;margin-left:0pt;margin-top:7.7pt;width:514.4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4" w:lineRule="exact"/>
        <w:rPr>
          <w:sz w:val="20"/>
          <w:szCs w:val="20"/>
          <w:color w:val="auto"/>
        </w:rPr>
      </w:pPr>
    </w:p>
    <w:p>
      <w:pPr>
        <w:ind w:left="724"/>
        <w:spacing w:after="0"/>
        <w:rPr>
          <w:sz w:val="20"/>
          <w:szCs w:val="20"/>
          <w:color w:val="auto"/>
        </w:rPr>
      </w:pPr>
      <w:r>
        <w:rPr>
          <w:rFonts w:ascii="Arial" w:cs="Arial" w:eastAsia="Arial" w:hAnsi="Arial"/>
          <w:sz w:val="16"/>
          <w:szCs w:val="16"/>
          <w:color w:val="FFFFFF"/>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53224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5pt" to="514.35pt,43.25pt" o:allowincell="f" strokecolor="#000000" strokeweight="1.6199pt"/>
            </w:pict>
          </mc:Fallback>
        </mc:AlternateContent>
      </w:r>
    </w:p>
    <w:p>
      <w:pPr>
        <w:sectPr>
          <w:pgSz w:w="11900" w:h="16840" w:orient="portrait"/>
          <w:cols w:equalWidth="0" w:num="1">
            <w:col w:w="10284"/>
          </w:cols>
          <w:pgMar w:left="816" w:top="1168" w:right="804"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color w:val="001346"/>
        </w:rPr>
        <w:t>Responsible Procurement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1346"/>
        </w:rPr>
        <w:t>We are proactive in increasing ethical conduct, responsible practices, and human right protection within our extensive global supply chain.</w:t>
      </w:r>
    </w:p>
    <w:p>
      <w:pPr>
        <w:spacing w:after="0" w:line="13"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001346"/>
        </w:rPr>
        <w:t>Our supplier code of conduct (SCoC) includes detailed requirements on ethics, safety, environment, human rights, fair employment, and others. We have been engaging key suppliers - and requesting that they acknowledge their compliance with the SCoC terms. Most of our key suppliers have committed to the SCoC terms. In 2025, we also conducted on-site audits for three key raw material suppliers in connection with their compliance with the SCoC requirements. We aim to continue expanding these efforts in 2026</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1346"/>
        </w:rPr>
        <w:t>The Safety of our People</w:t>
      </w:r>
    </w:p>
    <w:p>
      <w:pPr>
        <w:spacing w:after="0" w:line="204"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001346"/>
        </w:rPr>
        <w:t>We believe that the vast majority of accidents and injuries at work are preventable and aim to create a zero-injury culture across our offices and operations. We comply with applicable occupational health and safety regulations and are certified to Occupational Health and Safety Quality Management Standard ISO 45001:2018. Safety performance is reported quarterly to the Company’s Chief Operating Officer, including specific safety incidents analysis, findings, and corrective actions.</w:t>
      </w:r>
    </w:p>
    <w:p>
      <w:pPr>
        <w:spacing w:after="0" w:line="3"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001346"/>
        </w:rPr>
        <w:t>Our safety practices include Nominated Safety Officers at key production and R&amp;D sites; a nominated lab electricity supervising engineer for main R&amp;D sites; appointing and training employees as safety trustees; mandatory annual safety training for all employees; job-specific training (for example, proper use of protective equipment, training for working with high-voltage, training for working on rooftops, training for the safe use of machinery/ chemicals/ materials) that is mandatory for all employees in relevant roles; comprehensive safety, fire, and emergency drill programs to provide employees information on emergency procedures; root-cause assessments of incidents; periodic internal and external EHS audits; supplying employees with all necessary PPE (Personal Protective Equipment) according to the identified job-specific risks and all relevant regulations; and maintaining a healthy and ergonomic work environment.</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1346"/>
        </w:rPr>
        <w:t>Code of Conduct and Ethical Business Conduct</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4"/>
          <w:szCs w:val="14"/>
          <w:color w:val="001346"/>
        </w:rPr>
        <w:t>We have adopted a code of business conduct and ethics that applies to all of our officers and employees, including our Chief Executive Officer and Chief Financial Officer and those officers and employees responsible for financial reporting. We have also adopted a code of business conduct and ethics that applies to our directors. Our codes of business conduct and ethics are posted on the investor relations section of our website under the “Corporate Governance” tab. We intend to disclose future amendments to our codes of business conduct and ethics, and any waivers of their provisions that we grant to our executive officers and directors, on our website within four business days following the date of the amendment or waiver that require disclosure under the applicable rules.</w:t>
      </w:r>
    </w:p>
    <w:p>
      <w:pPr>
        <w:spacing w:after="0" w:line="129"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001346"/>
        </w:rPr>
        <w:t>We operate an annual on-line employee code of conduct training program. In the cases of some production employees who do not have computer access, the training is conducted in on-site group sessions. The training includes emphasis on ”real” work-place scenarios regarding issues such as how to handle harassment and discrimination in the workplace, matters pertaining to potential conflicts of interest, political involvement, and more. The training also re-informs employees regarding the different channels available for reporting potential code violations This annual training program is mandatory for all employees world-wide.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210185</wp:posOffset>
                </wp:positionV>
                <wp:extent cx="6532245" cy="70104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01" o:spid="_x0000_s1326" style="position:absolute;margin-left:-0.1499pt;margin-top:16.5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549275</wp:posOffset>
                </wp:positionV>
                <wp:extent cx="653224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5pt" to="514.15pt,43.25pt" o:allowincell="f" strokecolor="#000000" strokeweight="1.6199pt"/>
            </w:pict>
          </mc:Fallback>
        </mc:AlternateContent>
      </w:r>
    </w:p>
    <w:p>
      <w:pPr>
        <w:sectPr>
          <w:pgSz w:w="11900" w:h="16840" w:orient="portrait"/>
          <w:cols w:equalWidth="0" w:num="1">
            <w:col w:w="10220"/>
          </w:cols>
          <w:pgMar w:left="820" w:top="1164" w:right="864" w:bottom="1440" w:gutter="0" w:footer="0" w:header="0"/>
        </w:sectPr>
      </w:pPr>
    </w:p>
    <w:bookmarkStart w:id="178" w:name="page179"/>
    <w:bookmarkEnd w:id="178"/>
    <w:p>
      <w:pPr>
        <w:spacing w:after="0" w:line="275" w:lineRule="auto"/>
        <w:rPr>
          <w:sz w:val="20"/>
          <w:szCs w:val="20"/>
          <w:color w:val="auto"/>
        </w:rPr>
      </w:pPr>
      <w:r>
        <w:rPr>
          <w:rFonts w:ascii="Arial" w:cs="Arial" w:eastAsia="Arial" w:hAnsi="Arial"/>
          <w:sz w:val="14"/>
          <w:szCs w:val="14"/>
          <w:color w:val="001346"/>
        </w:rPr>
        <w:t>In addition, we have published other related policies on our website, available under the “Corporate Governance page. Our codes of business conduct and ethics provide detail on related issues such as the definition of reasonable and unreasonable gift exchange; avoidance of conflicts regarding financial interests; guidelines for participation in external events; and additional instructions and guidelines related to anti-corruption.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346"/>
        </w:rPr>
        <w:t>Insider Trading Policy &amp; Anti-Hedging/Pledging Policies</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4"/>
          <w:szCs w:val="14"/>
          <w:color w:val="001346"/>
        </w:rPr>
        <w:t>Our Insider Trading Policy governs the purchase, sale and other transactions in our securities by our employees, officers, directors, and other covered persons, as well as the Company. We believe our Policy is reasonably designed to promote compliance with insider trading laws, rules and regulations and applicable exchange listing standards. Our Insider Trading Policy, among other things, prohibits all non-employee directors, officers, and all other employees of the Company, from engaging in hedging, or other speculative transactions relating to Company shares, including trading in puts or calls in Company securities, short-sales of Company securities, or through the purchase of financial instruments, such as prepaid variable forward contracts, equity swaps, collars, and exchange funds or any transactions that have, or are designed to have, the effect of hedging or offsetting any decrease in the market value of Company securities. Non-employee directors, officers, and all employees of the Company are further prohibited from purchasing the Company securities on margin, or borrowing against any account in which the Company securities are held or otherwise pledging Company securities as collateral for a loan. For additional information, see our Insider Trading Policy filed as Exhibit 19 to our Annual Report on Form 10-K for the fiscal year ended December 31, 2025, filed with the SEC on February 25, 2026.</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001346"/>
        </w:rPr>
        <w:t>Political Involvement</w:t>
      </w:r>
    </w:p>
    <w:p>
      <w:pPr>
        <w:spacing w:after="0" w:line="20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001346"/>
        </w:rPr>
        <w:t>We respect the diversity of views and beliefs of our employees and encourage them to be active in the civic life of their communities. The Company prohibits any political involvement on its behalf by any of its employees, unless otherwise designated, such as its Global Government Affairs team who engage with governments and policy makers to advocate for policies that are aligned with our business objectives and company values. We do not make any corporate or political contributions. In addition, we endeavor that all Company activities through trade unions and/or industry associations are in support of the Company’s public policy positions on all issues. Through active participation and leadership, the Company can educate and influence associations and coalitions in support of our policy positions.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001346"/>
        </w:rPr>
        <w:t>Human Capital Development</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001346"/>
        </w:rPr>
        <w:t>We believe that our employees are our most important asset and that our success depends on our ability to attract and retain outstanding employees who can support our ongoing business activities and innovation efforts. We aim to be inclusive in our hiring practices focusing on the best talent for the role in accordance with equal opportunity employment laws.</w:t>
      </w:r>
    </w:p>
    <w:p>
      <w:pPr>
        <w:spacing w:after="0" w:line="119"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001346"/>
        </w:rPr>
        <w:t>We aim to provide our employees with advanced professional and development skills so that they can perform effectively in their roles and build their capabilities and career prospects for the future. We maintain leadership programs for managers and team leaders and deliver advanced professional training for sales, research and development and other functional teams as part of our extensive training program each year. Furthermore, we offer educational learning platforms on a variety of subjects for the professional and personal development and advancement of our workforce.</w:t>
      </w:r>
    </w:p>
    <w:p>
      <w:pPr>
        <w:spacing w:after="0" w:line="126"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001346"/>
        </w:rPr>
        <w:t>We also have a comprehensive talent management review process to develop future leaders and provide effective succession planning. The Company conducts annual performance and talent management reviews to determine career growth opportunities and facilitate organizational succession planning.</w:t>
      </w:r>
    </w:p>
    <w:p>
      <w:pPr>
        <w:spacing w:after="0" w:line="10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001346"/>
        </w:rPr>
        <w:t>We aim to provide our employees with competitive salaries and benefits that enable them to achieve a good quality of life and plan for their futures. Our benefits differ according to local norms and market preferences but typically include all salary and social benefits required by local law (including retirement saving programs, paid vacation and sick leave) and additional benefits that go beyond legal requirements in local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95250</wp:posOffset>
                </wp:positionV>
                <wp:extent cx="6532245" cy="70104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03" o:spid="_x0000_s1328" style="position:absolute;margin-left:-0.1499pt;margin-top:7.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549275</wp:posOffset>
                </wp:positionV>
                <wp:extent cx="653224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5pt" to="514.15pt,43.25pt" o:allowincell="f" strokecolor="#000000" strokeweight="1.6199pt"/>
            </w:pict>
          </mc:Fallback>
        </mc:AlternateContent>
      </w:r>
    </w:p>
    <w:p>
      <w:pPr>
        <w:sectPr>
          <w:pgSz w:w="11900" w:h="16840" w:orient="portrait"/>
          <w:cols w:equalWidth="0" w:num="1">
            <w:col w:w="10240"/>
          </w:cols>
          <w:pgMar w:left="820" w:top="1168" w:right="844"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001346"/>
        </w:rPr>
        <w:t>Community Engagement</w:t>
      </w:r>
    </w:p>
    <w:p>
      <w:pPr>
        <w:spacing w:after="0" w:line="199" w:lineRule="exact"/>
        <w:rPr>
          <w:sz w:val="20"/>
          <w:szCs w:val="20"/>
          <w:color w:val="auto"/>
        </w:rPr>
      </w:pPr>
    </w:p>
    <w:p>
      <w:pPr>
        <w:jc w:val="both"/>
        <w:ind w:right="120"/>
        <w:spacing w:after="0" w:line="275" w:lineRule="auto"/>
        <w:rPr>
          <w:sz w:val="20"/>
          <w:szCs w:val="20"/>
          <w:color w:val="auto"/>
        </w:rPr>
      </w:pPr>
      <w:r>
        <w:rPr>
          <w:rFonts w:ascii="Arial" w:cs="Arial" w:eastAsia="Arial" w:hAnsi="Arial"/>
          <w:sz w:val="14"/>
          <w:szCs w:val="14"/>
          <w:color w:val="001346"/>
        </w:rPr>
        <w:t>We believe that healthy and vibrant communities are the foundation of sustainable societies and sustainable businesses. Our community engagement activities are focused on the following three pillars: Advancing education on renewable energy and sustainability; Promoting Science, Technology, Engineering and Math (STEM) education; and Enhancing a range of populations. In 2025, the Company donated $150,870 to various charitable causes that align with these pillars.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001346"/>
        </w:rPr>
        <w:t>In 2020, in honor and memory of Mr. Guy Sella, SolarEdge’s former Chief Executive Officer, Chairperson and Co-Founder, we announced a commitment of $1,000,000 to be invested in a joint SolarEdge-Technion educational and technological project. The Technion - Israel Institute of Technology, Israel’s leading technical research university, is committed to matching these funds which will be contributed over ten years following said commitment. The Guy Sella Memorial Project combines teaching, research, and outreach activities that extend to high school, undergraduate, and graduate students, including teaching labs which will be established and named after Guy Sella, annual graduate student research fellowships, biennial national energy student hackathons, and visits to the energy center and labs for high school students.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4"/>
          <w:szCs w:val="14"/>
          <w:color w:val="001346"/>
        </w:rPr>
        <w:t>In addition to the financial donations, the Company partnered with Atid Raziel, a youth village to install an off-grid solar system to power a low emission youth-run community café. Also, we have facilitated ways for our employees to engage in different volunteering activities organized by the Company throughout the year. A prominent example of these volunteering activities is our flagship educational program, ‘EdgeUcate’. The EdgeUcate program aims to raise awareness and educate children from a young age on sustainability practices and solar energy. Age-appropriate learning kits were developed in collaboration with education consultants and content writers for use in the classroom by our employees. Educational kits were designed for students from kindergarten through 12th grade. Among else, the program has been taught to children with disabilities, children from underserved communities, and from a range of populations. The ‘EdgeUcate’ program is operated in multiple global SolarEdge regions of activity, including Israel, the U.S., South Korea, France, Poland, the Netherlands, Bulgaria, and Australia.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214630</wp:posOffset>
                </wp:positionV>
                <wp:extent cx="6532245" cy="70104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05" o:spid="_x0000_s1330" style="position:absolute;margin-left:-0.1499pt;margin-top:16.9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548640</wp:posOffset>
                </wp:positionV>
                <wp:extent cx="653224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pt" to="514.15pt,43.2pt" o:allowincell="f" strokecolor="#000000" strokeweight="1.5599pt"/>
            </w:pict>
          </mc:Fallback>
        </mc:AlternateContent>
      </w:r>
    </w:p>
    <w:p>
      <w:pPr>
        <w:sectPr>
          <w:pgSz w:w="11900" w:h="16840" w:orient="portrait"/>
          <w:cols w:equalWidth="0" w:num="1">
            <w:col w:w="10240"/>
          </w:cols>
          <w:pgMar w:left="820" w:top="1155" w:right="844" w:bottom="1440" w:gutter="0" w:footer="0" w:header="0"/>
        </w:sectPr>
      </w:pPr>
    </w:p>
    <w:bookmarkStart w:id="180" w:name="page181"/>
    <w:bookmarkEnd w:id="180"/>
    <w:p>
      <w:pPr>
        <w:ind w:left="4"/>
        <w:spacing w:after="0"/>
        <w:rPr>
          <w:sz w:val="20"/>
          <w:szCs w:val="20"/>
          <w:color w:val="auto"/>
        </w:rPr>
      </w:pPr>
      <w:r>
        <w:rPr>
          <w:rFonts w:ascii="Arial" w:cs="Arial" w:eastAsia="Arial" w:hAnsi="Arial"/>
          <w:sz w:val="51"/>
          <w:szCs w:val="51"/>
          <w:b w:val="1"/>
          <w:bCs w:val="1"/>
          <w:color w:val="auto"/>
        </w:rPr>
        <w:t>Proposal No. 2</w:t>
      </w:r>
    </w:p>
    <w:p>
      <w:pPr>
        <w:spacing w:after="0" w:line="42" w:lineRule="exact"/>
        <w:rPr>
          <w:sz w:val="20"/>
          <w:szCs w:val="20"/>
          <w:color w:val="auto"/>
        </w:rPr>
      </w:pPr>
    </w:p>
    <w:p>
      <w:pPr>
        <w:ind w:left="4"/>
        <w:spacing w:after="0"/>
        <w:rPr>
          <w:sz w:val="20"/>
          <w:szCs w:val="20"/>
          <w:color w:val="auto"/>
        </w:rPr>
      </w:pPr>
      <w:r>
        <w:rPr>
          <w:rFonts w:ascii="Arial" w:cs="Arial" w:eastAsia="Arial" w:hAnsi="Arial"/>
          <w:sz w:val="51"/>
          <w:szCs w:val="51"/>
          <w:b w:val="1"/>
          <w:bCs w:val="1"/>
          <w:color w:val="auto"/>
        </w:rPr>
        <w:t>Ratification of Appointment of</w:t>
      </w:r>
    </w:p>
    <w:p>
      <w:pPr>
        <w:spacing w:after="0" w:line="14" w:lineRule="exact"/>
        <w:rPr>
          <w:sz w:val="20"/>
          <w:szCs w:val="20"/>
          <w:color w:val="auto"/>
        </w:rPr>
      </w:pPr>
    </w:p>
    <w:p>
      <w:pPr>
        <w:ind w:left="4"/>
        <w:spacing w:after="0"/>
        <w:rPr>
          <w:sz w:val="20"/>
          <w:szCs w:val="20"/>
          <w:color w:val="auto"/>
        </w:rPr>
      </w:pPr>
      <w:r>
        <w:rPr>
          <w:rFonts w:ascii="Arial" w:cs="Arial" w:eastAsia="Arial" w:hAnsi="Arial"/>
          <w:sz w:val="51"/>
          <w:szCs w:val="51"/>
          <w:b w:val="1"/>
          <w:bCs w:val="1"/>
          <w:color w:val="auto"/>
        </w:rPr>
        <w:t>Independent Registered Public</w:t>
      </w:r>
    </w:p>
    <w:p>
      <w:pPr>
        <w:spacing w:after="0" w:line="14" w:lineRule="exact"/>
        <w:rPr>
          <w:sz w:val="20"/>
          <w:szCs w:val="20"/>
          <w:color w:val="auto"/>
        </w:rPr>
      </w:pPr>
    </w:p>
    <w:p>
      <w:pPr>
        <w:ind w:left="4"/>
        <w:spacing w:after="0"/>
        <w:rPr>
          <w:sz w:val="20"/>
          <w:szCs w:val="20"/>
          <w:color w:val="auto"/>
        </w:rPr>
      </w:pPr>
      <w:r>
        <w:rPr>
          <w:rFonts w:ascii="Arial" w:cs="Arial" w:eastAsia="Arial" w:hAnsi="Arial"/>
          <w:sz w:val="51"/>
          <w:szCs w:val="51"/>
          <w:b w:val="1"/>
          <w:bCs w:val="1"/>
          <w:color w:val="auto"/>
        </w:rPr>
        <w:t>Accounting Firm for 2026</w:t>
      </w:r>
    </w:p>
    <w:p>
      <w:pPr>
        <w:spacing w:after="0" w:line="203" w:lineRule="exact"/>
        <w:rPr>
          <w:sz w:val="20"/>
          <w:szCs w:val="20"/>
          <w:color w:val="auto"/>
        </w:rPr>
      </w:pPr>
    </w:p>
    <w:p>
      <w:pPr>
        <w:ind w:left="4" w:right="20"/>
        <w:spacing w:after="0" w:line="256" w:lineRule="auto"/>
        <w:rPr>
          <w:sz w:val="20"/>
          <w:szCs w:val="20"/>
          <w:color w:val="auto"/>
        </w:rPr>
      </w:pPr>
      <w:r>
        <w:rPr>
          <w:rFonts w:ascii="Arial" w:cs="Arial" w:eastAsia="Arial" w:hAnsi="Arial"/>
          <w:sz w:val="14"/>
          <w:szCs w:val="14"/>
          <w:color w:val="001446"/>
        </w:rPr>
        <w:t>The Audit Committee of the Board of Directors has selected Kost Forer Gabbay &amp; Kasierer, a member of EY Global to be the Company’s independent registered public accounting firm for the year ending December 31, 2026, and recommends that the stockholders vote for ratification of such appointment. Kost Forer Gabbay &amp; Kasierer, a member of EY Global has been engaged as our independent registered public accounting firm since 2007. As a matter of good corporate governance, the Audit Committee has requested that the Board of Directors submit the appointment of Kost Forer Gabbay &amp; Kasierer, a member of EY Global as the Company’s independent registered public accounting firm for 2026 to the stockholders for ratification. In the event our stockholders do not approve this ratification proposal, the Audit Committee will reconsider its selection. Even if the appointment is ratified, the Audit Committee may select another independent registered public accounting firm if it determines that doing so would be in the best interests of the Company. A representative of Kost Forer Gabbay &amp; Kasierer, a member of EY Global is expected to be present at the Annual Meeting. The representative of Kost Forer Gabbay &amp; Kasierer, a member of EY Global will have the opportunity to make a statement at the Annual Meeting if he or she desires to do so and will be available to respond to appropriate questions.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001446"/>
        </w:rPr>
        <w:t>Audit and Related Fees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-247015</wp:posOffset>
                </wp:positionV>
                <wp:extent cx="653224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499pt" to="514.35pt,-19.4499pt" o:allowincell="f" strokecolor="#FF3232" strokeweight="0.4199pt"/>
            </w:pict>
          </mc:Fallback>
        </mc:AlternateContent>
      </w:r>
    </w:p>
    <w:p>
      <w:pPr>
        <w:spacing w:after="0" w:line="187" w:lineRule="exact"/>
        <w:rPr>
          <w:sz w:val="20"/>
          <w:szCs w:val="20"/>
          <w:color w:val="auto"/>
        </w:rPr>
      </w:pPr>
    </w:p>
    <w:p>
      <w:pPr>
        <w:jc w:val="both"/>
        <w:ind w:left="4" w:right="40"/>
        <w:spacing w:after="0" w:line="275" w:lineRule="auto"/>
        <w:rPr>
          <w:sz w:val="20"/>
          <w:szCs w:val="20"/>
          <w:color w:val="auto"/>
        </w:rPr>
      </w:pPr>
      <w:r>
        <w:rPr>
          <w:rFonts w:ascii="Arial" w:cs="Arial" w:eastAsia="Arial" w:hAnsi="Arial"/>
          <w:sz w:val="14"/>
          <w:szCs w:val="14"/>
          <w:color w:val="001446"/>
        </w:rPr>
        <w:t>The following table sets forth the aggregate fees for professional services rendered by Kost Forer Gabbay &amp; Kasierer, a member of EY Global for the audit of our financial statements for the year ended December 31, 2024, and the year ended December 31, 2025, and the aggregate fees for other services rendered by Kost Forer Gabbay &amp; Kasierer, a member of EY Global during those periods: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60"/>
        </w:trPr>
        <w:tc>
          <w:tcPr>
            <w:tcW w:w="4200" w:type="dxa"/>
            <w:vAlign w:val="bottom"/>
            <w:tcBorders>
              <w:bottom w:val="single" w:sz="8" w:color="000F47"/>
            </w:tcBorders>
            <w:shd w:val="clear" w:color="auto" w:fill="000F47"/>
          </w:tcPr>
          <w:p>
            <w:pPr>
              <w:spacing w:after="0"/>
              <w:rPr>
                <w:sz w:val="22"/>
                <w:szCs w:val="22"/>
                <w:color w:val="auto"/>
              </w:rPr>
            </w:pPr>
          </w:p>
        </w:tc>
        <w:tc>
          <w:tcPr>
            <w:tcW w:w="3820" w:type="dxa"/>
            <w:vAlign w:val="bottom"/>
            <w:tcBorders>
              <w:bottom w:val="single" w:sz="8" w:color="000F47"/>
            </w:tcBorders>
            <w:shd w:val="clear" w:color="auto" w:fill="000F47"/>
          </w:tcPr>
          <w:p>
            <w:pPr>
              <w:jc w:val="center"/>
              <w:ind w:left="1488"/>
              <w:spacing w:after="0"/>
              <w:rPr>
                <w:sz w:val="20"/>
                <w:szCs w:val="20"/>
                <w:color w:val="auto"/>
              </w:rPr>
            </w:pPr>
            <w:r>
              <w:rPr>
                <w:rFonts w:ascii="Arial" w:cs="Arial" w:eastAsia="Arial" w:hAnsi="Arial"/>
                <w:sz w:val="14"/>
                <w:szCs w:val="14"/>
                <w:color w:val="FFFFFF"/>
              </w:rPr>
              <w:t>2024($)</w:t>
            </w:r>
          </w:p>
        </w:tc>
        <w:tc>
          <w:tcPr>
            <w:tcW w:w="2260" w:type="dxa"/>
            <w:vAlign w:val="bottom"/>
            <w:tcBorders>
              <w:bottom w:val="single" w:sz="8" w:color="000F47"/>
            </w:tcBorders>
            <w:shd w:val="clear" w:color="auto" w:fill="000F47"/>
          </w:tcPr>
          <w:p>
            <w:pPr>
              <w:jc w:val="center"/>
              <w:spacing w:after="0"/>
              <w:rPr>
                <w:sz w:val="20"/>
                <w:szCs w:val="20"/>
                <w:color w:val="auto"/>
              </w:rPr>
            </w:pPr>
            <w:r>
              <w:rPr>
                <w:rFonts w:ascii="Arial" w:cs="Arial" w:eastAsia="Arial" w:hAnsi="Arial"/>
                <w:sz w:val="14"/>
                <w:szCs w:val="14"/>
                <w:color w:val="FFFFFF"/>
              </w:rPr>
              <w:t>2025 ($)</w:t>
            </w:r>
          </w:p>
        </w:tc>
      </w:tr>
      <w:tr>
        <w:trPr>
          <w:trHeight w:val="234"/>
        </w:trPr>
        <w:tc>
          <w:tcPr>
            <w:tcW w:w="4200" w:type="dxa"/>
            <w:vAlign w:val="bottom"/>
          </w:tcPr>
          <w:p>
            <w:pPr>
              <w:ind w:left="100"/>
              <w:spacing w:after="0"/>
              <w:rPr>
                <w:sz w:val="20"/>
                <w:szCs w:val="20"/>
                <w:color w:val="auto"/>
              </w:rPr>
            </w:pPr>
            <w:r>
              <w:rPr>
                <w:rFonts w:ascii="Arial" w:cs="Arial" w:eastAsia="Arial" w:hAnsi="Arial"/>
                <w:sz w:val="14"/>
                <w:szCs w:val="14"/>
                <w:b w:val="1"/>
                <w:bCs w:val="1"/>
                <w:color w:val="001446"/>
              </w:rPr>
              <w:t>Audit fees (1)</w:t>
            </w:r>
          </w:p>
        </w:tc>
        <w:tc>
          <w:tcPr>
            <w:tcW w:w="3820" w:type="dxa"/>
            <w:vAlign w:val="bottom"/>
          </w:tcPr>
          <w:p>
            <w:pPr>
              <w:jc w:val="center"/>
              <w:ind w:left="1468"/>
              <w:spacing w:after="0"/>
              <w:rPr>
                <w:sz w:val="20"/>
                <w:szCs w:val="20"/>
                <w:color w:val="auto"/>
              </w:rPr>
            </w:pPr>
            <w:r>
              <w:rPr>
                <w:rFonts w:ascii="Arial" w:cs="Arial" w:eastAsia="Arial" w:hAnsi="Arial"/>
                <w:sz w:val="14"/>
                <w:szCs w:val="14"/>
                <w:color w:val="001446"/>
              </w:rPr>
              <w:t>2,178,000</w:t>
            </w:r>
          </w:p>
        </w:tc>
        <w:tc>
          <w:tcPr>
            <w:tcW w:w="2260" w:type="dxa"/>
            <w:vAlign w:val="bottom"/>
          </w:tcPr>
          <w:p>
            <w:pPr>
              <w:jc w:val="center"/>
              <w:spacing w:after="0"/>
              <w:rPr>
                <w:sz w:val="20"/>
                <w:szCs w:val="20"/>
                <w:color w:val="auto"/>
              </w:rPr>
            </w:pPr>
            <w:r>
              <w:rPr>
                <w:rFonts w:ascii="Arial" w:cs="Arial" w:eastAsia="Arial" w:hAnsi="Arial"/>
                <w:sz w:val="14"/>
                <w:szCs w:val="14"/>
                <w:color w:val="001446"/>
              </w:rPr>
              <w:t>1,777,000</w:t>
            </w:r>
          </w:p>
        </w:tc>
      </w:tr>
      <w:tr>
        <w:trPr>
          <w:trHeight w:val="38"/>
        </w:trPr>
        <w:tc>
          <w:tcPr>
            <w:tcW w:w="420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251"/>
        </w:trPr>
        <w:tc>
          <w:tcPr>
            <w:tcW w:w="42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b w:val="1"/>
                <w:bCs w:val="1"/>
                <w:color w:val="001446"/>
              </w:rPr>
              <w:t>Audit related fees (2)</w:t>
            </w:r>
          </w:p>
        </w:tc>
        <w:tc>
          <w:tcPr>
            <w:tcW w:w="3820" w:type="dxa"/>
            <w:vAlign w:val="bottom"/>
            <w:tcBorders>
              <w:bottom w:val="single" w:sz="8" w:color="F2F2F2"/>
            </w:tcBorders>
            <w:shd w:val="clear" w:color="auto" w:fill="F2F2F2"/>
          </w:tcPr>
          <w:p>
            <w:pPr>
              <w:jc w:val="center"/>
              <w:ind w:left="1468"/>
              <w:spacing w:after="0"/>
              <w:rPr>
                <w:sz w:val="20"/>
                <w:szCs w:val="20"/>
                <w:color w:val="auto"/>
              </w:rPr>
            </w:pPr>
            <w:r>
              <w:rPr>
                <w:rFonts w:ascii="Arial" w:cs="Arial" w:eastAsia="Arial" w:hAnsi="Arial"/>
                <w:sz w:val="14"/>
                <w:szCs w:val="14"/>
                <w:color w:val="001446"/>
              </w:rPr>
              <w:t>225,000</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156,000</w:t>
            </w:r>
          </w:p>
        </w:tc>
      </w:tr>
      <w:tr>
        <w:trPr>
          <w:trHeight w:val="235"/>
        </w:trPr>
        <w:tc>
          <w:tcPr>
            <w:tcW w:w="4200" w:type="dxa"/>
            <w:vAlign w:val="bottom"/>
          </w:tcPr>
          <w:p>
            <w:pPr>
              <w:ind w:left="100"/>
              <w:spacing w:after="0"/>
              <w:rPr>
                <w:sz w:val="20"/>
                <w:szCs w:val="20"/>
                <w:color w:val="auto"/>
              </w:rPr>
            </w:pPr>
            <w:r>
              <w:rPr>
                <w:rFonts w:ascii="Arial" w:cs="Arial" w:eastAsia="Arial" w:hAnsi="Arial"/>
                <w:sz w:val="14"/>
                <w:szCs w:val="14"/>
                <w:b w:val="1"/>
                <w:bCs w:val="1"/>
                <w:color w:val="001446"/>
              </w:rPr>
              <w:t>Tax fees (3)</w:t>
            </w:r>
          </w:p>
        </w:tc>
        <w:tc>
          <w:tcPr>
            <w:tcW w:w="3820" w:type="dxa"/>
            <w:vAlign w:val="bottom"/>
          </w:tcPr>
          <w:p>
            <w:pPr>
              <w:jc w:val="center"/>
              <w:ind w:left="1468"/>
              <w:spacing w:after="0"/>
              <w:rPr>
                <w:sz w:val="20"/>
                <w:szCs w:val="20"/>
                <w:color w:val="auto"/>
              </w:rPr>
            </w:pPr>
            <w:r>
              <w:rPr>
                <w:rFonts w:ascii="Arial" w:cs="Arial" w:eastAsia="Arial" w:hAnsi="Arial"/>
                <w:sz w:val="14"/>
                <w:szCs w:val="14"/>
                <w:color w:val="001446"/>
              </w:rPr>
              <w:t>286,000</w:t>
            </w:r>
          </w:p>
        </w:tc>
        <w:tc>
          <w:tcPr>
            <w:tcW w:w="2260" w:type="dxa"/>
            <w:vAlign w:val="bottom"/>
          </w:tcPr>
          <w:p>
            <w:pPr>
              <w:jc w:val="center"/>
              <w:spacing w:after="0"/>
              <w:rPr>
                <w:sz w:val="20"/>
                <w:szCs w:val="20"/>
                <w:color w:val="auto"/>
              </w:rPr>
            </w:pPr>
            <w:r>
              <w:rPr>
                <w:rFonts w:ascii="Arial" w:cs="Arial" w:eastAsia="Arial" w:hAnsi="Arial"/>
                <w:sz w:val="14"/>
                <w:szCs w:val="14"/>
                <w:color w:val="001446"/>
              </w:rPr>
              <w:t>209,000</w:t>
            </w:r>
          </w:p>
        </w:tc>
      </w:tr>
      <w:tr>
        <w:trPr>
          <w:trHeight w:val="286"/>
        </w:trPr>
        <w:tc>
          <w:tcPr>
            <w:tcW w:w="4200" w:type="dxa"/>
            <w:vAlign w:val="bottom"/>
          </w:tcPr>
          <w:p>
            <w:pPr>
              <w:ind w:left="100"/>
              <w:spacing w:after="0"/>
              <w:rPr>
                <w:sz w:val="20"/>
                <w:szCs w:val="20"/>
                <w:color w:val="auto"/>
              </w:rPr>
            </w:pPr>
            <w:r>
              <w:rPr>
                <w:rFonts w:ascii="Arial" w:cs="Arial" w:eastAsia="Arial" w:hAnsi="Arial"/>
                <w:sz w:val="14"/>
                <w:szCs w:val="14"/>
                <w:b w:val="1"/>
                <w:bCs w:val="1"/>
                <w:color w:val="001446"/>
              </w:rPr>
              <w:t xml:space="preserve">All other fees </w:t>
            </w:r>
            <w:r>
              <w:rPr>
                <w:rFonts w:ascii="Arial Black" w:cs="Arial Black" w:eastAsia="Arial Black" w:hAnsi="Arial Black"/>
                <w:sz w:val="14"/>
                <w:szCs w:val="14"/>
                <w:b w:val="1"/>
                <w:bCs w:val="1"/>
                <w:color w:val="001446"/>
              </w:rPr>
              <w:t>(4)</w:t>
            </w:r>
          </w:p>
        </w:tc>
        <w:tc>
          <w:tcPr>
            <w:tcW w:w="3820" w:type="dxa"/>
            <w:vAlign w:val="bottom"/>
          </w:tcPr>
          <w:p>
            <w:pPr>
              <w:jc w:val="center"/>
              <w:ind w:left="1488"/>
              <w:spacing w:after="0"/>
              <w:rPr>
                <w:sz w:val="20"/>
                <w:szCs w:val="20"/>
                <w:color w:val="auto"/>
              </w:rPr>
            </w:pPr>
            <w:r>
              <w:rPr>
                <w:rFonts w:ascii="Arial" w:cs="Arial" w:eastAsia="Arial" w:hAnsi="Arial"/>
                <w:sz w:val="14"/>
                <w:szCs w:val="14"/>
                <w:color w:val="001446"/>
              </w:rPr>
              <w:t>-</w:t>
            </w:r>
          </w:p>
        </w:tc>
        <w:tc>
          <w:tcPr>
            <w:tcW w:w="2260" w:type="dxa"/>
            <w:vAlign w:val="bottom"/>
          </w:tcPr>
          <w:p>
            <w:pPr>
              <w:jc w:val="center"/>
              <w:spacing w:after="0"/>
              <w:rPr>
                <w:sz w:val="20"/>
                <w:szCs w:val="20"/>
                <w:color w:val="auto"/>
              </w:rPr>
            </w:pPr>
            <w:r>
              <w:rPr>
                <w:rFonts w:ascii="Arial" w:cs="Arial" w:eastAsia="Arial" w:hAnsi="Arial"/>
                <w:sz w:val="14"/>
                <w:szCs w:val="14"/>
                <w:color w:val="001446"/>
              </w:rPr>
              <w:t>44,000</w:t>
            </w:r>
          </w:p>
        </w:tc>
      </w:tr>
      <w:tr>
        <w:trPr>
          <w:trHeight w:val="43"/>
        </w:trPr>
        <w:tc>
          <w:tcPr>
            <w:tcW w:w="420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227"/>
        </w:trPr>
        <w:tc>
          <w:tcPr>
            <w:tcW w:w="4200" w:type="dxa"/>
            <w:vAlign w:val="bottom"/>
            <w:shd w:val="clear" w:color="auto" w:fill="000F47"/>
          </w:tcPr>
          <w:p>
            <w:pPr>
              <w:ind w:left="100"/>
              <w:spacing w:after="0"/>
              <w:rPr>
                <w:sz w:val="20"/>
                <w:szCs w:val="20"/>
                <w:color w:val="auto"/>
              </w:rPr>
            </w:pPr>
            <w:r>
              <w:rPr>
                <w:rFonts w:ascii="Arial" w:cs="Arial" w:eastAsia="Arial" w:hAnsi="Arial"/>
                <w:sz w:val="14"/>
                <w:szCs w:val="14"/>
                <w:color w:val="FFFFFF"/>
              </w:rPr>
              <w:t>Total audit and related fees</w:t>
            </w:r>
          </w:p>
        </w:tc>
        <w:tc>
          <w:tcPr>
            <w:tcW w:w="3820" w:type="dxa"/>
            <w:vAlign w:val="bottom"/>
            <w:shd w:val="clear" w:color="auto" w:fill="000F47"/>
          </w:tcPr>
          <w:p>
            <w:pPr>
              <w:jc w:val="center"/>
              <w:ind w:left="1468"/>
              <w:spacing w:after="0"/>
              <w:rPr>
                <w:sz w:val="20"/>
                <w:szCs w:val="20"/>
                <w:color w:val="auto"/>
              </w:rPr>
            </w:pPr>
            <w:r>
              <w:rPr>
                <w:rFonts w:ascii="Arial" w:cs="Arial" w:eastAsia="Arial" w:hAnsi="Arial"/>
                <w:sz w:val="14"/>
                <w:szCs w:val="14"/>
                <w:color w:val="FFFFFF"/>
              </w:rPr>
              <w:t>2,689,000</w:t>
            </w:r>
          </w:p>
        </w:tc>
        <w:tc>
          <w:tcPr>
            <w:tcW w:w="2260" w:type="dxa"/>
            <w:vAlign w:val="bottom"/>
            <w:shd w:val="clear" w:color="auto" w:fill="000F47"/>
          </w:tcPr>
          <w:p>
            <w:pPr>
              <w:jc w:val="center"/>
              <w:spacing w:after="0"/>
              <w:rPr>
                <w:sz w:val="20"/>
                <w:szCs w:val="20"/>
                <w:color w:val="auto"/>
              </w:rPr>
            </w:pPr>
            <w:r>
              <w:rPr>
                <w:rFonts w:ascii="Arial" w:cs="Arial" w:eastAsia="Arial" w:hAnsi="Arial"/>
                <w:sz w:val="14"/>
                <w:szCs w:val="14"/>
                <w:color w:val="FFFFFF"/>
              </w:rPr>
              <w:t>2,186,000</w:t>
            </w:r>
          </w:p>
        </w:tc>
      </w:tr>
      <w:tr>
        <w:trPr>
          <w:trHeight w:val="45"/>
        </w:trPr>
        <w:tc>
          <w:tcPr>
            <w:tcW w:w="4200" w:type="dxa"/>
            <w:vAlign w:val="bottom"/>
            <w:shd w:val="clear" w:color="auto" w:fill="000F47"/>
          </w:tcPr>
          <w:p>
            <w:pPr>
              <w:spacing w:after="0"/>
              <w:rPr>
                <w:sz w:val="3"/>
                <w:szCs w:val="3"/>
                <w:color w:val="auto"/>
              </w:rPr>
            </w:pPr>
          </w:p>
        </w:tc>
        <w:tc>
          <w:tcPr>
            <w:tcW w:w="3820" w:type="dxa"/>
            <w:vAlign w:val="bottom"/>
            <w:shd w:val="clear" w:color="auto" w:fill="000F47"/>
          </w:tcPr>
          <w:p>
            <w:pPr>
              <w:spacing w:after="0"/>
              <w:rPr>
                <w:sz w:val="3"/>
                <w:szCs w:val="3"/>
                <w:color w:val="auto"/>
              </w:rPr>
            </w:pPr>
          </w:p>
        </w:tc>
        <w:tc>
          <w:tcPr>
            <w:tcW w:w="2260" w:type="dxa"/>
            <w:vAlign w:val="bottom"/>
            <w:shd w:val="clear" w:color="auto" w:fill="000F47"/>
          </w:tcPr>
          <w:p>
            <w:pPr>
              <w:spacing w:after="0"/>
              <w:rPr>
                <w:sz w:val="3"/>
                <w:szCs w:val="3"/>
                <w:color w:val="auto"/>
              </w:rPr>
            </w:pPr>
          </w:p>
        </w:tc>
      </w:tr>
    </w:tbl>
    <w:p>
      <w:pPr>
        <w:spacing w:after="0" w:line="169" w:lineRule="exact"/>
        <w:rPr>
          <w:sz w:val="20"/>
          <w:szCs w:val="20"/>
          <w:color w:val="auto"/>
        </w:rPr>
      </w:pPr>
    </w:p>
    <w:p>
      <w:pPr>
        <w:ind w:left="344" w:hanging="344"/>
        <w:spacing w:after="0" w:line="275" w:lineRule="auto"/>
        <w:tabs>
          <w:tab w:leader="none" w:pos="344" w:val="left"/>
        </w:tabs>
        <w:numPr>
          <w:ilvl w:val="0"/>
          <w:numId w:val="97"/>
        </w:numPr>
        <w:rPr>
          <w:rFonts w:ascii="Arial" w:cs="Arial" w:eastAsia="Arial" w:hAnsi="Arial"/>
          <w:sz w:val="14"/>
          <w:szCs w:val="14"/>
          <w:color w:val="001446"/>
        </w:rPr>
      </w:pPr>
      <w:r>
        <w:rPr>
          <w:rFonts w:ascii="Arial" w:cs="Arial" w:eastAsia="Arial" w:hAnsi="Arial"/>
          <w:sz w:val="14"/>
          <w:szCs w:val="14"/>
          <w:color w:val="001446"/>
        </w:rPr>
        <w:t>“Audit fees” are fees for audit services for each of the years shown in this table, including fees associated with the annual audit (including audit of our internal control over financial reporting for the year ended December 31, 2024 and for the year ended December 31, 2025), reviews of our quarterly financial results submitted on Form 10-Q, Korean and Italian statutory audit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6532880" cy="70104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701040"/>
                        </a:xfrm>
                        <a:prstGeom prst="rect">
                          <a:avLst/>
                        </a:prstGeom>
                        <a:solidFill>
                          <a:srgbClr val="00082E"/>
                        </a:solidFill>
                      </wps:spPr>
                      <wps:bodyPr/>
                    </wps:wsp>
                  </a:graphicData>
                </a:graphic>
              </wp:anchor>
            </w:drawing>
          </mc:Choice>
          <mc:Fallback>
            <w:pict>
              <v:rect id="Shape 308" o:spid="_x0000_s1333" style="position:absolute;margin-left:0pt;margin-top:6.65pt;width:514.4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5" w:lineRule="exact"/>
        <w:rPr>
          <w:sz w:val="20"/>
          <w:szCs w:val="20"/>
          <w:color w:val="auto"/>
        </w:rPr>
      </w:pPr>
    </w:p>
    <w:p>
      <w:pPr>
        <w:ind w:left="724"/>
        <w:spacing w:after="0"/>
        <w:rPr>
          <w:sz w:val="20"/>
          <w:szCs w:val="20"/>
          <w:color w:val="auto"/>
        </w:rPr>
      </w:pPr>
      <w:r>
        <w:rPr>
          <w:rFonts w:ascii="Arial" w:cs="Arial" w:eastAsia="Arial" w:hAnsi="Arial"/>
          <w:sz w:val="16"/>
          <w:szCs w:val="16"/>
          <w:color w:val="FFFFFF"/>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655320</wp:posOffset>
                </wp:positionV>
                <wp:extent cx="653224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pt" to="514.35pt,51.6pt" o:allowincell="f" strokecolor="#000000" strokeweight="1.5599pt"/>
            </w:pict>
          </mc:Fallback>
        </mc:AlternateContent>
      </w:r>
    </w:p>
    <w:p>
      <w:pPr>
        <w:sectPr>
          <w:pgSz w:w="11900" w:h="16840" w:orient="portrait"/>
          <w:cols w:equalWidth="0" w:num="1">
            <w:col w:w="10284"/>
          </w:cols>
          <w:pgMar w:left="816" w:top="1119" w:right="804" w:bottom="1440" w:gutter="0" w:footer="0" w:header="0"/>
        </w:sectPr>
      </w:pPr>
    </w:p>
    <w:bookmarkStart w:id="181" w:name="page182"/>
    <w:bookmarkEnd w:id="181"/>
    <w:p>
      <w:pPr>
        <w:ind w:left="344" w:right="80" w:hanging="344"/>
        <w:spacing w:after="0" w:line="299" w:lineRule="auto"/>
        <w:tabs>
          <w:tab w:leader="none" w:pos="344" w:val="left"/>
        </w:tabs>
        <w:numPr>
          <w:ilvl w:val="0"/>
          <w:numId w:val="98"/>
        </w:numPr>
        <w:rPr>
          <w:rFonts w:ascii="Arial" w:cs="Arial" w:eastAsia="Arial" w:hAnsi="Arial"/>
          <w:sz w:val="14"/>
          <w:szCs w:val="14"/>
          <w:color w:val="001446"/>
        </w:rPr>
      </w:pPr>
      <w:r>
        <w:rPr>
          <w:rFonts w:ascii="Arial" w:cs="Arial" w:eastAsia="Arial" w:hAnsi="Arial"/>
          <w:sz w:val="14"/>
          <w:szCs w:val="14"/>
          <w:color w:val="001446"/>
        </w:rPr>
        <w:t>“Audit related fees” are fees related to assurance and related services provided in connection with the issuance of the Company’s Convertible Senior Notes issued on June 28, 2024 and attest services related to financial reporting that are not required by statute or regulation.</w:t>
      </w:r>
    </w:p>
    <w:p>
      <w:pPr>
        <w:spacing w:after="0" w:line="102" w:lineRule="exact"/>
        <w:rPr>
          <w:rFonts w:ascii="Arial" w:cs="Arial" w:eastAsia="Arial" w:hAnsi="Arial"/>
          <w:sz w:val="14"/>
          <w:szCs w:val="14"/>
          <w:color w:val="001446"/>
        </w:rPr>
      </w:pPr>
    </w:p>
    <w:p>
      <w:pPr>
        <w:ind w:left="344" w:hanging="344"/>
        <w:spacing w:after="0"/>
        <w:tabs>
          <w:tab w:leader="none" w:pos="344" w:val="left"/>
        </w:tabs>
        <w:numPr>
          <w:ilvl w:val="0"/>
          <w:numId w:val="98"/>
        </w:numPr>
        <w:rPr>
          <w:rFonts w:ascii="Arial" w:cs="Arial" w:eastAsia="Arial" w:hAnsi="Arial"/>
          <w:sz w:val="14"/>
          <w:szCs w:val="14"/>
          <w:color w:val="001446"/>
        </w:rPr>
      </w:pPr>
      <w:r>
        <w:rPr>
          <w:rFonts w:ascii="Arial" w:cs="Arial" w:eastAsia="Arial" w:hAnsi="Arial"/>
          <w:sz w:val="14"/>
          <w:szCs w:val="14"/>
          <w:color w:val="001446"/>
        </w:rPr>
        <w:t>“Tax fees” are fees for professional services rendered for tax compliance, tax advice, tax planning, and review of our Israeli tax returns.</w:t>
      </w:r>
    </w:p>
    <w:p>
      <w:pPr>
        <w:spacing w:after="0" w:line="181" w:lineRule="exact"/>
        <w:rPr>
          <w:rFonts w:ascii="Arial" w:cs="Arial" w:eastAsia="Arial" w:hAnsi="Arial"/>
          <w:sz w:val="14"/>
          <w:szCs w:val="14"/>
          <w:color w:val="001446"/>
        </w:rPr>
      </w:pPr>
    </w:p>
    <w:p>
      <w:pPr>
        <w:ind w:left="344" w:hanging="344"/>
        <w:spacing w:after="0"/>
        <w:tabs>
          <w:tab w:leader="none" w:pos="344" w:val="left"/>
        </w:tabs>
        <w:numPr>
          <w:ilvl w:val="0"/>
          <w:numId w:val="98"/>
        </w:numPr>
        <w:rPr>
          <w:rFonts w:ascii="Arial" w:cs="Arial" w:eastAsia="Arial" w:hAnsi="Arial"/>
          <w:sz w:val="14"/>
          <w:szCs w:val="14"/>
          <w:color w:val="001446"/>
        </w:rPr>
      </w:pPr>
      <w:r>
        <w:rPr>
          <w:rFonts w:ascii="Arial" w:cs="Arial" w:eastAsia="Arial" w:hAnsi="Arial"/>
          <w:sz w:val="14"/>
          <w:szCs w:val="14"/>
          <w:color w:val="001446"/>
        </w:rPr>
        <w:t>“All other fees” for the year ended December 31, 2025 are fees for other advisory services.</w:t>
      </w:r>
    </w:p>
    <w:p>
      <w:pPr>
        <w:spacing w:after="0" w:line="186" w:lineRule="exact"/>
        <w:rPr>
          <w:sz w:val="20"/>
          <w:szCs w:val="20"/>
          <w:color w:val="auto"/>
        </w:rPr>
      </w:pPr>
    </w:p>
    <w:p>
      <w:pPr>
        <w:ind w:left="4"/>
        <w:spacing w:after="0" w:line="260" w:lineRule="auto"/>
        <w:rPr>
          <w:sz w:val="20"/>
          <w:szCs w:val="20"/>
          <w:color w:val="auto"/>
        </w:rPr>
      </w:pPr>
      <w:r>
        <w:rPr>
          <w:rFonts w:ascii="Arial" w:cs="Arial" w:eastAsia="Arial" w:hAnsi="Arial"/>
          <w:sz w:val="14"/>
          <w:szCs w:val="14"/>
          <w:color w:val="001446"/>
        </w:rPr>
        <w:t>Our Board of Directors adopted a written policy for the pre-approval of certain audit and non-audit services that Kost Forer Gabbay &amp; Kasierer, a member of EY Global provides. The policy balances the need to protect the independence of Kost Forer Gabbay &amp; Kasierer, a member of EY Global, while recognizing that in certain situations Kost Forer Gabbay &amp; Kasierer, a member of EY Global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Chairperson of the Audit Committee under the policy. All of the fees identified in the table above were approved in accordance with our pre-approval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653224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78B9E6"/>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pt" to="514.35pt,10pt" o:allowincell="f" strokecolor="#78B9E6" strokeweight="0.84pt"/>
            </w:pict>
          </mc:Fallback>
        </mc:AlternateContent>
      </w:r>
    </w:p>
    <w:p>
      <w:pPr>
        <w:spacing w:after="0" w:line="200" w:lineRule="exact"/>
        <w:rPr>
          <w:sz w:val="20"/>
          <w:szCs w:val="20"/>
          <w:color w:val="auto"/>
        </w:rPr>
      </w:pPr>
    </w:p>
    <w:p>
      <w:pPr>
        <w:spacing w:after="0" w:line="209" w:lineRule="exact"/>
        <w:rPr>
          <w:sz w:val="20"/>
          <w:szCs w:val="20"/>
          <w:color w:val="auto"/>
        </w:rPr>
      </w:pPr>
    </w:p>
    <w:p>
      <w:pPr>
        <w:ind w:left="44"/>
        <w:spacing w:after="0"/>
        <w:rPr>
          <w:sz w:val="20"/>
          <w:szCs w:val="20"/>
          <w:color w:val="auto"/>
        </w:rPr>
      </w:pPr>
      <w:r>
        <w:rPr>
          <w:rFonts w:ascii="Arial" w:cs="Arial" w:eastAsia="Arial" w:hAnsi="Arial"/>
          <w:sz w:val="14"/>
          <w:szCs w:val="14"/>
          <w:b w:val="1"/>
          <w:bCs w:val="1"/>
          <w:color w:val="001446"/>
        </w:rPr>
        <w:t>The Board of Directors recommends a vote FOR the ratification of the appointment of Kost Forer Gabbay &amp; Kasierer, a member of EY Global for 2026</w:t>
      </w:r>
      <w:r>
        <w:rPr>
          <w:rFonts w:ascii="Arial" w:cs="Arial" w:eastAsia="Arial" w:hAnsi="Arial"/>
          <w:sz w:val="14"/>
          <w:szCs w:val="14"/>
          <w:color w:val="001446"/>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158750</wp:posOffset>
                </wp:positionV>
                <wp:extent cx="653224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6">
                          <a:solidFill>
                            <a:srgbClr val="78B9E6"/>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14.35pt,12.5pt" o:allowincell="f" strokecolor="#78B9E6" strokeweight="0.7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316865</wp:posOffset>
                </wp:positionV>
                <wp:extent cx="6532880" cy="70104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701040"/>
                        </a:xfrm>
                        <a:prstGeom prst="rect">
                          <a:avLst/>
                        </a:prstGeom>
                        <a:solidFill>
                          <a:srgbClr val="00082E"/>
                        </a:solidFill>
                      </wps:spPr>
                      <wps:bodyPr/>
                    </wps:wsp>
                  </a:graphicData>
                </a:graphic>
              </wp:anchor>
            </w:drawing>
          </mc:Choice>
          <mc:Fallback>
            <w:pict>
              <v:rect id="Shape 312" o:spid="_x0000_s1337" style="position:absolute;margin-left:0pt;margin-top:24.95pt;width:514.4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4"/>
        <w:spacing w:after="0"/>
        <w:rPr>
          <w:sz w:val="20"/>
          <w:szCs w:val="20"/>
          <w:color w:val="auto"/>
        </w:rPr>
      </w:pPr>
      <w:r>
        <w:rPr>
          <w:rFonts w:ascii="Arial" w:cs="Arial" w:eastAsia="Arial" w:hAnsi="Arial"/>
          <w:sz w:val="16"/>
          <w:szCs w:val="16"/>
          <w:color w:val="FFFFFF"/>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653224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5pt" to="514.35pt,51.65pt" o:allowincell="f" strokecolor="#000000" strokeweight="1.62pt"/>
            </w:pict>
          </mc:Fallback>
        </mc:AlternateContent>
      </w:r>
    </w:p>
    <w:p>
      <w:pPr>
        <w:sectPr>
          <w:pgSz w:w="11900" w:h="16840" w:orient="portrait"/>
          <w:cols w:equalWidth="0" w:num="1">
            <w:col w:w="10284"/>
          </w:cols>
          <w:pgMar w:left="816" w:top="983" w:right="804" w:bottom="1440" w:gutter="0" w:footer="0" w:header="0"/>
        </w:sectPr>
      </w:pPr>
    </w:p>
    <w:bookmarkStart w:id="182" w:name="page183"/>
    <w:bookmarkEnd w:id="182"/>
    <w:p>
      <w:pPr>
        <w:spacing w:after="0"/>
        <w:rPr>
          <w:sz w:val="20"/>
          <w:szCs w:val="20"/>
          <w:color w:val="auto"/>
        </w:rPr>
      </w:pPr>
      <w:r>
        <w:rPr>
          <w:rFonts w:ascii="Arial" w:cs="Arial" w:eastAsia="Arial" w:hAnsi="Arial"/>
          <w:sz w:val="51"/>
          <w:szCs w:val="51"/>
          <w:b w:val="1"/>
          <w:bCs w:val="1"/>
          <w:color w:val="auto"/>
        </w:rPr>
        <w:t>Proposal No. 3</w:t>
      </w:r>
    </w:p>
    <w:p>
      <w:pPr>
        <w:spacing w:after="0" w:line="42"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Say-On-Pay</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4"/>
          <w:szCs w:val="14"/>
          <w:color w:val="001446"/>
        </w:rPr>
        <w:t>In accordance with Section 14A of the Exchange Act, we are providing our stockholders with the opportunity to vote, on an advisory (non-binding) basis, to approve the compensation of our named executive officers as disclosed in this Proxy Statement (referred to as a “Say-on- Pay” vote). As described below in the “Compensation Discussion and Analysis” section of this Proxy Statement, the Compensation Committee’s goals in setting executive compensation are to motivate our executives to maximize stockholder value, provide compensation that varies based on performance, and attract and retain managerial talent, without promoting unreasonable risk-taking. To achieve these goals, our executive compensation structure emphasizes performance-based compensation, including annual incentive compensation and stock-based awards.</w:t>
      </w:r>
    </w:p>
    <w:p>
      <w:pPr>
        <w:spacing w:after="0" w:line="130"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001446"/>
        </w:rPr>
        <w:t>We urge stockholders to read the “Compensation Discussion and Analysis” below, which describes in more detail how our executive compensation policies and procedures operate and are designed to achieve our compensation objectives, as well as the Summary Compensation Table and other related compensation tables and narrative following the Compensation Discussion and Analysis, which provide detailed information on the compensation of our named executive officers. The Board of Directors and the Compensation Committee believe that the policies and procedures articulated in the “Compensation Discussion and Analysis” are effective in achieving our goals and that the compensation of our named executive officers reported in this Proxy Statement reflects and supports these compensation policies and procedures.</w:t>
      </w:r>
    </w:p>
    <w:p>
      <w:pPr>
        <w:spacing w:after="0" w:line="130" w:lineRule="exact"/>
        <w:rPr>
          <w:sz w:val="20"/>
          <w:szCs w:val="20"/>
          <w:color w:val="auto"/>
        </w:rPr>
      </w:pPr>
    </w:p>
    <w:p>
      <w:pPr>
        <w:ind w:right="520"/>
        <w:spacing w:after="0" w:line="299" w:lineRule="auto"/>
        <w:rPr>
          <w:sz w:val="20"/>
          <w:szCs w:val="20"/>
          <w:color w:val="auto"/>
        </w:rPr>
      </w:pPr>
      <w:r>
        <w:rPr>
          <w:rFonts w:ascii="Arial" w:cs="Arial" w:eastAsia="Arial" w:hAnsi="Arial"/>
          <w:sz w:val="14"/>
          <w:szCs w:val="14"/>
          <w:color w:val="001446"/>
        </w:rPr>
        <w:t>In accordance with Section 14A of the Exchange Act, and as a matter of good corporate governance, stockholders will be asked at the Annual Meeting to approve the following advisory resolution:</w:t>
      </w:r>
    </w:p>
    <w:p>
      <w:pPr>
        <w:spacing w:after="0" w:line="99"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color w:val="001446"/>
        </w:rPr>
        <w:t>RESOLVED</w:t>
      </w:r>
      <w:r>
        <w:rPr>
          <w:rFonts w:ascii="Arial" w:cs="Arial" w:eastAsia="Arial" w:hAnsi="Arial"/>
          <w:sz w:val="14"/>
          <w:szCs w:val="14"/>
          <w:color w:val="001446"/>
        </w:rPr>
        <w:t>, that the stockholders of the Company approve, on an advisory basis, the compensation of the Company’s named executive officers described in the</w:t>
      </w:r>
      <w:r>
        <w:rPr>
          <w:rFonts w:ascii="Arial" w:cs="Arial" w:eastAsia="Arial" w:hAnsi="Arial"/>
          <w:sz w:val="14"/>
          <w:szCs w:val="14"/>
          <w:b w:val="1"/>
          <w:bCs w:val="1"/>
          <w:color w:val="001446"/>
        </w:rPr>
        <w:t xml:space="preserve"> </w:t>
      </w:r>
      <w:r>
        <w:rPr>
          <w:rFonts w:ascii="Arial" w:cs="Arial" w:eastAsia="Arial" w:hAnsi="Arial"/>
          <w:sz w:val="14"/>
          <w:szCs w:val="14"/>
          <w:color w:val="001446"/>
        </w:rPr>
        <w:t>Compensation Discussion and Analysis and disclosed in the Summary Compensation Table and the related compensation tables, notes and narrative in the Proxy Statement for the Company’s 2026 Annual Meeting of Stockholders.</w:t>
      </w:r>
    </w:p>
    <w:p>
      <w:pPr>
        <w:spacing w:after="0" w:line="117"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001446"/>
        </w:rPr>
        <w:t>This advisory Say-on-Pay vote is non-binding; however, our Board of Directors and Compensation Committee will review and consider the voting results carefully when making future decisions regarding our executive compensation programs.</w:t>
      </w:r>
    </w:p>
    <w:p>
      <w:pPr>
        <w:spacing w:after="0" w:line="103"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color w:val="001446"/>
        </w:rPr>
        <w:t>The Board of Director currently has a policy of providing for annual “Say-on-Pay” advisory votes. After this 2026 Annual Meeting, our next Say-on-Pay vote is expected to occur at our 2027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110490</wp:posOffset>
                </wp:positionV>
                <wp:extent cx="653224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7">
                          <a:solidFill>
                            <a:srgbClr val="78B9E6"/>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7pt" to="514.15pt,8.7pt" o:allowincell="f" strokecolor="#78B9E6" strokeweight="0.8399pt"/>
            </w:pict>
          </mc:Fallback>
        </mc:AlternateConten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The Board of Directors recommends a vote FOR the approval of our executive compensation on an advisory basis.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158750</wp:posOffset>
                </wp:positionV>
                <wp:extent cx="65322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78B9E6"/>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5pt" to="514.15pt,12.5pt" o:allowincell="f" strokecolor="#78B9E6" strokeweight="0.77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316865</wp:posOffset>
                </wp:positionV>
                <wp:extent cx="6532245" cy="70104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16" o:spid="_x0000_s1341" style="position:absolute;margin-left:-0.1499pt;margin-top:24.9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655955</wp:posOffset>
                </wp:positionV>
                <wp:extent cx="653224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1.65pt" to="514.15pt,51.65pt" o:allowincell="f" strokecolor="#000000" strokeweight="1.6199pt"/>
            </w:pict>
          </mc:Fallback>
        </mc:AlternateContent>
      </w:r>
    </w:p>
    <w:p>
      <w:pPr>
        <w:sectPr>
          <w:pgSz w:w="11900" w:h="16840" w:orient="portrait"/>
          <w:cols w:equalWidth="0" w:num="1">
            <w:col w:w="10260"/>
          </w:cols>
          <w:pgMar w:left="820" w:top="1119" w:right="824" w:bottom="1440" w:gutter="0" w:footer="0" w:header="0"/>
        </w:sectPr>
      </w:pPr>
    </w:p>
    <w:bookmarkStart w:id="183" w:name="page184"/>
    <w:bookmarkEnd w:id="183"/>
    <w:p>
      <w:pPr>
        <w:ind w:left="4"/>
        <w:spacing w:after="0"/>
        <w:rPr>
          <w:sz w:val="20"/>
          <w:szCs w:val="20"/>
          <w:color w:val="auto"/>
        </w:rPr>
      </w:pPr>
      <w:r>
        <w:rPr>
          <w:rFonts w:ascii="Arial" w:cs="Arial" w:eastAsia="Arial" w:hAnsi="Arial"/>
          <w:sz w:val="51"/>
          <w:szCs w:val="51"/>
          <w:b w:val="1"/>
          <w:bCs w:val="1"/>
          <w:color w:val="auto"/>
        </w:rPr>
        <w:t>Proposal No. 4</w:t>
      </w:r>
    </w:p>
    <w:p>
      <w:pPr>
        <w:spacing w:after="0" w:line="42" w:lineRule="exact"/>
        <w:rPr>
          <w:sz w:val="20"/>
          <w:szCs w:val="20"/>
          <w:color w:val="auto"/>
        </w:rPr>
      </w:pPr>
    </w:p>
    <w:p>
      <w:pPr>
        <w:ind w:left="4" w:right="1360"/>
        <w:spacing w:after="0" w:line="261" w:lineRule="auto"/>
        <w:rPr>
          <w:sz w:val="20"/>
          <w:szCs w:val="20"/>
          <w:color w:val="auto"/>
        </w:rPr>
      </w:pPr>
      <w:r>
        <w:rPr>
          <w:rFonts w:ascii="Arial" w:cs="Arial" w:eastAsia="Arial" w:hAnsi="Arial"/>
          <w:sz w:val="51"/>
          <w:szCs w:val="51"/>
          <w:b w:val="1"/>
          <w:bCs w:val="1"/>
          <w:color w:val="auto"/>
        </w:rPr>
        <w:t>Approval of Amendment to the Company’s Restated Certificate of Incorporation to Limit the Liability of Certain Officers as Permitted by Law</w:t>
      </w:r>
    </w:p>
    <w:p>
      <w:pPr>
        <w:spacing w:after="0" w:line="38" w:lineRule="exact"/>
        <w:rPr>
          <w:sz w:val="20"/>
          <w:szCs w:val="20"/>
          <w:color w:val="auto"/>
        </w:rPr>
      </w:pPr>
    </w:p>
    <w:p>
      <w:pPr>
        <w:ind w:left="4"/>
        <w:spacing w:after="0" w:line="260" w:lineRule="auto"/>
        <w:rPr>
          <w:sz w:val="20"/>
          <w:szCs w:val="20"/>
          <w:color w:val="auto"/>
        </w:rPr>
      </w:pPr>
      <w:r>
        <w:rPr>
          <w:rFonts w:ascii="Arial" w:cs="Arial" w:eastAsia="Arial" w:hAnsi="Arial"/>
          <w:sz w:val="14"/>
          <w:szCs w:val="14"/>
          <w:color w:val="001446"/>
        </w:rPr>
        <w:t>Our Board of Directors has unanimously adopted and declared advisable and in the best interests of the Company and its stockholders, and resolved to recommend to the Company’s stockholders that they approve and adopt, an amendment to Article X of the Restated Certificate of Incorporation, as amended, of the Company (the “Certificate”) to provide for the elimination of monetary liability of certain officers of the company in certain limited circumstances (the “Proposed Amendment”) . The current exculpation protections available to the directors remain unchanged as a result of the Proposed Amendment. The following description is a summary only and is qualified in its entirety by reference to Appendix B to this proxy statement, which marks those changes specifically.</w:t>
      </w:r>
      <w:r>
        <w:rPr>
          <w:rFonts w:ascii="Arial" w:cs="Arial" w:eastAsia="Arial" w:hAnsi="Arial"/>
          <w:sz w:val="24"/>
          <w:szCs w:val="24"/>
          <w:color w:val="212529"/>
          <w:vertAlign w:val="superscript"/>
        </w:rPr>
        <w:t>2</w:t>
      </w:r>
    </w:p>
    <w:p>
      <w:pPr>
        <w:spacing w:after="0" w:line="3"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001446"/>
        </w:rPr>
        <w:t>Purpose and Effect of the Proposed Amendment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-259715</wp:posOffset>
                </wp:positionV>
                <wp:extent cx="653224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4499pt" to="514.35pt,-20.4499pt" o:allowincell="f" strokecolor="#FF3232" strokeweight="0.4199pt"/>
            </w:pict>
          </mc:Fallback>
        </mc:AlternateContent>
      </w:r>
    </w:p>
    <w:p>
      <w:pPr>
        <w:spacing w:after="0" w:line="182" w:lineRule="exact"/>
        <w:rPr>
          <w:sz w:val="20"/>
          <w:szCs w:val="20"/>
          <w:color w:val="auto"/>
        </w:rPr>
      </w:pPr>
    </w:p>
    <w:p>
      <w:pPr>
        <w:ind w:left="4" w:right="60"/>
        <w:spacing w:after="0" w:line="260" w:lineRule="auto"/>
        <w:rPr>
          <w:sz w:val="20"/>
          <w:szCs w:val="20"/>
          <w:color w:val="auto"/>
        </w:rPr>
      </w:pPr>
      <w:r>
        <w:rPr>
          <w:rFonts w:ascii="Arial" w:cs="Arial" w:eastAsia="Arial" w:hAnsi="Arial"/>
          <w:sz w:val="14"/>
          <w:szCs w:val="14"/>
          <w:color w:val="001446"/>
        </w:rPr>
        <w:t>Pursuant to and consistent with Section 102(b)(7) of the General Corporation Law of the State of Delaware (the “DGCL”), Article X of the Certificate already eliminates the monetary liability of directors in accordance with the DGCL. Effective August 1, 2022, Section 102(b)(7) of the DGCL was amended to permit companies to include in their certificates of incorporation limitations of monetary liability of certain officers (such officers from time to time specified in Section 102(b)(7) of the DGCL, the “covered officers”). Consistent with Section 102(b)(7) of the DGCL, the Proposed Amendment would only permit limiting the liability of covered officers for breaches of the fiduciary duty of care for direct claims. Like the provision limiting the liability of directors, the Proposed Amendment does not permit the elimination of liability of covered officers for:</w:t>
      </w:r>
    </w:p>
    <w:p>
      <w:pPr>
        <w:spacing w:after="0" w:line="130" w:lineRule="exact"/>
        <w:rPr>
          <w:sz w:val="20"/>
          <w:szCs w:val="20"/>
          <w:color w:val="auto"/>
        </w:rPr>
      </w:pPr>
    </w:p>
    <w:p>
      <w:pPr>
        <w:ind w:left="864" w:hanging="288"/>
        <w:spacing w:after="0"/>
        <w:tabs>
          <w:tab w:leader="none" w:pos="864" w:val="left"/>
        </w:tabs>
        <w:numPr>
          <w:ilvl w:val="0"/>
          <w:numId w:val="99"/>
        </w:numPr>
        <w:rPr>
          <w:rFonts w:ascii="Arial" w:cs="Arial" w:eastAsia="Arial" w:hAnsi="Arial"/>
          <w:sz w:val="14"/>
          <w:szCs w:val="14"/>
          <w:color w:val="FF0000"/>
        </w:rPr>
      </w:pPr>
      <w:r>
        <w:rPr>
          <w:rFonts w:ascii="Arial" w:cs="Arial" w:eastAsia="Arial" w:hAnsi="Arial"/>
          <w:sz w:val="14"/>
          <w:szCs w:val="14"/>
          <w:color w:val="001446"/>
        </w:rPr>
        <w:t>any breach of the duty of loyalty to the company or its stockholders;</w:t>
      </w:r>
    </w:p>
    <w:p>
      <w:pPr>
        <w:spacing w:after="0" w:line="175" w:lineRule="exact"/>
        <w:rPr>
          <w:rFonts w:ascii="Arial" w:cs="Arial" w:eastAsia="Arial" w:hAnsi="Arial"/>
          <w:sz w:val="14"/>
          <w:szCs w:val="14"/>
          <w:color w:val="FF0000"/>
        </w:rPr>
      </w:pPr>
    </w:p>
    <w:p>
      <w:pPr>
        <w:ind w:left="864" w:hanging="288"/>
        <w:spacing w:after="0"/>
        <w:tabs>
          <w:tab w:leader="none" w:pos="864" w:val="left"/>
        </w:tabs>
        <w:numPr>
          <w:ilvl w:val="0"/>
          <w:numId w:val="99"/>
        </w:numPr>
        <w:rPr>
          <w:rFonts w:ascii="Arial" w:cs="Arial" w:eastAsia="Arial" w:hAnsi="Arial"/>
          <w:sz w:val="14"/>
          <w:szCs w:val="14"/>
          <w:color w:val="FF0000"/>
        </w:rPr>
      </w:pPr>
      <w:r>
        <w:rPr>
          <w:rFonts w:ascii="Arial" w:cs="Arial" w:eastAsia="Arial" w:hAnsi="Arial"/>
          <w:sz w:val="14"/>
          <w:szCs w:val="14"/>
          <w:color w:val="001446"/>
        </w:rPr>
        <w:t>any acts or omissions not in good faith or which involve intentional misconduct or a knowing violation of the law; or</w:t>
      </w:r>
    </w:p>
    <w:p>
      <w:pPr>
        <w:spacing w:after="0" w:line="175" w:lineRule="exact"/>
        <w:rPr>
          <w:rFonts w:ascii="Arial" w:cs="Arial" w:eastAsia="Arial" w:hAnsi="Arial"/>
          <w:sz w:val="14"/>
          <w:szCs w:val="14"/>
          <w:color w:val="FF0000"/>
        </w:rPr>
      </w:pPr>
    </w:p>
    <w:p>
      <w:pPr>
        <w:ind w:left="864" w:hanging="288"/>
        <w:spacing w:after="0"/>
        <w:tabs>
          <w:tab w:leader="none" w:pos="864" w:val="left"/>
        </w:tabs>
        <w:numPr>
          <w:ilvl w:val="0"/>
          <w:numId w:val="99"/>
        </w:numPr>
        <w:rPr>
          <w:rFonts w:ascii="Arial" w:cs="Arial" w:eastAsia="Arial" w:hAnsi="Arial"/>
          <w:sz w:val="14"/>
          <w:szCs w:val="14"/>
          <w:color w:val="FF0000"/>
        </w:rPr>
      </w:pPr>
      <w:r>
        <w:rPr>
          <w:rFonts w:ascii="Arial" w:cs="Arial" w:eastAsia="Arial" w:hAnsi="Arial"/>
          <w:sz w:val="14"/>
          <w:szCs w:val="14"/>
          <w:color w:val="001446"/>
        </w:rPr>
        <w:t>any transaction from which the officer derived an improper personal benefit.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167005</wp:posOffset>
                </wp:positionV>
                <wp:extent cx="130556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5560" cy="4763"/>
                        </a:xfrm>
                        <a:prstGeom prst="line">
                          <a:avLst/>
                        </a:prstGeom>
                        <a:solidFill>
                          <a:srgbClr val="FFFFFF"/>
                        </a:solidFill>
                        <a:ln w="10667">
                          <a:solidFill>
                            <a:srgbClr val="001346"/>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5pt" to="102.8pt,13.15pt" o:allowincell="f" strokecolor="#001346" strokeweight="0.8399pt"/>
            </w:pict>
          </mc:Fallback>
        </mc:AlternateContent>
      </w:r>
    </w:p>
    <w:p>
      <w:pPr>
        <w:spacing w:after="0" w:line="305" w:lineRule="exact"/>
        <w:rPr>
          <w:sz w:val="20"/>
          <w:szCs w:val="20"/>
          <w:color w:val="auto"/>
        </w:rPr>
      </w:pPr>
    </w:p>
    <w:p>
      <w:pPr>
        <w:ind w:left="724" w:right="5700" w:hanging="724"/>
        <w:spacing w:after="0" w:line="837" w:lineRule="auto"/>
        <w:tabs>
          <w:tab w:leader="none" w:pos="123" w:val="left"/>
        </w:tabs>
        <w:numPr>
          <w:ilvl w:val="0"/>
          <w:numId w:val="100"/>
        </w:numPr>
        <w:rPr>
          <w:rFonts w:ascii="Arial" w:cs="Arial" w:eastAsia="Arial" w:hAnsi="Arial"/>
          <w:sz w:val="27"/>
          <w:szCs w:val="27"/>
          <w:color w:val="001446"/>
          <w:vertAlign w:val="superscript"/>
        </w:rPr>
      </w:pPr>
      <w:r>
        <w:rPr>
          <w:rFonts w:ascii="Arial" w:cs="Arial" w:eastAsia="Arial" w:hAnsi="Arial"/>
          <w:sz w:val="16"/>
          <w:szCs w:val="16"/>
          <w:color w:val="001446"/>
        </w:rPr>
        <w:t xml:space="preserve">Additions to the Certificate are indicated by underlining, in blue. </w:t>
      </w:r>
      <w:r>
        <w:rPr>
          <w:rFonts w:ascii="Arial" w:cs="Arial" w:eastAsia="Arial" w:hAnsi="Arial"/>
          <w:sz w:val="16"/>
          <w:szCs w:val="16"/>
          <w:color w:val="FFFFFF"/>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-849630</wp:posOffset>
                </wp:positionV>
                <wp:extent cx="6532880" cy="70104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701040"/>
                        </a:xfrm>
                        <a:prstGeom prst="rect">
                          <a:avLst/>
                        </a:prstGeom>
                        <a:solidFill>
                          <a:srgbClr val="00082E"/>
                        </a:solidFill>
                      </wps:spPr>
                      <wps:bodyPr/>
                    </wps:wsp>
                  </a:graphicData>
                </a:graphic>
              </wp:anchor>
            </w:drawing>
          </mc:Choice>
          <mc:Fallback>
            <w:pict>
              <v:rect id="Shape 320" o:spid="_x0000_s1345" style="position:absolute;margin-left:0pt;margin-top:-66.8999pt;width:514.4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653224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5pt" to="514.35pt,12.25pt" o:allowincell="f" strokecolor="#000000" strokeweight="1.6199pt"/>
            </w:pict>
          </mc:Fallback>
        </mc:AlternateContent>
      </w:r>
    </w:p>
    <w:p>
      <w:pPr>
        <w:sectPr>
          <w:pgSz w:w="11900" w:h="16840" w:orient="portrait"/>
          <w:cols w:equalWidth="0" w:num="1">
            <w:col w:w="10284"/>
          </w:cols>
          <w:pgMar w:left="816" w:top="1119" w:right="804" w:bottom="1440" w:gutter="0" w:footer="0" w:header="0"/>
        </w:sectPr>
      </w:pPr>
    </w:p>
    <w:bookmarkStart w:id="184" w:name="page185"/>
    <w:bookmarkEnd w:id="184"/>
    <w:p>
      <w:pPr>
        <w:spacing w:after="0" w:line="251" w:lineRule="auto"/>
        <w:rPr>
          <w:sz w:val="20"/>
          <w:szCs w:val="20"/>
          <w:color w:val="auto"/>
        </w:rPr>
      </w:pPr>
      <w:r>
        <w:rPr>
          <w:rFonts w:ascii="Arial" w:cs="Arial" w:eastAsia="Arial" w:hAnsi="Arial"/>
          <w:sz w:val="14"/>
          <w:szCs w:val="14"/>
          <w:color w:val="001446"/>
        </w:rPr>
        <w:t xml:space="preserve">In addition, the Proposed Amendment does not permit the limitation of liability of certain claims brought by the Company itself and claims brought by stockholders in the name of the Company, such as derivative claims. These limitations on exculpation of covered officers are incorporated into Article X by specifically providing that </w:t>
      </w:r>
      <w:r>
        <w:rPr>
          <w:rFonts w:ascii="Arial" w:cs="Arial" w:eastAsia="Arial" w:hAnsi="Arial"/>
          <w:sz w:val="14"/>
          <w:szCs w:val="14"/>
          <w:i w:val="1"/>
          <w:iCs w:val="1"/>
          <w:color w:val="001446"/>
        </w:rPr>
        <w:t>“[t]o the fullest extent permitted by the DGCL as the same exists or as may hereafter be amended, [a] director</w:t>
      </w:r>
      <w:r>
        <w:rPr>
          <w:rFonts w:ascii="Arial" w:cs="Arial" w:eastAsia="Arial" w:hAnsi="Arial"/>
          <w:sz w:val="14"/>
          <w:szCs w:val="14"/>
          <w:color w:val="001446"/>
        </w:rPr>
        <w:t xml:space="preserve"> </w:t>
      </w:r>
      <w:r>
        <w:rPr>
          <w:rFonts w:ascii="Arial" w:cs="Arial" w:eastAsia="Arial" w:hAnsi="Arial"/>
          <w:sz w:val="14"/>
          <w:szCs w:val="14"/>
          <w:i w:val="1"/>
          <w:iCs w:val="1"/>
          <w:u w:val="single" w:color="auto"/>
          <w:color w:val="2E90D6"/>
        </w:rPr>
        <w:t>or officer</w:t>
      </w:r>
      <w:r>
        <w:rPr>
          <w:rFonts w:ascii="Arial" w:cs="Arial" w:eastAsia="Arial" w:hAnsi="Arial"/>
          <w:sz w:val="14"/>
          <w:szCs w:val="14"/>
          <w:color w:val="001446"/>
        </w:rPr>
        <w:t xml:space="preserve"> </w:t>
      </w:r>
      <w:r>
        <w:rPr>
          <w:rFonts w:ascii="Arial" w:cs="Arial" w:eastAsia="Arial" w:hAnsi="Arial"/>
          <w:sz w:val="14"/>
          <w:szCs w:val="14"/>
          <w:i w:val="1"/>
          <w:iCs w:val="1"/>
          <w:color w:val="001446"/>
        </w:rPr>
        <w:t>of the corporation shall not</w:t>
      </w:r>
      <w:r>
        <w:rPr>
          <w:rFonts w:ascii="Arial" w:cs="Arial" w:eastAsia="Arial" w:hAnsi="Arial"/>
          <w:sz w:val="14"/>
          <w:szCs w:val="14"/>
          <w:color w:val="001446"/>
        </w:rPr>
        <w:t xml:space="preserve"> </w:t>
      </w:r>
      <w:r>
        <w:rPr>
          <w:rFonts w:ascii="Arial" w:cs="Arial" w:eastAsia="Arial" w:hAnsi="Arial"/>
          <w:sz w:val="14"/>
          <w:szCs w:val="14"/>
          <w:i w:val="1"/>
          <w:iCs w:val="1"/>
          <w:color w:val="001446"/>
        </w:rPr>
        <w:t xml:space="preserve">be liable to the corporation or its stockholders monetary damages for breaches of fiduciary duty as a director </w:t>
      </w:r>
      <w:r>
        <w:rPr>
          <w:rFonts w:ascii="Arial" w:cs="Arial" w:eastAsia="Arial" w:hAnsi="Arial"/>
          <w:sz w:val="14"/>
          <w:szCs w:val="14"/>
          <w:i w:val="1"/>
          <w:iCs w:val="1"/>
          <w:u w:val="single" w:color="auto"/>
          <w:color w:val="2E90D6"/>
        </w:rPr>
        <w:t>or officer</w:t>
      </w:r>
      <w:r>
        <w:rPr>
          <w:rFonts w:ascii="Arial" w:cs="Arial" w:eastAsia="Arial" w:hAnsi="Arial"/>
          <w:sz w:val="14"/>
          <w:szCs w:val="14"/>
          <w:color w:val="001446"/>
        </w:rPr>
        <w:t>” (emphasis added). Notwithstanding the</w:t>
      </w:r>
      <w:r>
        <w:rPr>
          <w:rFonts w:ascii="Arial" w:cs="Arial" w:eastAsia="Arial" w:hAnsi="Arial"/>
          <w:sz w:val="14"/>
          <w:szCs w:val="14"/>
          <w:i w:val="1"/>
          <w:iCs w:val="1"/>
          <w:color w:val="001446"/>
        </w:rPr>
        <w:t xml:space="preserve"> </w:t>
      </w:r>
      <w:r>
        <w:rPr>
          <w:rFonts w:ascii="Arial" w:cs="Arial" w:eastAsia="Arial" w:hAnsi="Arial"/>
          <w:sz w:val="14"/>
          <w:szCs w:val="14"/>
          <w:color w:val="001446"/>
        </w:rPr>
        <w:t>foregoing, consistent with the language for exculpation of directors currently included in Article X of the Certificate, the Proposed Amendment also provides that if, at any time after it becomes effective, the DGCL is amended to authorize any further elimination or limitation of the personal liability of a corporation’s officers (including any change in the roles deemed to be covered officers for purposes of Section 102(b)(7) of the DGCL), then such liability shall automatically be eliminated or limited to the fullest extent permitted by the DGCL, as so amended, with respect to the Company’s covered officers (including with respect to any role newly deemed to be a covered officer for purposes of Section 102(b)(7)).</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001446"/>
        </w:rPr>
        <w:t>Our Board of Directors believes that it is important to extend exculpation protection to covered officers, to the fullest extent permitted by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 The nature of covered officers’ roles often requires them to make decisions on crucial matters, frequently in response to time-sensitive opportunities and challenges, which can create substantial risk of lawsuits that seek to impose liability with the benefit of hindsight. Aligning the protections available to the Company’s covered officers with those available to the Company’s directors (which provides exculpation to the fullest extent such protections are available under the DGCL, as it exists now or may be amended in the future) would empower covered officers to exercise their business judgment in furtherance of stockholder interests without the potential for distraction posed by the risk of personal liability.</w:t>
      </w:r>
    </w:p>
    <w:p>
      <w:pPr>
        <w:spacing w:after="0" w:line="106"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Effectiveness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The Company’s covered officers will receive the protections from liability afforded by the Proposed Amendment effective upon the company filing the Certificate of Amendment setting forth the Proposed Amendment with the Delaware Secretary of State. In addition, if the stockholders approve the Proposed Amendment and the Certificate of Amendment setting forth the Proposed Amendment is filed with the Delaware Secretary of State, we intend to file a Restated Certificate of Incorporation to integrate the Certificate and the Proposed Amendment (if approved) into a single document. Our Board of Directors reserves the right to elect to abandon the Proposed Amendment at any time before it becomes effective even if it is approved by the stockholders. If the Board were to exercise such discretion, we will publicly disclose that fact, and our covered officers will not be subject to the foregoing exculpation protections. If our stockholders do not approve the Proposed Amendment, Article X will remain unchanged, our covered officers will not be entitled to exculpation under the DGCL, and a Certificate of Amendment setting forth the Proposed Amendment will not be filed with the Delaware Secretary of State.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129540</wp:posOffset>
                </wp:positionV>
                <wp:extent cx="653224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6">
                          <a:solidFill>
                            <a:srgbClr val="78B9E6"/>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0.2pt" to="514.15pt,10.2pt" o:allowincell="f" strokecolor="#78B9E6" strokeweight="0.78pt"/>
            </w:pict>
          </mc:Fallback>
        </mc:AlternateContent>
      </w:r>
    </w:p>
    <w:p>
      <w:pPr>
        <w:spacing w:after="0" w:line="200" w:lineRule="exact"/>
        <w:rPr>
          <w:sz w:val="20"/>
          <w:szCs w:val="20"/>
          <w:color w:val="auto"/>
        </w:rPr>
      </w:pPr>
    </w:p>
    <w:p>
      <w:pPr>
        <w:spacing w:after="0" w:line="212" w:lineRule="exact"/>
        <w:rPr>
          <w:sz w:val="20"/>
          <w:szCs w:val="20"/>
          <w:color w:val="auto"/>
        </w:rPr>
      </w:pPr>
    </w:p>
    <w:p>
      <w:pPr>
        <w:ind w:right="560"/>
        <w:spacing w:after="0" w:line="317" w:lineRule="auto"/>
        <w:rPr>
          <w:sz w:val="20"/>
          <w:szCs w:val="20"/>
          <w:color w:val="auto"/>
        </w:rPr>
      </w:pPr>
      <w:r>
        <w:rPr>
          <w:rFonts w:ascii="Arial" w:cs="Arial" w:eastAsia="Arial" w:hAnsi="Arial"/>
          <w:sz w:val="14"/>
          <w:szCs w:val="14"/>
          <w:b w:val="1"/>
          <w:bCs w:val="1"/>
          <w:color w:val="001446"/>
        </w:rPr>
        <w:t>Our Board unanimously recommends that you vote “FOR” the Amendment to the Company’s Restated Certificate of Incorporation to Limit the Liability of Certain Officers as Permitted by Law.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97790</wp:posOffset>
                </wp:positionV>
                <wp:extent cx="653224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78B9E6"/>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7pt" to="514.15pt,7.7pt" o:allowincell="f" strokecolor="#78B9E6" strokeweight="0.77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255270</wp:posOffset>
                </wp:positionV>
                <wp:extent cx="6532245" cy="70104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25" o:spid="_x0000_s1350" style="position:absolute;margin-left:-0.1499pt;margin-top:20.1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655320</wp:posOffset>
                </wp:positionV>
                <wp:extent cx="653224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1.6pt" to="514.15pt,51.6pt" o:allowincell="f" strokecolor="#000000" strokeweight="1.5599pt"/>
            </w:pict>
          </mc:Fallback>
        </mc:AlternateContent>
      </w:r>
    </w:p>
    <w:p>
      <w:pPr>
        <w:sectPr>
          <w:pgSz w:w="11900" w:h="16840" w:orient="portrait"/>
          <w:cols w:equalWidth="0" w:num="1">
            <w:col w:w="10280"/>
          </w:cols>
          <w:pgMar w:left="820" w:top="1319" w:right="804" w:bottom="1440" w:gutter="0" w:footer="0" w:header="0"/>
        </w:sectPr>
      </w:pPr>
    </w:p>
    <w:bookmarkStart w:id="185" w:name="page186"/>
    <w:bookmarkEnd w:id="185"/>
    <w:p>
      <w:pPr>
        <w:ind w:right="560"/>
        <w:spacing w:after="0" w:line="302" w:lineRule="auto"/>
        <w:rPr>
          <w:sz w:val="20"/>
          <w:szCs w:val="20"/>
          <w:color w:val="auto"/>
        </w:rPr>
      </w:pPr>
      <w:r>
        <w:rPr>
          <w:rFonts w:ascii="Arial" w:cs="Arial" w:eastAsia="Arial" w:hAnsi="Arial"/>
          <w:sz w:val="38"/>
          <w:szCs w:val="38"/>
          <w:b w:val="1"/>
          <w:bCs w:val="1"/>
          <w:color w:val="001446"/>
        </w:rPr>
        <w:t>Security Ownership of Certain Beneficial Owners and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-667385</wp:posOffset>
                </wp:positionV>
                <wp:extent cx="653224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2.5499pt" to="514.15pt,-52.5499pt" o:allowincell="f" strokecolor="#FF3232" strokeweight="0.4199pt"/>
            </w:pict>
          </mc:Fallback>
        </mc:AlternateContent>
      </w:r>
    </w:p>
    <w:p>
      <w:pPr>
        <w:spacing w:after="0"/>
        <w:rPr>
          <w:sz w:val="20"/>
          <w:szCs w:val="20"/>
          <w:color w:val="auto"/>
        </w:rPr>
      </w:pPr>
      <w:r>
        <w:rPr>
          <w:rFonts w:ascii="Arial" w:cs="Arial" w:eastAsia="Arial" w:hAnsi="Arial"/>
          <w:sz w:val="14"/>
          <w:szCs w:val="14"/>
          <w:color w:val="001446"/>
        </w:rPr>
        <w:t>The following table sets forth certain information regarding the beneficial ownership of our common stock as of April 6, 2026 (unless indicated otherwise below)</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001446"/>
        </w:rPr>
        <w:t>for:</w:t>
      </w:r>
    </w:p>
    <w:p>
      <w:pPr>
        <w:spacing w:after="0" w:line="171" w:lineRule="exact"/>
        <w:rPr>
          <w:sz w:val="20"/>
          <w:szCs w:val="20"/>
          <w:color w:val="auto"/>
        </w:rPr>
      </w:pPr>
    </w:p>
    <w:p>
      <w:pPr>
        <w:ind w:left="1140" w:hanging="280"/>
        <w:spacing w:after="0"/>
        <w:tabs>
          <w:tab w:leader="none" w:pos="1140" w:val="left"/>
        </w:tabs>
        <w:numPr>
          <w:ilvl w:val="0"/>
          <w:numId w:val="101"/>
        </w:numPr>
        <w:rPr>
          <w:rFonts w:ascii="Arial" w:cs="Arial" w:eastAsia="Arial" w:hAnsi="Arial"/>
          <w:sz w:val="14"/>
          <w:szCs w:val="14"/>
          <w:color w:val="FF0000"/>
        </w:rPr>
      </w:pPr>
      <w:r>
        <w:rPr>
          <w:rFonts w:ascii="Arial" w:cs="Arial" w:eastAsia="Arial" w:hAnsi="Arial"/>
          <w:sz w:val="14"/>
          <w:szCs w:val="14"/>
          <w:color w:val="001446"/>
        </w:rPr>
        <w:t>Each person known to us to beneficially own 5% or more of the outstanding shares of our common stock;</w:t>
      </w:r>
    </w:p>
    <w:p>
      <w:pPr>
        <w:spacing w:after="0" w:line="175" w:lineRule="exact"/>
        <w:rPr>
          <w:rFonts w:ascii="Arial" w:cs="Arial" w:eastAsia="Arial" w:hAnsi="Arial"/>
          <w:sz w:val="14"/>
          <w:szCs w:val="14"/>
          <w:color w:val="FF0000"/>
        </w:rPr>
      </w:pPr>
    </w:p>
    <w:p>
      <w:pPr>
        <w:ind w:left="1140" w:hanging="280"/>
        <w:spacing w:after="0"/>
        <w:tabs>
          <w:tab w:leader="none" w:pos="1140" w:val="left"/>
        </w:tabs>
        <w:numPr>
          <w:ilvl w:val="0"/>
          <w:numId w:val="101"/>
        </w:numPr>
        <w:rPr>
          <w:rFonts w:ascii="Arial" w:cs="Arial" w:eastAsia="Arial" w:hAnsi="Arial"/>
          <w:sz w:val="14"/>
          <w:szCs w:val="14"/>
          <w:color w:val="FF0000"/>
        </w:rPr>
      </w:pPr>
      <w:r>
        <w:rPr>
          <w:rFonts w:ascii="Arial" w:cs="Arial" w:eastAsia="Arial" w:hAnsi="Arial"/>
          <w:sz w:val="14"/>
          <w:szCs w:val="14"/>
          <w:color w:val="001446"/>
        </w:rPr>
        <w:t>Each member of our board of directors and director nominees;</w:t>
      </w:r>
    </w:p>
    <w:p>
      <w:pPr>
        <w:spacing w:after="0" w:line="175" w:lineRule="exact"/>
        <w:rPr>
          <w:rFonts w:ascii="Arial" w:cs="Arial" w:eastAsia="Arial" w:hAnsi="Arial"/>
          <w:sz w:val="14"/>
          <w:szCs w:val="14"/>
          <w:color w:val="FF0000"/>
        </w:rPr>
      </w:pPr>
    </w:p>
    <w:p>
      <w:pPr>
        <w:ind w:left="1140" w:hanging="280"/>
        <w:spacing w:after="0"/>
        <w:tabs>
          <w:tab w:leader="none" w:pos="1140" w:val="left"/>
        </w:tabs>
        <w:numPr>
          <w:ilvl w:val="0"/>
          <w:numId w:val="101"/>
        </w:numPr>
        <w:rPr>
          <w:rFonts w:ascii="Arial" w:cs="Arial" w:eastAsia="Arial" w:hAnsi="Arial"/>
          <w:sz w:val="14"/>
          <w:szCs w:val="14"/>
          <w:color w:val="FF0000"/>
        </w:rPr>
      </w:pPr>
      <w:r>
        <w:rPr>
          <w:rFonts w:ascii="Arial" w:cs="Arial" w:eastAsia="Arial" w:hAnsi="Arial"/>
          <w:sz w:val="14"/>
          <w:szCs w:val="14"/>
          <w:color w:val="001446"/>
        </w:rPr>
        <w:t>Each of our named executive officers; and</w:t>
      </w:r>
    </w:p>
    <w:p>
      <w:pPr>
        <w:spacing w:after="0" w:line="175" w:lineRule="exact"/>
        <w:rPr>
          <w:rFonts w:ascii="Arial" w:cs="Arial" w:eastAsia="Arial" w:hAnsi="Arial"/>
          <w:sz w:val="14"/>
          <w:szCs w:val="14"/>
          <w:color w:val="FF0000"/>
        </w:rPr>
      </w:pPr>
    </w:p>
    <w:p>
      <w:pPr>
        <w:ind w:left="1140" w:hanging="280"/>
        <w:spacing w:after="0"/>
        <w:tabs>
          <w:tab w:leader="none" w:pos="1140" w:val="left"/>
        </w:tabs>
        <w:numPr>
          <w:ilvl w:val="0"/>
          <w:numId w:val="101"/>
        </w:numPr>
        <w:rPr>
          <w:rFonts w:ascii="Arial" w:cs="Arial" w:eastAsia="Arial" w:hAnsi="Arial"/>
          <w:sz w:val="14"/>
          <w:szCs w:val="14"/>
          <w:color w:val="FF0000"/>
        </w:rPr>
      </w:pPr>
      <w:r>
        <w:rPr>
          <w:rFonts w:ascii="Arial" w:cs="Arial" w:eastAsia="Arial" w:hAnsi="Arial"/>
          <w:sz w:val="14"/>
          <w:szCs w:val="14"/>
          <w:color w:val="001446"/>
        </w:rPr>
        <w:t>The members of our board of directors and our executive officers as a group.</w:t>
      </w:r>
    </w:p>
    <w:p>
      <w:pPr>
        <w:spacing w:after="0" w:line="175" w:lineRule="exact"/>
        <w:rPr>
          <w:sz w:val="20"/>
          <w:szCs w:val="20"/>
          <w:color w:val="auto"/>
        </w:rPr>
      </w:pPr>
    </w:p>
    <w:p>
      <w:pPr>
        <w:ind w:right="500"/>
        <w:spacing w:after="0" w:line="275" w:lineRule="auto"/>
        <w:rPr>
          <w:sz w:val="20"/>
          <w:szCs w:val="20"/>
          <w:color w:val="auto"/>
        </w:rPr>
      </w:pPr>
      <w:r>
        <w:rPr>
          <w:rFonts w:ascii="Arial" w:cs="Arial" w:eastAsia="Arial" w:hAnsi="Arial"/>
          <w:sz w:val="14"/>
          <w:szCs w:val="14"/>
          <w:color w:val="001446"/>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19"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001446"/>
        </w:rPr>
        <w:t>Applicable percentage ownership in the following table is based on 60,817,929 shares of common stock outstanding as of April 6, 2026,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April 6, 2026. We did not deem these shares outstanding, however, for the purpose of computing the percentage ownership of any other person. Unless otherwise indicated, the address of each beneficial owner listed in the table below is c/o SolarEdge Technologies, Inc., 1 HaMada Street, Herziliya Pituach, Israel, 4673335.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Borders>
              <w:bottom w:val="single" w:sz="8" w:color="000F47"/>
            </w:tcBorders>
            <w:shd w:val="clear" w:color="auto" w:fill="000F47"/>
          </w:tcPr>
          <w:p>
            <w:pPr>
              <w:spacing w:after="0"/>
              <w:rPr>
                <w:sz w:val="22"/>
                <w:szCs w:val="22"/>
                <w:color w:val="auto"/>
              </w:rPr>
            </w:pPr>
          </w:p>
        </w:tc>
        <w:tc>
          <w:tcPr>
            <w:tcW w:w="2920" w:type="dxa"/>
            <w:vAlign w:val="bottom"/>
            <w:tcBorders>
              <w:bottom w:val="single" w:sz="8" w:color="000F47"/>
            </w:tcBorders>
            <w:shd w:val="clear" w:color="auto" w:fill="000F47"/>
          </w:tcPr>
          <w:p>
            <w:pPr>
              <w:ind w:left="560"/>
              <w:spacing w:after="0"/>
              <w:rPr>
                <w:sz w:val="20"/>
                <w:szCs w:val="20"/>
                <w:color w:val="auto"/>
              </w:rPr>
            </w:pPr>
            <w:r>
              <w:rPr>
                <w:rFonts w:ascii="Arial" w:cs="Arial" w:eastAsia="Arial" w:hAnsi="Arial"/>
                <w:sz w:val="14"/>
                <w:szCs w:val="14"/>
                <w:color w:val="FFFFFF"/>
              </w:rPr>
              <w:t>Shares Beneficially Owned</w:t>
            </w:r>
          </w:p>
        </w:tc>
        <w:tc>
          <w:tcPr>
            <w:tcW w:w="2480" w:type="dxa"/>
            <w:vAlign w:val="bottom"/>
            <w:tcBorders>
              <w:bottom w:val="single" w:sz="8" w:color="000F47"/>
            </w:tcBorders>
            <w:shd w:val="clear" w:color="auto" w:fill="000F47"/>
          </w:tcPr>
          <w:p>
            <w:pPr>
              <w:spacing w:after="0"/>
              <w:rPr>
                <w:sz w:val="22"/>
                <w:szCs w:val="22"/>
                <w:color w:val="auto"/>
              </w:rPr>
            </w:pPr>
          </w:p>
        </w:tc>
      </w:tr>
      <w:tr>
        <w:trPr>
          <w:trHeight w:val="212"/>
        </w:trPr>
        <w:tc>
          <w:tcPr>
            <w:tcW w:w="4880" w:type="dxa"/>
            <w:vAlign w:val="bottom"/>
            <w:shd w:val="clear" w:color="auto" w:fill="D5E8F6"/>
          </w:tcPr>
          <w:p>
            <w:pPr>
              <w:ind w:left="100"/>
              <w:spacing w:after="0"/>
              <w:rPr>
                <w:sz w:val="20"/>
                <w:szCs w:val="20"/>
                <w:color w:val="auto"/>
              </w:rPr>
            </w:pPr>
            <w:r>
              <w:rPr>
                <w:rFonts w:ascii="Arial" w:cs="Arial" w:eastAsia="Arial" w:hAnsi="Arial"/>
                <w:sz w:val="14"/>
                <w:szCs w:val="14"/>
                <w:b w:val="1"/>
                <w:bCs w:val="1"/>
                <w:color w:val="001446"/>
              </w:rPr>
              <w:t>Name of Beneficial Owner 5% Stockholders: (1)</w:t>
            </w:r>
          </w:p>
        </w:tc>
        <w:tc>
          <w:tcPr>
            <w:tcW w:w="2920" w:type="dxa"/>
            <w:vAlign w:val="bottom"/>
            <w:shd w:val="clear" w:color="auto" w:fill="D5E8F6"/>
          </w:tcPr>
          <w:p>
            <w:pPr>
              <w:ind w:left="1120"/>
              <w:spacing w:after="0"/>
              <w:rPr>
                <w:sz w:val="20"/>
                <w:szCs w:val="20"/>
                <w:color w:val="auto"/>
              </w:rPr>
            </w:pPr>
            <w:r>
              <w:rPr>
                <w:rFonts w:ascii="Arial" w:cs="Arial" w:eastAsia="Arial" w:hAnsi="Arial"/>
                <w:sz w:val="14"/>
                <w:szCs w:val="14"/>
                <w:color w:val="001446"/>
              </w:rPr>
              <w:t>Shares</w:t>
            </w:r>
          </w:p>
        </w:tc>
        <w:tc>
          <w:tcPr>
            <w:tcW w:w="2480" w:type="dxa"/>
            <w:vAlign w:val="bottom"/>
            <w:shd w:val="clear" w:color="auto" w:fill="D5E8F6"/>
          </w:tcPr>
          <w:p>
            <w:pPr>
              <w:jc w:val="center"/>
              <w:ind w:right="728"/>
              <w:spacing w:after="0"/>
              <w:rPr>
                <w:sz w:val="20"/>
                <w:szCs w:val="20"/>
                <w:color w:val="auto"/>
              </w:rPr>
            </w:pPr>
            <w:r>
              <w:rPr>
                <w:rFonts w:ascii="Arial" w:cs="Arial" w:eastAsia="Arial" w:hAnsi="Arial"/>
                <w:sz w:val="14"/>
                <w:szCs w:val="14"/>
                <w:color w:val="001446"/>
                <w:w w:val="96"/>
              </w:rPr>
              <w:t>%</w:t>
            </w:r>
          </w:p>
        </w:tc>
      </w:tr>
      <w:tr>
        <w:trPr>
          <w:trHeight w:val="207"/>
        </w:trPr>
        <w:tc>
          <w:tcPr>
            <w:tcW w:w="4880" w:type="dxa"/>
            <w:vAlign w:val="bottom"/>
          </w:tcPr>
          <w:p>
            <w:pPr>
              <w:ind w:left="100"/>
              <w:spacing w:after="0"/>
              <w:rPr>
                <w:sz w:val="20"/>
                <w:szCs w:val="20"/>
                <w:color w:val="auto"/>
              </w:rPr>
            </w:pPr>
            <w:r>
              <w:rPr>
                <w:rFonts w:ascii="Arial" w:cs="Arial" w:eastAsia="Arial" w:hAnsi="Arial"/>
                <w:sz w:val="14"/>
                <w:szCs w:val="14"/>
                <w:color w:val="001446"/>
              </w:rPr>
              <w:t>BlackRock, Inc. (2)</w:t>
            </w:r>
          </w:p>
        </w:tc>
        <w:tc>
          <w:tcPr>
            <w:tcW w:w="2920" w:type="dxa"/>
            <w:vAlign w:val="bottom"/>
          </w:tcPr>
          <w:p>
            <w:pPr>
              <w:jc w:val="center"/>
              <w:ind w:right="168"/>
              <w:spacing w:after="0"/>
              <w:rPr>
                <w:sz w:val="20"/>
                <w:szCs w:val="20"/>
                <w:color w:val="auto"/>
              </w:rPr>
            </w:pPr>
            <w:r>
              <w:rPr>
                <w:rFonts w:ascii="Arial" w:cs="Arial" w:eastAsia="Arial" w:hAnsi="Arial"/>
                <w:sz w:val="14"/>
                <w:szCs w:val="14"/>
                <w:color w:val="001446"/>
              </w:rPr>
              <w:t>6,896,384</w:t>
            </w:r>
          </w:p>
        </w:tc>
        <w:tc>
          <w:tcPr>
            <w:tcW w:w="2480" w:type="dxa"/>
            <w:vAlign w:val="bottom"/>
          </w:tcPr>
          <w:p>
            <w:pPr>
              <w:jc w:val="center"/>
              <w:ind w:right="728"/>
              <w:spacing w:after="0"/>
              <w:rPr>
                <w:sz w:val="20"/>
                <w:szCs w:val="20"/>
                <w:color w:val="auto"/>
              </w:rPr>
            </w:pPr>
            <w:r>
              <w:rPr>
                <w:rFonts w:ascii="Arial" w:cs="Arial" w:eastAsia="Arial" w:hAnsi="Arial"/>
                <w:sz w:val="14"/>
                <w:szCs w:val="14"/>
                <w:color w:val="001446"/>
              </w:rPr>
              <w:t>11.3%</w:t>
            </w:r>
          </w:p>
        </w:tc>
      </w:tr>
      <w:tr>
        <w:trPr>
          <w:trHeight w:val="219"/>
        </w:trPr>
        <w:tc>
          <w:tcPr>
            <w:tcW w:w="4880" w:type="dxa"/>
            <w:vAlign w:val="bottom"/>
            <w:shd w:val="clear" w:color="auto" w:fill="D5E8F6"/>
          </w:tcPr>
          <w:p>
            <w:pPr>
              <w:ind w:left="100"/>
              <w:spacing w:after="0"/>
              <w:rPr>
                <w:sz w:val="20"/>
                <w:szCs w:val="20"/>
                <w:color w:val="auto"/>
              </w:rPr>
            </w:pPr>
            <w:r>
              <w:rPr>
                <w:rFonts w:ascii="Arial" w:cs="Arial" w:eastAsia="Arial" w:hAnsi="Arial"/>
                <w:sz w:val="14"/>
                <w:szCs w:val="14"/>
                <w:b w:val="1"/>
                <w:bCs w:val="1"/>
                <w:color w:val="001446"/>
              </w:rPr>
              <w:t>Directors, Director Nominees and Named Executive Officers:</w:t>
            </w:r>
          </w:p>
        </w:tc>
        <w:tc>
          <w:tcPr>
            <w:tcW w:w="2920" w:type="dxa"/>
            <w:vAlign w:val="bottom"/>
            <w:shd w:val="clear" w:color="auto" w:fill="D5E8F6"/>
          </w:tcPr>
          <w:p>
            <w:pPr>
              <w:spacing w:after="0"/>
              <w:rPr>
                <w:sz w:val="19"/>
                <w:szCs w:val="19"/>
                <w:color w:val="auto"/>
              </w:rPr>
            </w:pPr>
          </w:p>
        </w:tc>
        <w:tc>
          <w:tcPr>
            <w:tcW w:w="2480" w:type="dxa"/>
            <w:vAlign w:val="bottom"/>
            <w:shd w:val="clear" w:color="auto" w:fill="D5E8F6"/>
          </w:tcPr>
          <w:p>
            <w:pPr>
              <w:spacing w:after="0"/>
              <w:rPr>
                <w:sz w:val="19"/>
                <w:szCs w:val="19"/>
                <w:color w:val="auto"/>
              </w:rPr>
            </w:pPr>
          </w:p>
        </w:tc>
      </w:tr>
      <w:tr>
        <w:trPr>
          <w:trHeight w:val="207"/>
        </w:trPr>
        <w:tc>
          <w:tcPr>
            <w:tcW w:w="4880" w:type="dxa"/>
            <w:vAlign w:val="bottom"/>
          </w:tcPr>
          <w:p>
            <w:pPr>
              <w:ind w:left="100"/>
              <w:spacing w:after="0"/>
              <w:rPr>
                <w:sz w:val="20"/>
                <w:szCs w:val="20"/>
                <w:color w:val="auto"/>
              </w:rPr>
            </w:pPr>
            <w:r>
              <w:rPr>
                <w:rFonts w:ascii="Arial" w:cs="Arial" w:eastAsia="Arial" w:hAnsi="Arial"/>
                <w:sz w:val="14"/>
                <w:szCs w:val="14"/>
                <w:color w:val="001446"/>
              </w:rPr>
              <w:t>Yehoshua Shuki Nir (3)</w:t>
            </w:r>
          </w:p>
        </w:tc>
        <w:tc>
          <w:tcPr>
            <w:tcW w:w="2920" w:type="dxa"/>
            <w:vAlign w:val="bottom"/>
          </w:tcPr>
          <w:p>
            <w:pPr>
              <w:jc w:val="center"/>
              <w:ind w:right="168"/>
              <w:spacing w:after="0"/>
              <w:rPr>
                <w:sz w:val="20"/>
                <w:szCs w:val="20"/>
                <w:color w:val="auto"/>
              </w:rPr>
            </w:pPr>
            <w:r>
              <w:rPr>
                <w:rFonts w:ascii="Arial" w:cs="Arial" w:eastAsia="Arial" w:hAnsi="Arial"/>
                <w:sz w:val="14"/>
                <w:szCs w:val="14"/>
                <w:color w:val="001446"/>
              </w:rPr>
              <w:t>103,267</w:t>
            </w:r>
          </w:p>
        </w:tc>
        <w:tc>
          <w:tcPr>
            <w:tcW w:w="2480" w:type="dxa"/>
            <w:vAlign w:val="bottom"/>
          </w:tcPr>
          <w:p>
            <w:pPr>
              <w:jc w:val="center"/>
              <w:ind w:right="748"/>
              <w:spacing w:after="0"/>
              <w:rPr>
                <w:sz w:val="20"/>
                <w:szCs w:val="20"/>
                <w:color w:val="auto"/>
              </w:rPr>
            </w:pPr>
            <w:r>
              <w:rPr>
                <w:rFonts w:ascii="Arial" w:cs="Arial" w:eastAsia="Arial" w:hAnsi="Arial"/>
                <w:sz w:val="14"/>
                <w:szCs w:val="14"/>
                <w:color w:val="001446"/>
              </w:rPr>
              <w:t>*</w:t>
            </w:r>
          </w:p>
        </w:tc>
      </w:tr>
      <w:tr>
        <w:trPr>
          <w:trHeight w:val="218"/>
        </w:trPr>
        <w:tc>
          <w:tcPr>
            <w:tcW w:w="4880" w:type="dxa"/>
            <w:vAlign w:val="bottom"/>
            <w:shd w:val="clear" w:color="auto" w:fill="F0F0F0"/>
          </w:tcPr>
          <w:p>
            <w:pPr>
              <w:ind w:left="100"/>
              <w:spacing w:after="0"/>
              <w:rPr>
                <w:sz w:val="20"/>
                <w:szCs w:val="20"/>
                <w:color w:val="auto"/>
              </w:rPr>
            </w:pPr>
            <w:r>
              <w:rPr>
                <w:rFonts w:ascii="Arial" w:cs="Arial" w:eastAsia="Arial" w:hAnsi="Arial"/>
                <w:sz w:val="14"/>
                <w:szCs w:val="14"/>
                <w:color w:val="001446"/>
              </w:rPr>
              <w:t>Asaf Alperovitz (4)</w:t>
            </w:r>
          </w:p>
        </w:tc>
        <w:tc>
          <w:tcPr>
            <w:tcW w:w="2920" w:type="dxa"/>
            <w:vAlign w:val="bottom"/>
            <w:shd w:val="clear" w:color="auto" w:fill="F0F0F0"/>
          </w:tcPr>
          <w:p>
            <w:pPr>
              <w:jc w:val="center"/>
              <w:ind w:right="168"/>
              <w:spacing w:after="0"/>
              <w:rPr>
                <w:sz w:val="20"/>
                <w:szCs w:val="20"/>
                <w:color w:val="auto"/>
              </w:rPr>
            </w:pPr>
            <w:r>
              <w:rPr>
                <w:rFonts w:ascii="Arial" w:cs="Arial" w:eastAsia="Arial" w:hAnsi="Arial"/>
                <w:sz w:val="14"/>
                <w:szCs w:val="14"/>
                <w:color w:val="001446"/>
              </w:rPr>
              <w:t>10,735</w:t>
            </w:r>
          </w:p>
        </w:tc>
        <w:tc>
          <w:tcPr>
            <w:tcW w:w="2480" w:type="dxa"/>
            <w:vAlign w:val="bottom"/>
            <w:shd w:val="clear" w:color="auto" w:fill="F0F0F0"/>
          </w:tcPr>
          <w:p>
            <w:pPr>
              <w:jc w:val="center"/>
              <w:ind w:right="748"/>
              <w:spacing w:after="0"/>
              <w:rPr>
                <w:sz w:val="20"/>
                <w:szCs w:val="20"/>
                <w:color w:val="auto"/>
              </w:rPr>
            </w:pPr>
            <w:r>
              <w:rPr>
                <w:rFonts w:ascii="Arial" w:cs="Arial" w:eastAsia="Arial" w:hAnsi="Arial"/>
                <w:sz w:val="14"/>
                <w:szCs w:val="14"/>
                <w:color w:val="001446"/>
              </w:rPr>
              <w:t>*</w:t>
            </w:r>
          </w:p>
        </w:tc>
      </w:tr>
      <w:tr>
        <w:trPr>
          <w:trHeight w:val="207"/>
        </w:trPr>
        <w:tc>
          <w:tcPr>
            <w:tcW w:w="4880" w:type="dxa"/>
            <w:vAlign w:val="bottom"/>
          </w:tcPr>
          <w:p>
            <w:pPr>
              <w:ind w:left="100"/>
              <w:spacing w:after="0"/>
              <w:rPr>
                <w:sz w:val="20"/>
                <w:szCs w:val="20"/>
                <w:color w:val="auto"/>
              </w:rPr>
            </w:pPr>
            <w:r>
              <w:rPr>
                <w:rFonts w:ascii="Arial" w:cs="Arial" w:eastAsia="Arial" w:hAnsi="Arial"/>
                <w:sz w:val="14"/>
                <w:szCs w:val="14"/>
                <w:color w:val="001446"/>
              </w:rPr>
              <w:t>Daniel Huber (5)</w:t>
            </w:r>
          </w:p>
        </w:tc>
        <w:tc>
          <w:tcPr>
            <w:tcW w:w="2920" w:type="dxa"/>
            <w:vAlign w:val="bottom"/>
          </w:tcPr>
          <w:p>
            <w:pPr>
              <w:jc w:val="center"/>
              <w:ind w:right="168"/>
              <w:spacing w:after="0"/>
              <w:rPr>
                <w:sz w:val="20"/>
                <w:szCs w:val="20"/>
                <w:color w:val="auto"/>
              </w:rPr>
            </w:pPr>
            <w:r>
              <w:rPr>
                <w:rFonts w:ascii="Arial" w:cs="Arial" w:eastAsia="Arial" w:hAnsi="Arial"/>
                <w:sz w:val="14"/>
                <w:szCs w:val="14"/>
                <w:color w:val="001446"/>
              </w:rPr>
              <w:t>33,246</w:t>
            </w:r>
          </w:p>
        </w:tc>
        <w:tc>
          <w:tcPr>
            <w:tcW w:w="2480" w:type="dxa"/>
            <w:vAlign w:val="bottom"/>
          </w:tcPr>
          <w:p>
            <w:pPr>
              <w:jc w:val="center"/>
              <w:ind w:right="748"/>
              <w:spacing w:after="0"/>
              <w:rPr>
                <w:sz w:val="20"/>
                <w:szCs w:val="20"/>
                <w:color w:val="auto"/>
              </w:rPr>
            </w:pPr>
            <w:r>
              <w:rPr>
                <w:rFonts w:ascii="Arial" w:cs="Arial" w:eastAsia="Arial" w:hAnsi="Arial"/>
                <w:sz w:val="14"/>
                <w:szCs w:val="14"/>
                <w:color w:val="001446"/>
              </w:rPr>
              <w:t>*</w:t>
            </w:r>
          </w:p>
        </w:tc>
      </w:tr>
      <w:tr>
        <w:trPr>
          <w:trHeight w:val="219"/>
        </w:trPr>
        <w:tc>
          <w:tcPr>
            <w:tcW w:w="4880" w:type="dxa"/>
            <w:vAlign w:val="bottom"/>
            <w:shd w:val="clear" w:color="auto" w:fill="F0F0F0"/>
          </w:tcPr>
          <w:p>
            <w:pPr>
              <w:ind w:left="100"/>
              <w:spacing w:after="0"/>
              <w:rPr>
                <w:sz w:val="20"/>
                <w:szCs w:val="20"/>
                <w:color w:val="auto"/>
              </w:rPr>
            </w:pPr>
            <w:r>
              <w:rPr>
                <w:rFonts w:ascii="Arial" w:cs="Arial" w:eastAsia="Arial" w:hAnsi="Arial"/>
                <w:sz w:val="14"/>
                <w:szCs w:val="14"/>
                <w:color w:val="001446"/>
              </w:rPr>
              <w:t>Uri Bechor (6)</w:t>
            </w:r>
          </w:p>
        </w:tc>
        <w:tc>
          <w:tcPr>
            <w:tcW w:w="2920" w:type="dxa"/>
            <w:vAlign w:val="bottom"/>
            <w:shd w:val="clear" w:color="auto" w:fill="F0F0F0"/>
          </w:tcPr>
          <w:p>
            <w:pPr>
              <w:jc w:val="center"/>
              <w:ind w:right="168"/>
              <w:spacing w:after="0"/>
              <w:rPr>
                <w:sz w:val="20"/>
                <w:szCs w:val="20"/>
                <w:color w:val="auto"/>
              </w:rPr>
            </w:pPr>
            <w:r>
              <w:rPr>
                <w:rFonts w:ascii="Arial" w:cs="Arial" w:eastAsia="Arial" w:hAnsi="Arial"/>
                <w:sz w:val="14"/>
                <w:szCs w:val="14"/>
                <w:color w:val="001446"/>
              </w:rPr>
              <w:t>95,240</w:t>
            </w:r>
          </w:p>
        </w:tc>
        <w:tc>
          <w:tcPr>
            <w:tcW w:w="2480" w:type="dxa"/>
            <w:vAlign w:val="bottom"/>
            <w:shd w:val="clear" w:color="auto" w:fill="F0F0F0"/>
          </w:tcPr>
          <w:p>
            <w:pPr>
              <w:jc w:val="center"/>
              <w:ind w:right="748"/>
              <w:spacing w:after="0"/>
              <w:rPr>
                <w:sz w:val="20"/>
                <w:szCs w:val="20"/>
                <w:color w:val="auto"/>
              </w:rPr>
            </w:pPr>
            <w:r>
              <w:rPr>
                <w:rFonts w:ascii="Arial" w:cs="Arial" w:eastAsia="Arial" w:hAnsi="Arial"/>
                <w:sz w:val="14"/>
                <w:szCs w:val="14"/>
                <w:color w:val="001446"/>
              </w:rPr>
              <w:t>*</w:t>
            </w:r>
          </w:p>
        </w:tc>
      </w:tr>
      <w:tr>
        <w:trPr>
          <w:trHeight w:val="207"/>
        </w:trPr>
        <w:tc>
          <w:tcPr>
            <w:tcW w:w="4880" w:type="dxa"/>
            <w:vAlign w:val="bottom"/>
          </w:tcPr>
          <w:p>
            <w:pPr>
              <w:ind w:left="100"/>
              <w:spacing w:after="0"/>
              <w:rPr>
                <w:sz w:val="20"/>
                <w:szCs w:val="20"/>
                <w:color w:val="auto"/>
              </w:rPr>
            </w:pPr>
            <w:r>
              <w:rPr>
                <w:rFonts w:ascii="Arial" w:cs="Arial" w:eastAsia="Arial" w:hAnsi="Arial"/>
                <w:sz w:val="14"/>
                <w:szCs w:val="14"/>
                <w:color w:val="001446"/>
              </w:rPr>
              <w:t>Avery More (7)</w:t>
            </w:r>
          </w:p>
        </w:tc>
        <w:tc>
          <w:tcPr>
            <w:tcW w:w="2920" w:type="dxa"/>
            <w:vAlign w:val="bottom"/>
          </w:tcPr>
          <w:p>
            <w:pPr>
              <w:jc w:val="center"/>
              <w:ind w:right="168"/>
              <w:spacing w:after="0"/>
              <w:rPr>
                <w:sz w:val="20"/>
                <w:szCs w:val="20"/>
                <w:color w:val="auto"/>
              </w:rPr>
            </w:pPr>
            <w:r>
              <w:rPr>
                <w:rFonts w:ascii="Arial" w:cs="Arial" w:eastAsia="Arial" w:hAnsi="Arial"/>
                <w:sz w:val="14"/>
                <w:szCs w:val="14"/>
                <w:color w:val="001446"/>
              </w:rPr>
              <w:t>297,945</w:t>
            </w:r>
          </w:p>
        </w:tc>
        <w:tc>
          <w:tcPr>
            <w:tcW w:w="2480" w:type="dxa"/>
            <w:vAlign w:val="bottom"/>
          </w:tcPr>
          <w:p>
            <w:pPr>
              <w:jc w:val="center"/>
              <w:ind w:right="748"/>
              <w:spacing w:after="0"/>
              <w:rPr>
                <w:sz w:val="20"/>
                <w:szCs w:val="20"/>
                <w:color w:val="auto"/>
              </w:rPr>
            </w:pPr>
            <w:r>
              <w:rPr>
                <w:rFonts w:ascii="Arial" w:cs="Arial" w:eastAsia="Arial" w:hAnsi="Arial"/>
                <w:sz w:val="14"/>
                <w:szCs w:val="14"/>
                <w:color w:val="001446"/>
              </w:rPr>
              <w:t>*</w:t>
            </w:r>
          </w:p>
        </w:tc>
      </w:tr>
      <w:tr>
        <w:trPr>
          <w:trHeight w:val="219"/>
        </w:trPr>
        <w:tc>
          <w:tcPr>
            <w:tcW w:w="4880" w:type="dxa"/>
            <w:vAlign w:val="bottom"/>
            <w:shd w:val="clear" w:color="auto" w:fill="F0F0F0"/>
          </w:tcPr>
          <w:p>
            <w:pPr>
              <w:ind w:left="100"/>
              <w:spacing w:after="0"/>
              <w:rPr>
                <w:sz w:val="20"/>
                <w:szCs w:val="20"/>
                <w:color w:val="auto"/>
              </w:rPr>
            </w:pPr>
            <w:r>
              <w:rPr>
                <w:rFonts w:ascii="Arial" w:cs="Arial" w:eastAsia="Arial" w:hAnsi="Arial"/>
                <w:sz w:val="14"/>
                <w:szCs w:val="14"/>
                <w:color w:val="001446"/>
              </w:rPr>
              <w:t>Betsy Atkins (8)</w:t>
            </w:r>
          </w:p>
        </w:tc>
        <w:tc>
          <w:tcPr>
            <w:tcW w:w="2920" w:type="dxa"/>
            <w:vAlign w:val="bottom"/>
            <w:shd w:val="clear" w:color="auto" w:fill="F0F0F0"/>
          </w:tcPr>
          <w:p>
            <w:pPr>
              <w:jc w:val="center"/>
              <w:ind w:right="168"/>
              <w:spacing w:after="0"/>
              <w:rPr>
                <w:sz w:val="20"/>
                <w:szCs w:val="20"/>
                <w:color w:val="auto"/>
              </w:rPr>
            </w:pPr>
            <w:r>
              <w:rPr>
                <w:rFonts w:ascii="Arial" w:cs="Arial" w:eastAsia="Arial" w:hAnsi="Arial"/>
                <w:sz w:val="14"/>
                <w:szCs w:val="14"/>
                <w:color w:val="001446"/>
              </w:rPr>
              <w:t>17,373</w:t>
            </w:r>
          </w:p>
        </w:tc>
        <w:tc>
          <w:tcPr>
            <w:tcW w:w="2480" w:type="dxa"/>
            <w:vAlign w:val="bottom"/>
            <w:shd w:val="clear" w:color="auto" w:fill="F0F0F0"/>
          </w:tcPr>
          <w:p>
            <w:pPr>
              <w:jc w:val="center"/>
              <w:ind w:right="748"/>
              <w:spacing w:after="0"/>
              <w:rPr>
                <w:sz w:val="20"/>
                <w:szCs w:val="20"/>
                <w:color w:val="auto"/>
              </w:rPr>
            </w:pPr>
            <w:r>
              <w:rPr>
                <w:rFonts w:ascii="Arial" w:cs="Arial" w:eastAsia="Arial" w:hAnsi="Arial"/>
                <w:sz w:val="14"/>
                <w:szCs w:val="14"/>
                <w:color w:val="001446"/>
              </w:rPr>
              <w:t>*</w:t>
            </w:r>
          </w:p>
        </w:tc>
      </w:tr>
      <w:tr>
        <w:trPr>
          <w:trHeight w:val="207"/>
        </w:trPr>
        <w:tc>
          <w:tcPr>
            <w:tcW w:w="4880" w:type="dxa"/>
            <w:vAlign w:val="bottom"/>
          </w:tcPr>
          <w:p>
            <w:pPr>
              <w:ind w:left="100"/>
              <w:spacing w:after="0"/>
              <w:rPr>
                <w:sz w:val="20"/>
                <w:szCs w:val="20"/>
                <w:color w:val="auto"/>
              </w:rPr>
            </w:pPr>
            <w:r>
              <w:rPr>
                <w:rFonts w:ascii="Arial" w:cs="Arial" w:eastAsia="Arial" w:hAnsi="Arial"/>
                <w:sz w:val="14"/>
                <w:szCs w:val="14"/>
                <w:color w:val="001446"/>
              </w:rPr>
              <w:t>Dana Gross (9)</w:t>
            </w:r>
          </w:p>
        </w:tc>
        <w:tc>
          <w:tcPr>
            <w:tcW w:w="2920" w:type="dxa"/>
            <w:vAlign w:val="bottom"/>
          </w:tcPr>
          <w:p>
            <w:pPr>
              <w:jc w:val="center"/>
              <w:ind w:right="168"/>
              <w:spacing w:after="0"/>
              <w:rPr>
                <w:sz w:val="20"/>
                <w:szCs w:val="20"/>
                <w:color w:val="auto"/>
              </w:rPr>
            </w:pPr>
            <w:r>
              <w:rPr>
                <w:rFonts w:ascii="Arial" w:cs="Arial" w:eastAsia="Arial" w:hAnsi="Arial"/>
                <w:sz w:val="14"/>
                <w:szCs w:val="14"/>
                <w:color w:val="001446"/>
              </w:rPr>
              <w:t>16,268</w:t>
            </w:r>
          </w:p>
        </w:tc>
        <w:tc>
          <w:tcPr>
            <w:tcW w:w="2480" w:type="dxa"/>
            <w:vAlign w:val="bottom"/>
          </w:tcPr>
          <w:p>
            <w:pPr>
              <w:jc w:val="center"/>
              <w:ind w:right="748"/>
              <w:spacing w:after="0"/>
              <w:rPr>
                <w:sz w:val="20"/>
                <w:szCs w:val="20"/>
                <w:color w:val="auto"/>
              </w:rPr>
            </w:pPr>
            <w:r>
              <w:rPr>
                <w:rFonts w:ascii="Arial" w:cs="Arial" w:eastAsia="Arial" w:hAnsi="Arial"/>
                <w:sz w:val="14"/>
                <w:szCs w:val="14"/>
                <w:color w:val="001446"/>
              </w:rPr>
              <w:t>*</w:t>
            </w:r>
          </w:p>
        </w:tc>
      </w:tr>
      <w:tr>
        <w:trPr>
          <w:trHeight w:val="218"/>
        </w:trPr>
        <w:tc>
          <w:tcPr>
            <w:tcW w:w="4880" w:type="dxa"/>
            <w:vAlign w:val="bottom"/>
            <w:shd w:val="clear" w:color="auto" w:fill="F0F0F0"/>
          </w:tcPr>
          <w:p>
            <w:pPr>
              <w:ind w:left="100"/>
              <w:spacing w:after="0"/>
              <w:rPr>
                <w:sz w:val="20"/>
                <w:szCs w:val="20"/>
                <w:color w:val="auto"/>
              </w:rPr>
            </w:pPr>
            <w:r>
              <w:rPr>
                <w:rFonts w:ascii="Arial" w:cs="Arial" w:eastAsia="Arial" w:hAnsi="Arial"/>
                <w:sz w:val="14"/>
                <w:szCs w:val="14"/>
                <w:color w:val="001446"/>
              </w:rPr>
              <w:t>Guy Gecht (10)</w:t>
            </w:r>
          </w:p>
        </w:tc>
        <w:tc>
          <w:tcPr>
            <w:tcW w:w="2920" w:type="dxa"/>
            <w:vAlign w:val="bottom"/>
            <w:shd w:val="clear" w:color="auto" w:fill="F0F0F0"/>
          </w:tcPr>
          <w:p>
            <w:pPr>
              <w:jc w:val="center"/>
              <w:ind w:right="168"/>
              <w:spacing w:after="0"/>
              <w:rPr>
                <w:sz w:val="20"/>
                <w:szCs w:val="20"/>
                <w:color w:val="auto"/>
              </w:rPr>
            </w:pPr>
            <w:r>
              <w:rPr>
                <w:rFonts w:ascii="Arial" w:cs="Arial" w:eastAsia="Arial" w:hAnsi="Arial"/>
                <w:sz w:val="14"/>
                <w:szCs w:val="14"/>
                <w:color w:val="001446"/>
              </w:rPr>
              <w:t>19,389</w:t>
            </w:r>
          </w:p>
        </w:tc>
        <w:tc>
          <w:tcPr>
            <w:tcW w:w="2480" w:type="dxa"/>
            <w:vAlign w:val="bottom"/>
            <w:shd w:val="clear" w:color="auto" w:fill="F0F0F0"/>
          </w:tcPr>
          <w:p>
            <w:pPr>
              <w:jc w:val="center"/>
              <w:ind w:right="748"/>
              <w:spacing w:after="0"/>
              <w:rPr>
                <w:sz w:val="20"/>
                <w:szCs w:val="20"/>
                <w:color w:val="auto"/>
              </w:rPr>
            </w:pPr>
            <w:r>
              <w:rPr>
                <w:rFonts w:ascii="Arial" w:cs="Arial" w:eastAsia="Arial" w:hAnsi="Arial"/>
                <w:sz w:val="14"/>
                <w:szCs w:val="14"/>
                <w:color w:val="001446"/>
              </w:rPr>
              <w:t>*</w:t>
            </w:r>
          </w:p>
        </w:tc>
      </w:tr>
      <w:tr>
        <w:trPr>
          <w:trHeight w:val="207"/>
        </w:trPr>
        <w:tc>
          <w:tcPr>
            <w:tcW w:w="4880" w:type="dxa"/>
            <w:vAlign w:val="bottom"/>
          </w:tcPr>
          <w:p>
            <w:pPr>
              <w:ind w:left="100"/>
              <w:spacing w:after="0"/>
              <w:rPr>
                <w:sz w:val="20"/>
                <w:szCs w:val="20"/>
                <w:color w:val="auto"/>
              </w:rPr>
            </w:pPr>
            <w:r>
              <w:rPr>
                <w:rFonts w:ascii="Arial" w:cs="Arial" w:eastAsia="Arial" w:hAnsi="Arial"/>
                <w:sz w:val="14"/>
                <w:szCs w:val="14"/>
                <w:color w:val="001446"/>
              </w:rPr>
              <w:t>Gilad Almogy (11)</w:t>
            </w:r>
          </w:p>
        </w:tc>
        <w:tc>
          <w:tcPr>
            <w:tcW w:w="2920" w:type="dxa"/>
            <w:vAlign w:val="bottom"/>
          </w:tcPr>
          <w:p>
            <w:pPr>
              <w:jc w:val="center"/>
              <w:ind w:right="168"/>
              <w:spacing w:after="0"/>
              <w:rPr>
                <w:sz w:val="20"/>
                <w:szCs w:val="20"/>
                <w:color w:val="auto"/>
              </w:rPr>
            </w:pPr>
            <w:r>
              <w:rPr>
                <w:rFonts w:ascii="Arial" w:cs="Arial" w:eastAsia="Arial" w:hAnsi="Arial"/>
                <w:sz w:val="14"/>
                <w:szCs w:val="14"/>
                <w:color w:val="001446"/>
              </w:rPr>
              <w:t>18,880</w:t>
            </w:r>
          </w:p>
        </w:tc>
        <w:tc>
          <w:tcPr>
            <w:tcW w:w="2480" w:type="dxa"/>
            <w:vAlign w:val="bottom"/>
          </w:tcPr>
          <w:p>
            <w:pPr>
              <w:jc w:val="center"/>
              <w:ind w:right="748"/>
              <w:spacing w:after="0"/>
              <w:rPr>
                <w:sz w:val="20"/>
                <w:szCs w:val="20"/>
                <w:color w:val="auto"/>
              </w:rPr>
            </w:pPr>
            <w:r>
              <w:rPr>
                <w:rFonts w:ascii="Arial" w:cs="Arial" w:eastAsia="Arial" w:hAnsi="Arial"/>
                <w:sz w:val="14"/>
                <w:szCs w:val="14"/>
                <w:color w:val="001446"/>
              </w:rPr>
              <w:t>*</w:t>
            </w:r>
          </w:p>
        </w:tc>
      </w:tr>
      <w:tr>
        <w:trPr>
          <w:trHeight w:val="219"/>
        </w:trPr>
        <w:tc>
          <w:tcPr>
            <w:tcW w:w="4880" w:type="dxa"/>
            <w:vAlign w:val="bottom"/>
            <w:shd w:val="clear" w:color="auto" w:fill="F0F0F0"/>
          </w:tcPr>
          <w:p>
            <w:pPr>
              <w:ind w:left="100"/>
              <w:spacing w:after="0"/>
              <w:rPr>
                <w:sz w:val="20"/>
                <w:szCs w:val="20"/>
                <w:color w:val="auto"/>
              </w:rPr>
            </w:pPr>
            <w:r>
              <w:rPr>
                <w:rFonts w:ascii="Arial" w:cs="Arial" w:eastAsia="Arial" w:hAnsi="Arial"/>
                <w:sz w:val="14"/>
                <w:szCs w:val="14"/>
                <w:color w:val="001446"/>
              </w:rPr>
              <w:t>Yoram Tietz (12)</w:t>
            </w:r>
          </w:p>
        </w:tc>
        <w:tc>
          <w:tcPr>
            <w:tcW w:w="2920" w:type="dxa"/>
            <w:vAlign w:val="bottom"/>
            <w:shd w:val="clear" w:color="auto" w:fill="F0F0F0"/>
          </w:tcPr>
          <w:p>
            <w:pPr>
              <w:jc w:val="center"/>
              <w:ind w:right="168"/>
              <w:spacing w:after="0"/>
              <w:rPr>
                <w:sz w:val="20"/>
                <w:szCs w:val="20"/>
                <w:color w:val="auto"/>
              </w:rPr>
            </w:pPr>
            <w:r>
              <w:rPr>
                <w:rFonts w:ascii="Arial" w:cs="Arial" w:eastAsia="Arial" w:hAnsi="Arial"/>
                <w:sz w:val="14"/>
                <w:szCs w:val="14"/>
                <w:color w:val="001446"/>
              </w:rPr>
              <w:t>21,262</w:t>
            </w:r>
          </w:p>
        </w:tc>
        <w:tc>
          <w:tcPr>
            <w:tcW w:w="2480" w:type="dxa"/>
            <w:vAlign w:val="bottom"/>
            <w:shd w:val="clear" w:color="auto" w:fill="F0F0F0"/>
          </w:tcPr>
          <w:p>
            <w:pPr>
              <w:jc w:val="center"/>
              <w:ind w:right="748"/>
              <w:spacing w:after="0"/>
              <w:rPr>
                <w:sz w:val="20"/>
                <w:szCs w:val="20"/>
                <w:color w:val="auto"/>
              </w:rPr>
            </w:pPr>
            <w:r>
              <w:rPr>
                <w:rFonts w:ascii="Arial" w:cs="Arial" w:eastAsia="Arial" w:hAnsi="Arial"/>
                <w:sz w:val="14"/>
                <w:szCs w:val="14"/>
                <w:color w:val="001446"/>
              </w:rPr>
              <w:t>*</w:t>
            </w:r>
          </w:p>
        </w:tc>
      </w:tr>
      <w:tr>
        <w:trPr>
          <w:trHeight w:val="200"/>
        </w:trPr>
        <w:tc>
          <w:tcPr>
            <w:tcW w:w="4880" w:type="dxa"/>
            <w:vAlign w:val="bottom"/>
          </w:tcPr>
          <w:p>
            <w:pPr>
              <w:ind w:left="100"/>
              <w:spacing w:after="0"/>
              <w:rPr>
                <w:sz w:val="20"/>
                <w:szCs w:val="20"/>
                <w:color w:val="auto"/>
              </w:rPr>
            </w:pPr>
            <w:r>
              <w:rPr>
                <w:rFonts w:ascii="Arial" w:cs="Arial" w:eastAsia="Arial" w:hAnsi="Arial"/>
                <w:sz w:val="14"/>
                <w:szCs w:val="14"/>
                <w:color w:val="FFFFFF"/>
              </w:rPr>
              <w:t>All directors and executive officers as a group (10 individuals) (13)</w:t>
            </w:r>
          </w:p>
        </w:tc>
        <w:tc>
          <w:tcPr>
            <w:tcW w:w="2920" w:type="dxa"/>
            <w:vAlign w:val="bottom"/>
          </w:tcPr>
          <w:p>
            <w:pPr>
              <w:jc w:val="center"/>
              <w:ind w:right="168"/>
              <w:spacing w:after="0"/>
              <w:rPr>
                <w:sz w:val="20"/>
                <w:szCs w:val="20"/>
                <w:color w:val="auto"/>
              </w:rPr>
            </w:pPr>
            <w:r>
              <w:rPr>
                <w:rFonts w:ascii="Arial" w:cs="Arial" w:eastAsia="Arial" w:hAnsi="Arial"/>
                <w:sz w:val="14"/>
                <w:szCs w:val="14"/>
                <w:color w:val="FFFFFF"/>
              </w:rPr>
              <w:t>633,605</w:t>
            </w:r>
          </w:p>
        </w:tc>
        <w:tc>
          <w:tcPr>
            <w:tcW w:w="2480" w:type="dxa"/>
            <w:vAlign w:val="bottom"/>
          </w:tcPr>
          <w:p>
            <w:pPr>
              <w:jc w:val="center"/>
              <w:ind w:right="728"/>
              <w:spacing w:after="0"/>
              <w:rPr>
                <w:sz w:val="20"/>
                <w:szCs w:val="20"/>
                <w:color w:val="auto"/>
              </w:rPr>
            </w:pPr>
            <w:r>
              <w:rPr>
                <w:rFonts w:ascii="Arial" w:cs="Arial" w:eastAsia="Arial" w:hAnsi="Arial"/>
                <w:sz w:val="14"/>
                <w:szCs w:val="14"/>
                <w:color w:val="FFFFFF"/>
              </w:rPr>
              <w:t>1.04%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-127000</wp:posOffset>
                </wp:positionV>
                <wp:extent cx="3462020" cy="13462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2020" cy="134620"/>
                        </a:xfrm>
                        <a:prstGeom prst="rect">
                          <a:avLst/>
                        </a:prstGeom>
                        <a:solidFill>
                          <a:srgbClr val="000F47"/>
                        </a:solidFill>
                      </wps:spPr>
                      <wps:bodyPr/>
                    </wps:wsp>
                  </a:graphicData>
                </a:graphic>
              </wp:anchor>
            </w:drawing>
          </mc:Choice>
          <mc:Fallback>
            <w:pict>
              <v:rect id="Shape 328" o:spid="_x0000_s1353" style="position:absolute;margin-left:-0.1999pt;margin-top:-10pt;width:272.6pt;height:10.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F47" stroked="f"/>
            </w:pict>
          </mc:Fallback>
        </mc:AlternateContent>
        <mc:AlternateContent>
          <mc:Choice Requires="wps">
            <w:drawing>
              <wp:anchor simplePos="0" relativeHeight="251657728" behindDoc="1" locked="0" layoutInCell="0" allowOverlap="1">
                <wp:simplePos x="0" y="0"/>
                <wp:positionH relativeFrom="column">
                  <wp:posOffset>3459480</wp:posOffset>
                </wp:positionH>
                <wp:positionV relativeFrom="paragraph">
                  <wp:posOffset>-127000</wp:posOffset>
                </wp:positionV>
                <wp:extent cx="980440" cy="13462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0440" cy="134620"/>
                        </a:xfrm>
                        <a:prstGeom prst="rect">
                          <a:avLst/>
                        </a:prstGeom>
                        <a:solidFill>
                          <a:srgbClr val="001446"/>
                        </a:solidFill>
                      </wps:spPr>
                      <wps:bodyPr/>
                    </wps:wsp>
                  </a:graphicData>
                </a:graphic>
              </wp:anchor>
            </w:drawing>
          </mc:Choice>
          <mc:Fallback>
            <w:pict>
              <v:rect id="Shape 329" o:spid="_x0000_s1354" style="position:absolute;margin-left:272.4pt;margin-top:-10pt;width:77.2pt;height:10.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46" stroked="f"/>
            </w:pict>
          </mc:Fallback>
        </mc:AlternateContent>
        <mc:AlternateContent>
          <mc:Choice Requires="wps">
            <w:drawing>
              <wp:anchor simplePos="0" relativeHeight="251657728" behindDoc="1" locked="0" layoutInCell="0" allowOverlap="1">
                <wp:simplePos x="0" y="0"/>
                <wp:positionH relativeFrom="column">
                  <wp:posOffset>4439920</wp:posOffset>
                </wp:positionH>
                <wp:positionV relativeFrom="paragraph">
                  <wp:posOffset>-127000</wp:posOffset>
                </wp:positionV>
                <wp:extent cx="2089785" cy="13462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9785" cy="134620"/>
                        </a:xfrm>
                        <a:prstGeom prst="rect">
                          <a:avLst/>
                        </a:prstGeom>
                        <a:solidFill>
                          <a:srgbClr val="000F47"/>
                        </a:solidFill>
                      </wps:spPr>
                      <wps:bodyPr/>
                    </wps:wsp>
                  </a:graphicData>
                </a:graphic>
              </wp:anchor>
            </w:drawing>
          </mc:Choice>
          <mc:Fallback>
            <w:pict>
              <v:rect id="Shape 330" o:spid="_x0000_s1355" style="position:absolute;margin-left:349.6pt;margin-top:-10pt;width:164.55pt;height:10.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F47" stroked="f"/>
            </w:pict>
          </mc:Fallback>
        </mc:AlternateContent>
      </w:r>
    </w:p>
    <w:p>
      <w:pPr>
        <w:spacing w:after="0"/>
        <w:rPr>
          <w:sz w:val="20"/>
          <w:szCs w:val="20"/>
          <w:color w:val="auto"/>
        </w:rPr>
      </w:pPr>
      <w:r>
        <w:rPr>
          <w:rFonts w:ascii="Arial" w:cs="Arial" w:eastAsia="Arial" w:hAnsi="Arial"/>
          <w:sz w:val="13"/>
          <w:szCs w:val="13"/>
          <w:color w:val="001446"/>
        </w:rPr>
        <w:t>*Represents beneficial ownership of less than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121285</wp:posOffset>
                </wp:positionV>
                <wp:extent cx="6532245" cy="70104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31" o:spid="_x0000_s1356" style="position:absolute;margin-left:-0.1499pt;margin-top:9.5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22"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666115</wp:posOffset>
                </wp:positionV>
                <wp:extent cx="653224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2.45pt" to="514.15pt,52.45pt" o:allowincell="f" strokecolor="#000000" strokeweight="1.6199pt"/>
            </w:pict>
          </mc:Fallback>
        </mc:AlternateContent>
      </w:r>
    </w:p>
    <w:p>
      <w:pPr>
        <w:sectPr>
          <w:pgSz w:w="11900" w:h="16840" w:orient="portrait"/>
          <w:cols w:equalWidth="0" w:num="1">
            <w:col w:w="10280"/>
          </w:cols>
          <w:pgMar w:left="820" w:top="955" w:right="804" w:bottom="1440" w:gutter="0" w:footer="0" w:header="0"/>
        </w:sectPr>
      </w:pPr>
    </w:p>
    <w:bookmarkStart w:id="186" w:name="page187"/>
    <w:bookmarkEnd w:id="186"/>
    <w:p>
      <w:pPr>
        <w:ind w:left="420" w:right="240" w:hanging="280"/>
        <w:spacing w:after="0" w:line="232"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Based on a Schedule 13G/A filed with the SEC by The Vanguard Group on March 26, 2026, The Vanguard Group reported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1" w:lineRule="exact"/>
        <w:rPr>
          <w:rFonts w:ascii="Arial" w:cs="Arial" w:eastAsia="Arial" w:hAnsi="Arial"/>
          <w:sz w:val="13"/>
          <w:szCs w:val="13"/>
          <w:color w:val="001446"/>
        </w:rPr>
      </w:pPr>
    </w:p>
    <w:p>
      <w:pPr>
        <w:ind w:left="420" w:right="2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Based solely on a Schedule 13G/A filed with the SEC by BlackRock, Inc., on April 28, 2025. The Schedule 13G/A contains information as of April 30, 2024. BlackRock, Inc. reports having sole dispositive power over 6,896,384.00 shares and sole voting power over 7,827,537 shares. The address of the reporting persons is 50 Hudson Yards, New York, NY 10001.</w:t>
      </w:r>
    </w:p>
    <w:p>
      <w:pPr>
        <w:ind w:left="420" w:right="18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81,396 shares of common stock beneficially owned by Mr. Nir, and 21,871 shares of common stock issuable upon settlement of restricted stock units which will vest and settle within 60 days of April 6, 2026.</w:t>
      </w:r>
    </w:p>
    <w:p>
      <w:pPr>
        <w:ind w:left="420" w:right="22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10,735 shares of common stock issuable upon settlement of restricted stock units, owned by Mr. Alperovitz, which will vest and settle within 60 days of April 6, 2026.</w:t>
      </w:r>
    </w:p>
    <w:p>
      <w:pPr>
        <w:ind w:left="420" w:right="6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27,454 shares of common stock beneficially owned by Mr. Huber, and 5,792 shares of common stock issuable upon settlement of restricted stock units which will vest and settle within 60 days of April 6, 2026.</w:t>
      </w:r>
    </w:p>
    <w:p>
      <w:pPr>
        <w:ind w:left="420" w:right="20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76,646 shares of common stock beneficially owned by Mr. Bechor, 12,343 shares of common stock issuable upon settlement of restricted stock units which will vest and settle within 60 days of April 6, 2026, and 6,251 shares of common stock issuable upon exercise of options exercisable within 60 days of April 6, 2026.</w:t>
      </w:r>
    </w:p>
    <w:p>
      <w:pPr>
        <w:ind w:left="420" w:right="8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180,778 shares of common stock beneficially owned by Avery More, 23,467 shares of common stock issuable upon settlement of restricted stock units which will vest and settle within 60 days of April 6, 2026, 50,000 shares held by More CRUT (More Charitable Remainder Unitrust), 40,000 shares held by More Family 2020 DT Investment LLC, 1,000 shares held by More Generations Trust, 1,000 shares held by Yaron Generations Trust and 1,700 shares held by Avery More’s wife, Jerralyn Smith More, as to which Avery More disclaims any ownership interest.</w:t>
      </w:r>
    </w:p>
    <w:p>
      <w:pPr>
        <w:ind w:left="420" w:right="4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6,606 shares of common stock beneficially owned by Ms. Atkins, and 10,767 shares of common stock issuable upon settlement of restricted stock units which will vest and settle within 60 days of April 6, 2026.</w:t>
      </w:r>
    </w:p>
    <w:p>
      <w:pPr>
        <w:ind w:left="420" w:right="4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5,501 shares of common stock beneficially owned by Ms. Gross, and 10,767 shares of common stock issuable upon settlement of restricted stock units which will vest and settle within 60 days of April 6, 2026.</w:t>
      </w:r>
    </w:p>
    <w:p>
      <w:pPr>
        <w:ind w:left="420" w:right="6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8,622 shares of common stock beneficially owned by Mr. Gecht, and 10,767 shares of common stock issuable upon settlement of restricted stock units which will vest and settle within 60 days of April 6, 2026.</w:t>
      </w:r>
    </w:p>
    <w:p>
      <w:pPr>
        <w:ind w:left="42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8,133 shares of common stock beneficially owned by Mr. Almogy, and 10,767 shares of common stock issuable upon settlement of restricted stock units which will vest and settle within 60 days of April 6, 2026.</w:t>
      </w:r>
    </w:p>
    <w:p>
      <w:pPr>
        <w:ind w:left="420" w:right="60" w:hanging="280"/>
        <w:spacing w:after="0" w:line="23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10,495 shares of common stock beneficially owned by Mr. Tietz, and 10,767 shares of common stock issuable upon settlement of restricted stock units which will vest and settle within 60 days of April 6, 2026.</w:t>
      </w:r>
    </w:p>
    <w:p>
      <w:pPr>
        <w:ind w:left="420" w:right="100" w:hanging="280"/>
        <w:spacing w:after="0" w:line="261" w:lineRule="auto"/>
        <w:tabs>
          <w:tab w:leader="none" w:pos="420" w:val="left"/>
        </w:tabs>
        <w:numPr>
          <w:ilvl w:val="0"/>
          <w:numId w:val="102"/>
        </w:numPr>
        <w:rPr>
          <w:rFonts w:ascii="Arial" w:cs="Arial" w:eastAsia="Arial" w:hAnsi="Arial"/>
          <w:sz w:val="13"/>
          <w:szCs w:val="13"/>
          <w:color w:val="001446"/>
        </w:rPr>
      </w:pPr>
      <w:r>
        <w:rPr>
          <w:rFonts w:ascii="Arial" w:cs="Arial" w:eastAsia="Arial" w:hAnsi="Arial"/>
          <w:sz w:val="13"/>
          <w:szCs w:val="13"/>
          <w:color w:val="001446"/>
        </w:rPr>
        <w:t>Consists of 499,311 shares of common stock, 128,043 shares of common stock issuable upon settlement of restricted stock units which will vest and settle within 60 days of April 6, 2026, and 6,251 shares of common stock issuable upon exercise of options exercisable within 60 days of April 6, 2026</w:t>
      </w:r>
    </w:p>
    <w:p>
      <w:pPr>
        <w:spacing w:after="0" w:line="99"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Equity Compensation Plan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4">
                          <a:solidFill>
                            <a:srgbClr val="FF3232"/>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2pt"/>
            </w:pict>
          </mc:Fallback>
        </mc:AlternateConten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summarizes information as of December 31, 2025, about shares of common stock that may be issued under our equity compensation plans.</w:t>
      </w:r>
    </w:p>
    <w:p>
      <w:pPr>
        <w:sectPr>
          <w:pgSz w:w="11900" w:h="16840" w:orient="portrait"/>
          <w:cols w:equalWidth="0" w:num="1">
            <w:col w:w="10260"/>
          </w:cols>
          <w:pgMar w:left="820" w:top="983" w:right="824"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FFFFFF"/>
        </w:rPr>
        <w:t>Plan Category</w:t>
      </w:r>
    </w:p>
    <w:p>
      <w:pPr>
        <w:spacing w:after="0" w:line="17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001446"/>
        </w:rPr>
        <w:t>Equity compensation plans approved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446"/>
        </w:rPr>
        <w:t>by security holders</w:t>
      </w:r>
    </w:p>
    <w:p>
      <w:pPr>
        <w:spacing w:after="0" w:line="7" w:lineRule="exact"/>
        <w:rPr>
          <w:sz w:val="20"/>
          <w:szCs w:val="20"/>
          <w:color w:val="auto"/>
        </w:rPr>
      </w:pPr>
    </w:p>
    <w:p>
      <w:pPr>
        <w:spacing w:after="0" w:line="272" w:lineRule="auto"/>
        <w:rPr>
          <w:sz w:val="20"/>
          <w:szCs w:val="20"/>
          <w:color w:val="auto"/>
        </w:rPr>
      </w:pPr>
      <w:r>
        <w:rPr>
          <w:rFonts w:ascii="Arial" w:cs="Arial" w:eastAsia="Arial" w:hAnsi="Arial"/>
          <w:sz w:val="14"/>
          <w:szCs w:val="14"/>
          <w:color w:val="001446"/>
        </w:rPr>
        <w:t xml:space="preserve">Equity compensation plans not approved by security holders </w:t>
      </w:r>
      <w:r>
        <w:rPr>
          <w:rFonts w:ascii="Arial" w:cs="Arial" w:eastAsia="Arial" w:hAnsi="Arial"/>
          <w:sz w:val="14"/>
          <w:szCs w:val="14"/>
          <w:color w:val="FFFFFF"/>
        </w:rPr>
        <w:t>Total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340" w:type="dxa"/>
            <w:vAlign w:val="bottom"/>
          </w:tcPr>
          <w:p>
            <w:pPr>
              <w:jc w:val="center"/>
              <w:ind w:right="128"/>
              <w:spacing w:after="0"/>
              <w:rPr>
                <w:sz w:val="20"/>
                <w:szCs w:val="20"/>
                <w:color w:val="auto"/>
              </w:rPr>
            </w:pPr>
            <w:r>
              <w:rPr>
                <w:rFonts w:ascii="Arial" w:cs="Arial" w:eastAsia="Arial" w:hAnsi="Arial"/>
                <w:sz w:val="14"/>
                <w:szCs w:val="14"/>
                <w:color w:val="FFFFFF"/>
              </w:rPr>
              <w:t>Number of securities to be issued</w:t>
            </w:r>
          </w:p>
        </w:tc>
        <w:tc>
          <w:tcPr>
            <w:tcW w:w="2180" w:type="dxa"/>
            <w:vAlign w:val="bottom"/>
          </w:tcPr>
          <w:p>
            <w:pPr>
              <w:jc w:val="center"/>
              <w:spacing w:after="0"/>
              <w:rPr>
                <w:sz w:val="20"/>
                <w:szCs w:val="20"/>
                <w:color w:val="auto"/>
              </w:rPr>
            </w:pPr>
            <w:r>
              <w:rPr>
                <w:rFonts w:ascii="Arial" w:cs="Arial" w:eastAsia="Arial" w:hAnsi="Arial"/>
                <w:sz w:val="14"/>
                <w:szCs w:val="14"/>
                <w:color w:val="FFFFFF"/>
              </w:rPr>
              <w:t>Weighted-average exercise</w:t>
            </w:r>
          </w:p>
        </w:tc>
        <w:tc>
          <w:tcPr>
            <w:tcW w:w="3320" w:type="dxa"/>
            <w:vAlign w:val="bottom"/>
          </w:tcPr>
          <w:p>
            <w:pPr>
              <w:jc w:val="center"/>
              <w:ind w:left="108"/>
              <w:spacing w:after="0"/>
              <w:rPr>
                <w:sz w:val="20"/>
                <w:szCs w:val="20"/>
                <w:color w:val="auto"/>
              </w:rPr>
            </w:pPr>
            <w:r>
              <w:rPr>
                <w:rFonts w:ascii="Arial" w:cs="Arial" w:eastAsia="Arial" w:hAnsi="Arial"/>
                <w:sz w:val="14"/>
                <w:szCs w:val="14"/>
                <w:color w:val="FFFFFF"/>
              </w:rPr>
              <w:t>Number of securities remaining available for</w:t>
            </w:r>
          </w:p>
        </w:tc>
        <w:tc>
          <w:tcPr>
            <w:tcW w:w="0" w:type="dxa"/>
            <w:vAlign w:val="bottom"/>
          </w:tcPr>
          <w:p>
            <w:pPr>
              <w:spacing w:after="0"/>
              <w:rPr>
                <w:sz w:val="1"/>
                <w:szCs w:val="1"/>
                <w:color w:val="auto"/>
              </w:rPr>
            </w:pPr>
          </w:p>
        </w:tc>
      </w:tr>
      <w:tr>
        <w:trPr>
          <w:trHeight w:val="168"/>
        </w:trPr>
        <w:tc>
          <w:tcPr>
            <w:tcW w:w="2340" w:type="dxa"/>
            <w:vAlign w:val="bottom"/>
          </w:tcPr>
          <w:p>
            <w:pPr>
              <w:jc w:val="center"/>
              <w:ind w:right="108"/>
              <w:spacing w:after="0"/>
              <w:rPr>
                <w:sz w:val="20"/>
                <w:szCs w:val="20"/>
                <w:color w:val="auto"/>
              </w:rPr>
            </w:pPr>
            <w:r>
              <w:rPr>
                <w:rFonts w:ascii="Arial" w:cs="Arial" w:eastAsia="Arial" w:hAnsi="Arial"/>
                <w:sz w:val="14"/>
                <w:szCs w:val="14"/>
                <w:color w:val="FFFFFF"/>
              </w:rPr>
              <w:t>upon exercise of outstanding</w:t>
            </w:r>
          </w:p>
        </w:tc>
        <w:tc>
          <w:tcPr>
            <w:tcW w:w="2180" w:type="dxa"/>
            <w:vAlign w:val="bottom"/>
          </w:tcPr>
          <w:p>
            <w:pPr>
              <w:jc w:val="center"/>
              <w:spacing w:after="0"/>
              <w:rPr>
                <w:sz w:val="20"/>
                <w:szCs w:val="20"/>
                <w:color w:val="auto"/>
              </w:rPr>
            </w:pPr>
            <w:r>
              <w:rPr>
                <w:rFonts w:ascii="Arial" w:cs="Arial" w:eastAsia="Arial" w:hAnsi="Arial"/>
                <w:sz w:val="14"/>
                <w:szCs w:val="14"/>
                <w:color w:val="FFFFFF"/>
              </w:rPr>
              <w:t>price of outstanding options,</w:t>
            </w:r>
          </w:p>
        </w:tc>
        <w:tc>
          <w:tcPr>
            <w:tcW w:w="3320" w:type="dxa"/>
            <w:vAlign w:val="bottom"/>
          </w:tcPr>
          <w:p>
            <w:pPr>
              <w:jc w:val="center"/>
              <w:ind w:left="108"/>
              <w:spacing w:after="0"/>
              <w:rPr>
                <w:sz w:val="20"/>
                <w:szCs w:val="20"/>
                <w:color w:val="auto"/>
              </w:rPr>
            </w:pPr>
            <w:r>
              <w:rPr>
                <w:rFonts w:ascii="Arial" w:cs="Arial" w:eastAsia="Arial" w:hAnsi="Arial"/>
                <w:sz w:val="14"/>
                <w:szCs w:val="14"/>
                <w:color w:val="FFFFFF"/>
              </w:rPr>
              <w:t>future issuance under equity compensation plans</w:t>
            </w:r>
          </w:p>
        </w:tc>
        <w:tc>
          <w:tcPr>
            <w:tcW w:w="0" w:type="dxa"/>
            <w:vAlign w:val="bottom"/>
          </w:tcPr>
          <w:p>
            <w:pPr>
              <w:spacing w:after="0"/>
              <w:rPr>
                <w:sz w:val="1"/>
                <w:szCs w:val="1"/>
                <w:color w:val="auto"/>
              </w:rPr>
            </w:pPr>
          </w:p>
        </w:tc>
      </w:tr>
      <w:tr>
        <w:trPr>
          <w:trHeight w:val="168"/>
        </w:trPr>
        <w:tc>
          <w:tcPr>
            <w:tcW w:w="2340" w:type="dxa"/>
            <w:vAlign w:val="bottom"/>
          </w:tcPr>
          <w:p>
            <w:pPr>
              <w:jc w:val="center"/>
              <w:ind w:right="108"/>
              <w:spacing w:after="0"/>
              <w:rPr>
                <w:sz w:val="20"/>
                <w:szCs w:val="20"/>
                <w:color w:val="auto"/>
              </w:rPr>
            </w:pPr>
            <w:r>
              <w:rPr>
                <w:rFonts w:ascii="Arial" w:cs="Arial" w:eastAsia="Arial" w:hAnsi="Arial"/>
                <w:sz w:val="14"/>
                <w:szCs w:val="14"/>
                <w:color w:val="FFFFFF"/>
              </w:rPr>
              <w:t>options, warrants and rights</w:t>
            </w:r>
          </w:p>
        </w:tc>
        <w:tc>
          <w:tcPr>
            <w:tcW w:w="2180" w:type="dxa"/>
            <w:vAlign w:val="bottom"/>
          </w:tcPr>
          <w:p>
            <w:pPr>
              <w:jc w:val="center"/>
              <w:spacing w:after="0"/>
              <w:rPr>
                <w:sz w:val="20"/>
                <w:szCs w:val="20"/>
                <w:color w:val="auto"/>
              </w:rPr>
            </w:pPr>
            <w:r>
              <w:rPr>
                <w:rFonts w:ascii="Arial" w:cs="Arial" w:eastAsia="Arial" w:hAnsi="Arial"/>
                <w:sz w:val="14"/>
                <w:szCs w:val="14"/>
                <w:color w:val="FFFFFF"/>
              </w:rPr>
              <w:t>warrants and rights</w:t>
            </w:r>
          </w:p>
        </w:tc>
        <w:tc>
          <w:tcPr>
            <w:tcW w:w="3320" w:type="dxa"/>
            <w:vAlign w:val="bottom"/>
          </w:tcPr>
          <w:p>
            <w:pPr>
              <w:jc w:val="center"/>
              <w:ind w:left="108"/>
              <w:spacing w:after="0"/>
              <w:rPr>
                <w:sz w:val="20"/>
                <w:szCs w:val="20"/>
                <w:color w:val="auto"/>
              </w:rPr>
            </w:pPr>
            <w:r>
              <w:rPr>
                <w:rFonts w:ascii="Arial" w:cs="Arial" w:eastAsia="Arial" w:hAnsi="Arial"/>
                <w:sz w:val="14"/>
                <w:szCs w:val="14"/>
                <w:color w:val="FFFFFF"/>
              </w:rPr>
              <w:t>(excluding securities reflected in column (a))</w:t>
            </w:r>
          </w:p>
        </w:tc>
        <w:tc>
          <w:tcPr>
            <w:tcW w:w="0" w:type="dxa"/>
            <w:vAlign w:val="bottom"/>
          </w:tcPr>
          <w:p>
            <w:pPr>
              <w:spacing w:after="0"/>
              <w:rPr>
                <w:sz w:val="1"/>
                <w:szCs w:val="1"/>
                <w:color w:val="auto"/>
              </w:rPr>
            </w:pPr>
          </w:p>
        </w:tc>
      </w:tr>
      <w:tr>
        <w:trPr>
          <w:trHeight w:val="194"/>
        </w:trPr>
        <w:tc>
          <w:tcPr>
            <w:tcW w:w="2340" w:type="dxa"/>
            <w:vAlign w:val="bottom"/>
          </w:tcPr>
          <w:p>
            <w:pPr>
              <w:jc w:val="center"/>
              <w:ind w:right="108"/>
              <w:spacing w:after="0"/>
              <w:rPr>
                <w:sz w:val="20"/>
                <w:szCs w:val="20"/>
                <w:color w:val="auto"/>
              </w:rPr>
            </w:pPr>
            <w:r>
              <w:rPr>
                <w:rFonts w:ascii="Arial" w:cs="Arial" w:eastAsia="Arial" w:hAnsi="Arial"/>
                <w:sz w:val="14"/>
                <w:szCs w:val="14"/>
                <w:color w:val="FFFFFF"/>
              </w:rPr>
              <w:t>(a)(1)</w:t>
            </w:r>
          </w:p>
        </w:tc>
        <w:tc>
          <w:tcPr>
            <w:tcW w:w="2180" w:type="dxa"/>
            <w:vAlign w:val="bottom"/>
          </w:tcPr>
          <w:p>
            <w:pPr>
              <w:jc w:val="center"/>
              <w:spacing w:after="0"/>
              <w:rPr>
                <w:sz w:val="20"/>
                <w:szCs w:val="20"/>
                <w:color w:val="auto"/>
              </w:rPr>
            </w:pPr>
            <w:r>
              <w:rPr>
                <w:rFonts w:ascii="Arial" w:cs="Arial" w:eastAsia="Arial" w:hAnsi="Arial"/>
                <w:sz w:val="14"/>
                <w:szCs w:val="14"/>
                <w:color w:val="FFFFFF"/>
              </w:rPr>
              <w:t>(b)(2)</w:t>
            </w:r>
          </w:p>
        </w:tc>
        <w:tc>
          <w:tcPr>
            <w:tcW w:w="3320" w:type="dxa"/>
            <w:vAlign w:val="bottom"/>
          </w:tcPr>
          <w:p>
            <w:pPr>
              <w:jc w:val="center"/>
              <w:ind w:left="108"/>
              <w:spacing w:after="0"/>
              <w:rPr>
                <w:sz w:val="20"/>
                <w:szCs w:val="20"/>
                <w:color w:val="auto"/>
              </w:rPr>
            </w:pPr>
            <w:r>
              <w:rPr>
                <w:rFonts w:ascii="Arial" w:cs="Arial" w:eastAsia="Arial" w:hAnsi="Arial"/>
                <w:sz w:val="14"/>
                <w:szCs w:val="14"/>
                <w:color w:val="FFFFFF"/>
              </w:rPr>
              <w:t>(c)(3)</w:t>
            </w:r>
          </w:p>
        </w:tc>
        <w:tc>
          <w:tcPr>
            <w:tcW w:w="0" w:type="dxa"/>
            <w:vAlign w:val="bottom"/>
          </w:tcPr>
          <w:p>
            <w:pPr>
              <w:spacing w:after="0"/>
              <w:rPr>
                <w:sz w:val="1"/>
                <w:szCs w:val="1"/>
                <w:color w:val="auto"/>
              </w:rPr>
            </w:pPr>
          </w:p>
        </w:tc>
      </w:tr>
      <w:tr>
        <w:trPr>
          <w:trHeight w:val="336"/>
        </w:trPr>
        <w:tc>
          <w:tcPr>
            <w:tcW w:w="2340" w:type="dxa"/>
            <w:vAlign w:val="bottom"/>
          </w:tcPr>
          <w:p>
            <w:pPr>
              <w:jc w:val="center"/>
              <w:ind w:right="108"/>
              <w:spacing w:after="0"/>
              <w:rPr>
                <w:sz w:val="20"/>
                <w:szCs w:val="20"/>
                <w:color w:val="auto"/>
              </w:rPr>
            </w:pPr>
            <w:r>
              <w:rPr>
                <w:rFonts w:ascii="Arial" w:cs="Arial" w:eastAsia="Arial" w:hAnsi="Arial"/>
                <w:sz w:val="14"/>
                <w:szCs w:val="14"/>
                <w:color w:val="001446"/>
              </w:rPr>
              <w:t>4,857,448</w:t>
            </w:r>
          </w:p>
        </w:tc>
        <w:tc>
          <w:tcPr>
            <w:tcW w:w="2180" w:type="dxa"/>
            <w:vAlign w:val="bottom"/>
          </w:tcPr>
          <w:p>
            <w:pPr>
              <w:jc w:val="center"/>
              <w:spacing w:after="0"/>
              <w:rPr>
                <w:sz w:val="20"/>
                <w:szCs w:val="20"/>
                <w:color w:val="auto"/>
              </w:rPr>
            </w:pPr>
            <w:r>
              <w:rPr>
                <w:rFonts w:ascii="Arial" w:cs="Arial" w:eastAsia="Arial" w:hAnsi="Arial"/>
                <w:sz w:val="14"/>
                <w:szCs w:val="14"/>
                <w:color w:val="001446"/>
              </w:rPr>
              <w:t>$1.94</w:t>
            </w:r>
          </w:p>
        </w:tc>
        <w:tc>
          <w:tcPr>
            <w:tcW w:w="3320" w:type="dxa"/>
            <w:vAlign w:val="bottom"/>
          </w:tcPr>
          <w:p>
            <w:pPr>
              <w:jc w:val="center"/>
              <w:ind w:left="128"/>
              <w:spacing w:after="0"/>
              <w:rPr>
                <w:sz w:val="20"/>
                <w:szCs w:val="20"/>
                <w:color w:val="auto"/>
              </w:rPr>
            </w:pPr>
            <w:r>
              <w:rPr>
                <w:rFonts w:ascii="Arial" w:cs="Arial" w:eastAsia="Arial" w:hAnsi="Arial"/>
                <w:sz w:val="14"/>
                <w:szCs w:val="14"/>
                <w:color w:val="001446"/>
              </w:rPr>
              <w:t>14,429,424</w:t>
            </w:r>
          </w:p>
        </w:tc>
        <w:tc>
          <w:tcPr>
            <w:tcW w:w="0" w:type="dxa"/>
            <w:vAlign w:val="bottom"/>
          </w:tcPr>
          <w:p>
            <w:pPr>
              <w:spacing w:after="0"/>
              <w:rPr>
                <w:sz w:val="1"/>
                <w:szCs w:val="1"/>
                <w:color w:val="auto"/>
              </w:rPr>
            </w:pPr>
          </w:p>
        </w:tc>
      </w:tr>
      <w:tr>
        <w:trPr>
          <w:trHeight w:val="336"/>
        </w:trPr>
        <w:tc>
          <w:tcPr>
            <w:tcW w:w="2340" w:type="dxa"/>
            <w:vAlign w:val="bottom"/>
            <w:vMerge w:val="restart"/>
          </w:tcPr>
          <w:p>
            <w:pPr>
              <w:jc w:val="center"/>
              <w:ind w:right="108"/>
              <w:spacing w:after="0"/>
              <w:rPr>
                <w:sz w:val="20"/>
                <w:szCs w:val="20"/>
                <w:color w:val="auto"/>
              </w:rPr>
            </w:pPr>
            <w:r>
              <w:rPr>
                <w:rFonts w:ascii="Arial" w:cs="Arial" w:eastAsia="Arial" w:hAnsi="Arial"/>
                <w:sz w:val="14"/>
                <w:szCs w:val="14"/>
                <w:color w:val="001446"/>
                <w:w w:val="84"/>
              </w:rPr>
              <w:t>-</w:t>
            </w:r>
          </w:p>
        </w:tc>
        <w:tc>
          <w:tcPr>
            <w:tcW w:w="2180" w:type="dxa"/>
            <w:vAlign w:val="bottom"/>
          </w:tcPr>
          <w:p>
            <w:pPr>
              <w:jc w:val="center"/>
              <w:spacing w:after="0"/>
              <w:rPr>
                <w:sz w:val="20"/>
                <w:szCs w:val="20"/>
                <w:color w:val="auto"/>
              </w:rPr>
            </w:pPr>
            <w:r>
              <w:rPr>
                <w:rFonts w:ascii="Arial" w:cs="Arial" w:eastAsia="Arial" w:hAnsi="Arial"/>
                <w:sz w:val="14"/>
                <w:szCs w:val="14"/>
                <w:color w:val="001446"/>
                <w:w w:val="84"/>
              </w:rPr>
              <w:t>-</w:t>
            </w:r>
          </w:p>
        </w:tc>
        <w:tc>
          <w:tcPr>
            <w:tcW w:w="3320" w:type="dxa"/>
            <w:vAlign w:val="bottom"/>
            <w:vMerge w:val="restart"/>
          </w:tcPr>
          <w:p>
            <w:pPr>
              <w:jc w:val="center"/>
              <w:ind w:left="108"/>
              <w:spacing w:after="0"/>
              <w:rPr>
                <w:sz w:val="20"/>
                <w:szCs w:val="20"/>
                <w:color w:val="auto"/>
              </w:rPr>
            </w:pPr>
            <w:r>
              <w:rPr>
                <w:rFonts w:ascii="Arial" w:cs="Arial" w:eastAsia="Arial" w:hAnsi="Arial"/>
                <w:sz w:val="14"/>
                <w:szCs w:val="14"/>
                <w:color w:val="001446"/>
              </w:rPr>
              <w:t>-</w:t>
            </w:r>
          </w:p>
        </w:tc>
        <w:tc>
          <w:tcPr>
            <w:tcW w:w="0" w:type="dxa"/>
            <w:vAlign w:val="bottom"/>
          </w:tcPr>
          <w:p>
            <w:pPr>
              <w:spacing w:after="0"/>
              <w:rPr>
                <w:sz w:val="1"/>
                <w:szCs w:val="1"/>
                <w:color w:val="auto"/>
              </w:rPr>
            </w:pPr>
          </w:p>
        </w:tc>
      </w:tr>
      <w:tr>
        <w:trPr>
          <w:trHeight w:val="84"/>
        </w:trPr>
        <w:tc>
          <w:tcPr>
            <w:tcW w:w="234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40" w:type="dxa"/>
            <w:vAlign w:val="bottom"/>
          </w:tcPr>
          <w:p>
            <w:pPr>
              <w:jc w:val="center"/>
              <w:ind w:right="108"/>
              <w:spacing w:after="0"/>
              <w:rPr>
                <w:sz w:val="20"/>
                <w:szCs w:val="20"/>
                <w:color w:val="auto"/>
              </w:rPr>
            </w:pPr>
            <w:r>
              <w:rPr>
                <w:rFonts w:ascii="Arial" w:cs="Arial" w:eastAsia="Arial" w:hAnsi="Arial"/>
                <w:sz w:val="14"/>
                <w:szCs w:val="14"/>
                <w:color w:val="F0F0F0"/>
              </w:rPr>
              <w:t>4,857,448</w:t>
            </w:r>
          </w:p>
        </w:tc>
        <w:tc>
          <w:tcPr>
            <w:tcW w:w="2180" w:type="dxa"/>
            <w:vAlign w:val="bottom"/>
          </w:tcPr>
          <w:p>
            <w:pPr>
              <w:jc w:val="center"/>
              <w:spacing w:after="0"/>
              <w:rPr>
                <w:sz w:val="20"/>
                <w:szCs w:val="20"/>
                <w:color w:val="auto"/>
              </w:rPr>
            </w:pPr>
            <w:r>
              <w:rPr>
                <w:rFonts w:ascii="Arial" w:cs="Arial" w:eastAsia="Arial" w:hAnsi="Arial"/>
                <w:sz w:val="14"/>
                <w:szCs w:val="14"/>
                <w:color w:val="F0F0F0"/>
              </w:rPr>
              <w:t>$1.94</w:t>
            </w:r>
          </w:p>
        </w:tc>
        <w:tc>
          <w:tcPr>
            <w:tcW w:w="3320" w:type="dxa"/>
            <w:vAlign w:val="bottom"/>
          </w:tcPr>
          <w:p>
            <w:pPr>
              <w:jc w:val="center"/>
              <w:ind w:left="128"/>
              <w:spacing w:after="0"/>
              <w:rPr>
                <w:sz w:val="20"/>
                <w:szCs w:val="20"/>
                <w:color w:val="auto"/>
              </w:rPr>
            </w:pPr>
            <w:r>
              <w:rPr>
                <w:rFonts w:ascii="Arial" w:cs="Arial" w:eastAsia="Arial" w:hAnsi="Arial"/>
                <w:sz w:val="14"/>
                <w:szCs w:val="14"/>
                <w:color w:val="F0F0F0"/>
              </w:rPr>
              <w:t>14,429,424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-1411605</wp:posOffset>
                </wp:positionH>
                <wp:positionV relativeFrom="paragraph">
                  <wp:posOffset>-1072515</wp:posOffset>
                </wp:positionV>
                <wp:extent cx="6532245" cy="42672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26720"/>
                        </a:xfrm>
                        <a:prstGeom prst="rect">
                          <a:avLst/>
                        </a:prstGeom>
                        <a:solidFill>
                          <a:srgbClr val="001446"/>
                        </a:solidFill>
                      </wps:spPr>
                      <wps:bodyPr/>
                    </wps:wsp>
                  </a:graphicData>
                </a:graphic>
              </wp:anchor>
            </w:drawing>
          </mc:Choice>
          <mc:Fallback>
            <w:pict>
              <v:rect id="Shape 334" o:spid="_x0000_s1359" style="position:absolute;margin-left:-111.1499pt;margin-top:-84.4499pt;width:514.35pt;height:3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46" stroked="f"/>
            </w:pict>
          </mc:Fallback>
        </mc:AlternateContent>
        <mc:AlternateContent>
          <mc:Choice Requires="wps">
            <w:drawing>
              <wp:anchor simplePos="0" relativeHeight="251657728" behindDoc="1" locked="0" layoutInCell="0" allowOverlap="1">
                <wp:simplePos x="0" y="0"/>
                <wp:positionH relativeFrom="column">
                  <wp:posOffset>-1411605</wp:posOffset>
                </wp:positionH>
                <wp:positionV relativeFrom="paragraph">
                  <wp:posOffset>-645795</wp:posOffset>
                </wp:positionV>
                <wp:extent cx="6532245" cy="32004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320040"/>
                        </a:xfrm>
                        <a:prstGeom prst="rect">
                          <a:avLst/>
                        </a:prstGeom>
                        <a:solidFill>
                          <a:srgbClr val="F0F0F0"/>
                        </a:solidFill>
                      </wps:spPr>
                      <wps:bodyPr/>
                    </wps:wsp>
                  </a:graphicData>
                </a:graphic>
              </wp:anchor>
            </w:drawing>
          </mc:Choice>
          <mc:Fallback>
            <w:pict>
              <v:rect id="Shape 335" o:spid="_x0000_s1360" style="position:absolute;margin-left:-111.1499pt;margin-top:-50.8499pt;width:514.35pt;height:2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0F0F0" stroked="f"/>
            </w:pict>
          </mc:Fallback>
        </mc:AlternateContent>
        <mc:AlternateContent>
          <mc:Choice Requires="wps">
            <w:drawing>
              <wp:anchor simplePos="0" relativeHeight="251657728" behindDoc="1" locked="0" layoutInCell="0" allowOverlap="1">
                <wp:simplePos x="0" y="0"/>
                <wp:positionH relativeFrom="column">
                  <wp:posOffset>-1412240</wp:posOffset>
                </wp:positionH>
                <wp:positionV relativeFrom="paragraph">
                  <wp:posOffset>-113030</wp:posOffset>
                </wp:positionV>
                <wp:extent cx="6532245" cy="10668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106680"/>
                        </a:xfrm>
                        <a:prstGeom prst="rect">
                          <a:avLst/>
                        </a:prstGeom>
                        <a:solidFill>
                          <a:srgbClr val="001446"/>
                        </a:solidFill>
                      </wps:spPr>
                      <wps:bodyPr/>
                    </wps:wsp>
                  </a:graphicData>
                </a:graphic>
              </wp:anchor>
            </w:drawing>
          </mc:Choice>
          <mc:Fallback>
            <w:pict>
              <v:rect id="Shape 336" o:spid="_x0000_s1361" style="position:absolute;margin-left:-111.1999pt;margin-top:-8.8999pt;width:514.35pt;height: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46" stroked="f"/>
            </w:pict>
          </mc:Fallback>
        </mc:AlternateContent>
      </w:r>
    </w:p>
    <w:p>
      <w:pPr>
        <w:spacing w:after="0" w:line="157" w:lineRule="exact"/>
        <w:rPr>
          <w:sz w:val="20"/>
          <w:szCs w:val="20"/>
          <w:color w:val="auto"/>
        </w:rPr>
      </w:pPr>
    </w:p>
    <w:p>
      <w:pPr>
        <w:sectPr>
          <w:pgSz w:w="11900" w:h="16840" w:orient="portrait"/>
          <w:cols w:equalWidth="0" w:num="2">
            <w:col w:w="1960" w:space="260"/>
            <w:col w:w="8040"/>
          </w:cols>
          <w:pgMar w:left="820" w:top="983" w:right="824" w:bottom="1440" w:gutter="0" w:footer="0" w:header="0"/>
          <w:type w:val="continuous"/>
        </w:sectPr>
      </w:pPr>
    </w:p>
    <w:p>
      <w:pPr>
        <w:ind w:left="360" w:hanging="292"/>
        <w:spacing w:after="0"/>
        <w:tabs>
          <w:tab w:leader="none" w:pos="360" w:val="left"/>
        </w:tabs>
        <w:numPr>
          <w:ilvl w:val="1"/>
          <w:numId w:val="103"/>
        </w:numPr>
        <w:rPr>
          <w:rFonts w:ascii="Arial" w:cs="Arial" w:eastAsia="Arial" w:hAnsi="Arial"/>
          <w:sz w:val="12"/>
          <w:szCs w:val="12"/>
          <w:color w:val="001446"/>
        </w:rPr>
      </w:pPr>
      <w:r>
        <w:rPr>
          <w:rFonts w:ascii="Arial" w:cs="Arial" w:eastAsia="Arial" w:hAnsi="Arial"/>
          <w:sz w:val="12"/>
          <w:szCs w:val="12"/>
          <w:color w:val="001446"/>
        </w:rPr>
        <w:t>Includes 4,857,448 shares of common stock issuable upon exercise or vesting, as applicable, of stock awards outstanding under the Company’s 2015 Global Incentive Plan.</w:t>
      </w:r>
    </w:p>
    <w:p>
      <w:pPr>
        <w:spacing w:after="0" w:line="10" w:lineRule="exact"/>
        <w:rPr>
          <w:rFonts w:ascii="Arial" w:cs="Arial" w:eastAsia="Arial" w:hAnsi="Arial"/>
          <w:sz w:val="12"/>
          <w:szCs w:val="12"/>
          <w:color w:val="001446"/>
        </w:rPr>
      </w:pPr>
    </w:p>
    <w:p>
      <w:pPr>
        <w:ind w:left="340" w:right="100" w:hanging="291"/>
        <w:spacing w:after="0" w:line="231" w:lineRule="auto"/>
        <w:tabs>
          <w:tab w:leader="none" w:pos="340" w:val="left"/>
        </w:tabs>
        <w:numPr>
          <w:ilvl w:val="0"/>
          <w:numId w:val="104"/>
        </w:numPr>
        <w:rPr>
          <w:rFonts w:ascii="Arial" w:cs="Arial" w:eastAsia="Arial" w:hAnsi="Arial"/>
          <w:sz w:val="13"/>
          <w:szCs w:val="13"/>
          <w:color w:val="001446"/>
        </w:rPr>
      </w:pPr>
      <w:r>
        <w:rPr>
          <w:rFonts w:ascii="Arial" w:cs="Arial" w:eastAsia="Arial" w:hAnsi="Arial"/>
          <w:sz w:val="13"/>
          <w:szCs w:val="13"/>
          <w:color w:val="001446"/>
        </w:rPr>
        <w:t>Reflects the weighted average exercise price of outstanding options under the Company’s 2015 Global Incentive Stock Plan Awards other than options reflected in column (a) are not reflected in this column as they do not have an exercise price.</w:t>
      </w:r>
    </w:p>
    <w:p>
      <w:pPr>
        <w:ind w:left="340" w:right="80" w:hanging="291"/>
        <w:spacing w:after="0" w:line="261" w:lineRule="auto"/>
        <w:tabs>
          <w:tab w:leader="none" w:pos="340" w:val="left"/>
        </w:tabs>
        <w:numPr>
          <w:ilvl w:val="0"/>
          <w:numId w:val="104"/>
        </w:numPr>
        <w:rPr>
          <w:rFonts w:ascii="Arial" w:cs="Arial" w:eastAsia="Arial" w:hAnsi="Arial"/>
          <w:sz w:val="13"/>
          <w:szCs w:val="13"/>
          <w:color w:val="001446"/>
        </w:rPr>
      </w:pPr>
      <w:r>
        <w:rPr>
          <w:rFonts w:ascii="Arial" w:cs="Arial" w:eastAsia="Arial" w:hAnsi="Arial"/>
          <w:sz w:val="13"/>
          <w:szCs w:val="13"/>
          <w:color w:val="001446"/>
        </w:rPr>
        <w:t>Includes 12,097,577 shares of common stock available for future issuance under the Company’s 2015 Global Incentive Plan and 2,331,847 shares of common stock available for future issuance under the Company’s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90805</wp:posOffset>
                </wp:positionV>
                <wp:extent cx="6532245" cy="70104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37" o:spid="_x0000_s1362" style="position:absolute;margin-left:-0.1499pt;margin-top:7.1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655955</wp:posOffset>
                </wp:positionV>
                <wp:extent cx="653224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1.65pt" to="514.15pt,51.65pt" o:allowincell="f" strokecolor="#000000" strokeweight="1.6199pt"/>
            </w:pict>
          </mc:Fallback>
        </mc:AlternateContent>
      </w:r>
    </w:p>
    <w:p>
      <w:pPr>
        <w:sectPr>
          <w:pgSz w:w="11900" w:h="16840" w:orient="portrait"/>
          <w:cols w:equalWidth="0" w:num="1">
            <w:col w:w="10260"/>
          </w:cols>
          <w:pgMar w:left="820" w:top="983" w:right="824"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22"/>
          <w:szCs w:val="22"/>
          <w:b w:val="1"/>
          <w:bCs w:val="1"/>
          <w:color w:val="001446"/>
        </w:rPr>
        <w:t>Employee Stock Purchase Plan</w:t>
      </w:r>
    </w:p>
    <w:p>
      <w:pPr>
        <w:spacing w:after="0" w:line="188"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001446"/>
        </w:rPr>
        <w:t>We have adopted an employee stock purchase plan (“ESPP”), pursuant to which our eligible employees and eligible employees of our subsidiaries may elect to have payroll deductions made during the offering period in an amount not exceeding 15% of the compensation which the employees receive on each pay day during the offering period. In the second quarter of calendar 2016, we started granting eligible employees the right to purchase our common stock under the ESPP. As of December 31, 2025, a total of 5,125,666 shares were reserved for issuance under the ESPP.</w:t>
      </w:r>
    </w:p>
    <w:p>
      <w:pPr>
        <w:spacing w:after="0" w:line="98"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-247015</wp:posOffset>
                </wp:positionV>
                <wp:extent cx="653224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4">
                          <a:solidFill>
                            <a:srgbClr val="FF3232"/>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4499pt" to="514.15pt,-19.4499pt" o:allowincell="f" strokecolor="#FF3232" strokeweight="0.42pt"/>
            </w:pict>
          </mc:Fallback>
        </mc:AlternateContent>
      </w:r>
    </w:p>
    <w:p>
      <w:pPr>
        <w:spacing w:after="0" w:line="202" w:lineRule="exact"/>
        <w:rPr>
          <w:sz w:val="20"/>
          <w:szCs w:val="20"/>
          <w:color w:val="auto"/>
        </w:rPr>
      </w:pPr>
    </w:p>
    <w:p>
      <w:pPr>
        <w:ind w:right="600"/>
        <w:spacing w:after="0" w:line="299" w:lineRule="auto"/>
        <w:rPr>
          <w:sz w:val="20"/>
          <w:szCs w:val="20"/>
          <w:color w:val="auto"/>
        </w:rPr>
      </w:pPr>
      <w:r>
        <w:rPr>
          <w:rFonts w:ascii="Arial" w:cs="Arial" w:eastAsia="Arial" w:hAnsi="Arial"/>
          <w:sz w:val="14"/>
          <w:szCs w:val="14"/>
          <w:color w:val="001446"/>
        </w:rPr>
        <w:t>Biographical information for the executive officers of the Company is set forth below. Biographical information for Mr. Nir can be found under “Election of Directors” on page 21.</w:t>
      </w:r>
    </w:p>
    <w:p>
      <w:pPr>
        <w:spacing w:after="0" w:line="214" w:lineRule="exact"/>
        <w:rPr>
          <w:sz w:val="20"/>
          <w:szCs w:val="20"/>
          <w:color w:val="auto"/>
        </w:rPr>
      </w:pPr>
    </w:p>
    <w:p>
      <w:pPr>
        <w:spacing w:after="0"/>
        <w:tabs>
          <w:tab w:leader="none" w:pos="2580" w:val="left"/>
        </w:tabs>
        <w:rPr>
          <w:sz w:val="20"/>
          <w:szCs w:val="20"/>
          <w:color w:val="auto"/>
        </w:rPr>
      </w:pPr>
      <w:r>
        <w:rPr>
          <w:rFonts w:ascii="Arial" w:cs="Arial" w:eastAsia="Arial" w:hAnsi="Arial"/>
          <w:sz w:val="32"/>
          <w:szCs w:val="32"/>
          <w:b w:val="1"/>
          <w:bCs w:val="1"/>
          <w:color w:val="001446"/>
        </w:rPr>
        <w:t>Asaf Alperovitz</w:t>
      </w:r>
      <w:r>
        <w:rPr>
          <w:sz w:val="20"/>
          <w:szCs w:val="20"/>
          <w:color w:val="auto"/>
        </w:rPr>
        <w:tab/>
      </w:r>
      <w:r>
        <w:rPr>
          <w:rFonts w:ascii="Arial" w:cs="Arial" w:eastAsia="Arial" w:hAnsi="Arial"/>
          <w:sz w:val="14"/>
          <w:szCs w:val="14"/>
          <w:color w:val="001446"/>
        </w:rPr>
        <w:t>Other Current Public Boards: None.</w:t>
      </w:r>
    </w:p>
    <w:p>
      <w:pPr>
        <w:spacing w:after="0" w:line="297" w:lineRule="exact"/>
        <w:rPr>
          <w:sz w:val="20"/>
          <w:szCs w:val="20"/>
          <w:color w:val="auto"/>
        </w:rPr>
      </w:pPr>
    </w:p>
    <w:p>
      <w:pPr>
        <w:ind w:left="2600"/>
        <w:spacing w:after="0" w:line="262" w:lineRule="auto"/>
        <w:rPr>
          <w:sz w:val="20"/>
          <w:szCs w:val="20"/>
          <w:color w:val="auto"/>
        </w:rPr>
      </w:pPr>
      <w:r>
        <w:rPr>
          <w:rFonts w:ascii="Arial" w:cs="Arial" w:eastAsia="Arial" w:hAnsi="Arial"/>
          <w:sz w:val="14"/>
          <w:szCs w:val="14"/>
          <w:color w:val="001446"/>
        </w:rPr>
        <w:t>Mr. Alperovitz joined SolarEdge on March 3, 2025, as our Chief Financial Officer. Mr. Alperovitz served as the CFO of Delta Galil, from 2019 to 2024, a global high-tech apparel company. Prior to Delta Galil, he held CEO and CFO positions at NASDAQ, NYSE and TASE listed companies, including Syneron Medical, Omrix Pharmaceuticals (acquired by J&amp;J), Tefron and Allmed Solutions. He also previously held senior management roles at Ernst &amp;Young. Throughout his career, Mr. Alperovitz has led multiple IPOs, secondary offerings, M&amp;A deals, and strategic 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-547370</wp:posOffset>
            </wp:positionV>
            <wp:extent cx="1228090" cy="12268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9">
                      <a:extLst>
                        <a:ext uri="{28A0092B-C50C-407E-A947-70E740481C1C}"/>
                      </a:extLst>
                    </a:blip>
                    <a:srcRect/>
                    <a:stretch>
                      <a:fillRect/>
                    </a:stretch>
                  </pic:blipFill>
                  <pic:spPr bwMode="auto">
                    <a:xfrm>
                      <a:off x="0" y="0"/>
                      <a:ext cx="1228090" cy="1226820"/>
                    </a:xfrm>
                    <a:prstGeom prst="rect">
                      <a:avLst/>
                    </a:prstGeom>
                    <a:noFill/>
                  </pic:spPr>
                </pic:pic>
              </a:graphicData>
            </a:graphic>
          </wp:anchor>
        </w:drawing>
      </w:r>
    </w:p>
    <w:p>
      <w:pPr>
        <w:spacing w:after="0" w:line="109" w:lineRule="exact"/>
        <w:rPr>
          <w:sz w:val="20"/>
          <w:szCs w:val="20"/>
          <w:color w:val="auto"/>
        </w:rPr>
      </w:pPr>
    </w:p>
    <w:p>
      <w:pPr>
        <w:ind w:left="2600"/>
        <w:spacing w:after="0"/>
        <w:rPr>
          <w:sz w:val="20"/>
          <w:szCs w:val="20"/>
          <w:color w:val="auto"/>
        </w:rPr>
      </w:pPr>
      <w:r>
        <w:rPr>
          <w:rFonts w:ascii="Arial" w:cs="Arial" w:eastAsia="Arial" w:hAnsi="Arial"/>
          <w:sz w:val="14"/>
          <w:szCs w:val="14"/>
          <w:color w:val="001446"/>
        </w:rPr>
        <w:t>He holds a BA in Accounting &amp; Economics and an MBA from Tel-Aviv University.</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14"/>
          <w:szCs w:val="14"/>
          <w:color w:val="001446"/>
        </w:rPr>
        <w:t>On March 10, 2026, the Company announced that Mr. Alperovitz will resign from his position as CFO on June 9, 2026.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001446"/>
        </w:rPr>
        <w:t>Age: 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212090</wp:posOffset>
                </wp:positionV>
                <wp:extent cx="653224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7pt" to="514.15pt,16.7pt" o:allowincell="f" strokecolor="#000000" strokeweight="0.77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334645</wp:posOffset>
                </wp:positionV>
                <wp:extent cx="6532245" cy="70104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42" o:spid="_x0000_s1367" style="position:absolute;margin-left:-0.1499pt;margin-top:26.3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666115</wp:posOffset>
                </wp:positionV>
                <wp:extent cx="653224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2.45pt" to="514.15pt,52.45pt" o:allowincell="f" strokecolor="#000000" strokeweight="1.6199pt"/>
            </w:pict>
          </mc:Fallback>
        </mc:AlternateContent>
      </w:r>
    </w:p>
    <w:p>
      <w:pPr>
        <w:sectPr>
          <w:pgSz w:w="11900" w:h="16840" w:orient="portrait"/>
          <w:cols w:equalWidth="0" w:num="1">
            <w:col w:w="10240"/>
          </w:cols>
          <w:pgMar w:left="820" w:top="1135" w:right="844" w:bottom="1440" w:gutter="0" w:footer="0" w:header="0"/>
        </w:sectPr>
      </w:pPr>
    </w:p>
    <w:bookmarkStart w:id="188" w:name="page189"/>
    <w:bookmarkEnd w:id="188"/>
    <w:p>
      <w:pPr>
        <w:spacing w:after="0"/>
        <w:rPr>
          <w:sz w:val="20"/>
          <w:szCs w:val="20"/>
          <w:color w:val="auto"/>
        </w:rPr>
      </w:pPr>
      <w:r>
        <w:rPr>
          <w:rFonts w:ascii="Arial" w:cs="Arial" w:eastAsia="Arial" w:hAnsi="Arial"/>
          <w:sz w:val="32"/>
          <w:szCs w:val="32"/>
          <w:b w:val="1"/>
          <w:bCs w:val="1"/>
          <w:color w:val="001446"/>
        </w:rPr>
        <w:t>Uri Bechor</w:t>
      </w:r>
    </w:p>
    <w:p>
      <w:pPr>
        <w:spacing w:after="0" w:line="296" w:lineRule="exact"/>
        <w:rPr>
          <w:sz w:val="20"/>
          <w:szCs w:val="20"/>
          <w:color w:val="auto"/>
        </w:rPr>
      </w:pPr>
    </w:p>
    <w:p>
      <w:pPr>
        <w:ind w:left="2600"/>
        <w:spacing w:after="0"/>
        <w:rPr>
          <w:sz w:val="20"/>
          <w:szCs w:val="20"/>
          <w:color w:val="auto"/>
        </w:rPr>
      </w:pPr>
      <w:r>
        <w:rPr>
          <w:rFonts w:ascii="Arial" w:cs="Arial" w:eastAsia="Arial" w:hAnsi="Arial"/>
          <w:sz w:val="14"/>
          <w:szCs w:val="14"/>
          <w:color w:val="001446"/>
        </w:rPr>
        <w:t>Other Current Public Boards: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1158240" cy="12268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50">
                      <a:extLst>
                        <a:ext uri="{28A0092B-C50C-407E-A947-70E740481C1C}"/>
                      </a:extLst>
                    </a:blip>
                    <a:srcRect/>
                    <a:stretch>
                      <a:fillRect/>
                    </a:stretch>
                  </pic:blipFill>
                  <pic:spPr bwMode="auto">
                    <a:xfrm>
                      <a:off x="0" y="0"/>
                      <a:ext cx="1158240" cy="1226820"/>
                    </a:xfrm>
                    <a:prstGeom prst="rect">
                      <a:avLst/>
                    </a:prstGeom>
                    <a:noFill/>
                  </pic:spPr>
                </pic:pic>
              </a:graphicData>
            </a:graphic>
          </wp:anchor>
        </w:drawing>
      </w:r>
    </w:p>
    <w:p>
      <w:pPr>
        <w:spacing w:after="0" w:line="155" w:lineRule="exact"/>
        <w:rPr>
          <w:sz w:val="20"/>
          <w:szCs w:val="20"/>
          <w:color w:val="auto"/>
        </w:rPr>
      </w:pPr>
    </w:p>
    <w:p>
      <w:pPr>
        <w:ind w:left="2600" w:right="120"/>
        <w:spacing w:after="0" w:line="266" w:lineRule="auto"/>
        <w:rPr>
          <w:sz w:val="20"/>
          <w:szCs w:val="20"/>
          <w:color w:val="auto"/>
        </w:rPr>
      </w:pPr>
      <w:r>
        <w:rPr>
          <w:rFonts w:ascii="Arial" w:cs="Arial" w:eastAsia="Arial" w:hAnsi="Arial"/>
          <w:sz w:val="14"/>
          <w:szCs w:val="14"/>
          <w:color w:val="001446"/>
        </w:rPr>
        <w:t>Mr. Bechor joined SolarEdge in 2019 as our Chief Operating Officer. Prior to joining SolarEdge, Mr. Bechor was at Flex Ltd., a multinational electronics contract manufacturer for 22 years where he served as Senior Vice President, Global Operations, Europe and the Americas and General Manager at Flex International Ltd. Mr. Bechor, in his previous position, oversaw more than forty manufacturing sites and was responsible for revenues of more than $10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Age: 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212725</wp:posOffset>
                </wp:positionV>
                <wp:extent cx="6532245"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75pt" to="514.15pt,16.75pt" o:allowincell="f" strokecolor="#000000" strokeweight="0.84pt"/>
            </w:pict>
          </mc:Fallback>
        </mc:AlternateConten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Daniel Huber</w:t>
      </w:r>
    </w:p>
    <w:p>
      <w:pPr>
        <w:spacing w:after="0" w:line="297" w:lineRule="exact"/>
        <w:rPr>
          <w:sz w:val="20"/>
          <w:szCs w:val="20"/>
          <w:color w:val="auto"/>
        </w:rPr>
      </w:pPr>
    </w:p>
    <w:p>
      <w:pPr>
        <w:ind w:left="2600"/>
        <w:spacing w:after="0"/>
        <w:rPr>
          <w:sz w:val="20"/>
          <w:szCs w:val="20"/>
          <w:color w:val="auto"/>
        </w:rPr>
      </w:pPr>
      <w:r>
        <w:rPr>
          <w:rFonts w:ascii="Arial" w:cs="Arial" w:eastAsia="Arial" w:hAnsi="Arial"/>
          <w:sz w:val="14"/>
          <w:szCs w:val="14"/>
          <w:color w:val="001446"/>
        </w:rPr>
        <w:t>Other Current Public Boards: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1226820" cy="12414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51">
                      <a:extLst>
                        <a:ext uri="{28A0092B-C50C-407E-A947-70E740481C1C}"/>
                      </a:extLst>
                    </a:blip>
                    <a:srcRect/>
                    <a:stretch>
                      <a:fillRect/>
                    </a:stretch>
                  </pic:blipFill>
                  <pic:spPr bwMode="auto">
                    <a:xfrm>
                      <a:off x="0" y="0"/>
                      <a:ext cx="1226820" cy="1241425"/>
                    </a:xfrm>
                    <a:prstGeom prst="rect">
                      <a:avLst/>
                    </a:prstGeom>
                    <a:noFill/>
                  </pic:spPr>
                </pic:pic>
              </a:graphicData>
            </a:graphic>
          </wp:anchor>
        </w:drawing>
      </w:r>
    </w:p>
    <w:p>
      <w:pPr>
        <w:spacing w:after="0" w:line="155" w:lineRule="exact"/>
        <w:rPr>
          <w:sz w:val="20"/>
          <w:szCs w:val="20"/>
          <w:color w:val="auto"/>
        </w:rPr>
      </w:pPr>
    </w:p>
    <w:p>
      <w:pPr>
        <w:ind w:left="2600" w:right="220"/>
        <w:spacing w:after="0" w:line="253" w:lineRule="auto"/>
        <w:rPr>
          <w:sz w:val="20"/>
          <w:szCs w:val="20"/>
          <w:color w:val="auto"/>
        </w:rPr>
      </w:pPr>
      <w:r>
        <w:rPr>
          <w:rFonts w:ascii="Arial" w:cs="Arial" w:eastAsia="Arial" w:hAnsi="Arial"/>
          <w:sz w:val="14"/>
          <w:szCs w:val="14"/>
          <w:color w:val="001446"/>
        </w:rPr>
        <w:t>Mr. Daniel Huber joined SolarEdge in 2010 and currently serves as our Chief Revenue Officer, a position that he held since May 2023.</w:t>
      </w:r>
    </w:p>
    <w:p>
      <w:pPr>
        <w:spacing w:after="0" w:line="1" w:lineRule="exact"/>
        <w:rPr>
          <w:sz w:val="20"/>
          <w:szCs w:val="20"/>
          <w:color w:val="auto"/>
        </w:rPr>
      </w:pPr>
    </w:p>
    <w:p>
      <w:pPr>
        <w:ind w:left="2600" w:right="120"/>
        <w:spacing w:after="0" w:line="250" w:lineRule="auto"/>
        <w:rPr>
          <w:sz w:val="20"/>
          <w:szCs w:val="20"/>
          <w:color w:val="auto"/>
        </w:rPr>
      </w:pPr>
      <w:r>
        <w:rPr>
          <w:rFonts w:ascii="Arial" w:cs="Arial" w:eastAsia="Arial" w:hAnsi="Arial"/>
          <w:sz w:val="14"/>
          <w:szCs w:val="14"/>
          <w:color w:val="001446"/>
        </w:rPr>
        <w:t>Prior to his current position, Mr. Huber held various executive sales and business management positions in SolarEdge, with the latest being VP and General Manager between 2019 and May 2023 for the SolarEdge Rest of the World Division and VP and General Manager, Australia and Japan between 2016 and 2019.</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color w:val="001446"/>
        </w:rPr>
        <w:t>Mr. Huber Holds a B.Sc. in Industrial Engineering &amp; Management, from Tel Aviv University.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Age: 44</w:t>
      </w:r>
    </w:p>
    <w:p>
      <w:pPr>
        <w:spacing w:after="0" w:line="278"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Discussion and Analysis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-246380</wp:posOffset>
                </wp:positionV>
                <wp:extent cx="653224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3999pt" to="514.15pt,-19.3999pt" o:allowincell="f" strokecolor="#FF3232" strokeweight="0.4199pt"/>
            </w:pict>
          </mc:Fallback>
        </mc:AlternateContent>
      </w: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4"/>
          <w:szCs w:val="14"/>
          <w:color w:val="001446"/>
        </w:rPr>
        <w:t>We invest our resources to grow our business both organically and non-organically in a manner that we believe will increase stockholder value. Our Compensation Committee oversees our compensation guidelines and practices in order to attract new talent, support and reward the achievement of our financial goals and promote the attainment of other key business objectives.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85725</wp:posOffset>
                </wp:positionV>
                <wp:extent cx="6532245" cy="70104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48" o:spid="_x0000_s1373" style="position:absolute;margin-left:-0.1499pt;margin-top:6.75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5"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655955</wp:posOffset>
                </wp:positionV>
                <wp:extent cx="653224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1.65pt" to="514.15pt,51.65pt" o:allowincell="f" strokecolor="#000000" strokeweight="1.6199pt"/>
            </w:pict>
          </mc:Fallback>
        </mc:AlternateContent>
      </w:r>
    </w:p>
    <w:p>
      <w:pPr>
        <w:sectPr>
          <w:pgSz w:w="11900" w:h="16840" w:orient="portrait"/>
          <w:cols w:equalWidth="0" w:num="1">
            <w:col w:w="10260"/>
          </w:cols>
          <w:pgMar w:left="820" w:top="1279" w:right="824"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001446"/>
        </w:rPr>
        <w:t>Company Named Executive Officers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color w:val="001446"/>
        </w:rPr>
        <w:t>Our NEOs for the year ended December 31, 2025, are:</w:t>
      </w:r>
    </w:p>
    <w:p>
      <w:pPr>
        <w:spacing w:after="0" w:line="175" w:lineRule="exact"/>
        <w:rPr>
          <w:sz w:val="20"/>
          <w:szCs w:val="20"/>
          <w:color w:val="auto"/>
        </w:rPr>
      </w:pPr>
    </w:p>
    <w:p>
      <w:pPr>
        <w:ind w:left="580" w:hanging="296"/>
        <w:spacing w:after="0"/>
        <w:tabs>
          <w:tab w:leader="none" w:pos="580" w:val="left"/>
        </w:tabs>
        <w:numPr>
          <w:ilvl w:val="1"/>
          <w:numId w:val="105"/>
        </w:numPr>
        <w:rPr>
          <w:rFonts w:ascii="Arial" w:cs="Arial" w:eastAsia="Arial" w:hAnsi="Arial"/>
          <w:sz w:val="14"/>
          <w:szCs w:val="14"/>
          <w:color w:val="FF0000"/>
        </w:rPr>
      </w:pPr>
      <w:r>
        <w:rPr>
          <w:rFonts w:ascii="Arial" w:cs="Arial" w:eastAsia="Arial" w:hAnsi="Arial"/>
          <w:sz w:val="14"/>
          <w:szCs w:val="14"/>
          <w:color w:val="001446"/>
        </w:rPr>
        <w:t>Yehoshua Shuki Nir, our Chief Executive Officer and Director;</w:t>
      </w:r>
    </w:p>
    <w:p>
      <w:pPr>
        <w:spacing w:after="0" w:line="11" w:lineRule="exact"/>
        <w:rPr>
          <w:rFonts w:ascii="Arial" w:cs="Arial" w:eastAsia="Arial" w:hAnsi="Arial"/>
          <w:sz w:val="14"/>
          <w:szCs w:val="14"/>
          <w:color w:val="FF0000"/>
        </w:rPr>
      </w:pPr>
    </w:p>
    <w:p>
      <w:pPr>
        <w:ind w:left="580" w:hanging="296"/>
        <w:spacing w:after="0"/>
        <w:tabs>
          <w:tab w:leader="none" w:pos="580" w:val="left"/>
        </w:tabs>
        <w:numPr>
          <w:ilvl w:val="1"/>
          <w:numId w:val="105"/>
        </w:numPr>
        <w:rPr>
          <w:rFonts w:ascii="Arial" w:cs="Arial" w:eastAsia="Arial" w:hAnsi="Arial"/>
          <w:sz w:val="14"/>
          <w:szCs w:val="14"/>
          <w:color w:val="FF0000"/>
        </w:rPr>
      </w:pPr>
      <w:r>
        <w:rPr>
          <w:rFonts w:ascii="Arial" w:cs="Arial" w:eastAsia="Arial" w:hAnsi="Arial"/>
          <w:sz w:val="14"/>
          <w:szCs w:val="14"/>
          <w:color w:val="001446"/>
        </w:rPr>
        <w:t>Asaf Alperovitz, our Chief Financial Officer</w:t>
      </w:r>
      <w:r>
        <w:rPr>
          <w:rFonts w:ascii="Arial" w:cs="Arial" w:eastAsia="Arial" w:hAnsi="Arial"/>
          <w:sz w:val="12"/>
          <w:szCs w:val="12"/>
          <w:color w:val="001446"/>
        </w:rPr>
        <w:t>(1)</w:t>
      </w:r>
      <w:r>
        <w:rPr>
          <w:rFonts w:ascii="Arial" w:cs="Arial" w:eastAsia="Arial" w:hAnsi="Arial"/>
          <w:sz w:val="14"/>
          <w:szCs w:val="14"/>
          <w:color w:val="001446"/>
        </w:rPr>
        <w:t>;</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1"/>
          <w:numId w:val="105"/>
        </w:numPr>
        <w:rPr>
          <w:rFonts w:ascii="Arial" w:cs="Arial" w:eastAsia="Arial" w:hAnsi="Arial"/>
          <w:sz w:val="14"/>
          <w:szCs w:val="14"/>
          <w:color w:val="FF0000"/>
        </w:rPr>
      </w:pPr>
      <w:r>
        <w:rPr>
          <w:rFonts w:ascii="Arial" w:cs="Arial" w:eastAsia="Arial" w:hAnsi="Arial"/>
          <w:sz w:val="14"/>
          <w:szCs w:val="14"/>
          <w:color w:val="001446"/>
        </w:rPr>
        <w:t>Uri Bechor, our Chief Operations Officer;</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1"/>
          <w:numId w:val="105"/>
        </w:numPr>
        <w:rPr>
          <w:rFonts w:ascii="Arial" w:cs="Arial" w:eastAsia="Arial" w:hAnsi="Arial"/>
          <w:sz w:val="14"/>
          <w:szCs w:val="14"/>
          <w:color w:val="FF0000"/>
        </w:rPr>
      </w:pPr>
      <w:r>
        <w:rPr>
          <w:rFonts w:ascii="Arial" w:cs="Arial" w:eastAsia="Arial" w:hAnsi="Arial"/>
          <w:sz w:val="14"/>
          <w:szCs w:val="14"/>
          <w:color w:val="001446"/>
        </w:rPr>
        <w:t>Daniel Huber, our Chief Revenue Officer</w:t>
      </w:r>
      <w:r>
        <w:rPr>
          <w:rFonts w:ascii="Arial" w:cs="Arial" w:eastAsia="Arial" w:hAnsi="Arial"/>
          <w:sz w:val="12"/>
          <w:szCs w:val="12"/>
          <w:color w:val="001446"/>
        </w:rPr>
        <w:t>(2)</w:t>
      </w:r>
      <w:r>
        <w:rPr>
          <w:rFonts w:ascii="Arial" w:cs="Arial" w:eastAsia="Arial" w:hAnsi="Arial"/>
          <w:sz w:val="14"/>
          <w:szCs w:val="14"/>
          <w:color w:val="001446"/>
        </w:rPr>
        <w:t>; and</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1"/>
          <w:numId w:val="105"/>
        </w:numPr>
        <w:rPr>
          <w:rFonts w:ascii="Arial" w:cs="Arial" w:eastAsia="Arial" w:hAnsi="Arial"/>
          <w:sz w:val="14"/>
          <w:szCs w:val="14"/>
          <w:color w:val="FF0000"/>
        </w:rPr>
      </w:pPr>
      <w:r>
        <w:rPr>
          <w:rFonts w:ascii="Arial" w:cs="Arial" w:eastAsia="Arial" w:hAnsi="Arial"/>
          <w:sz w:val="14"/>
          <w:szCs w:val="14"/>
          <w:color w:val="001446"/>
        </w:rPr>
        <w:t>Ariel Porat, our former Chief Financial Officer, until March 3, 2025</w:t>
      </w:r>
      <w:r>
        <w:rPr>
          <w:rFonts w:ascii="Arial" w:cs="Arial" w:eastAsia="Arial" w:hAnsi="Arial"/>
          <w:sz w:val="12"/>
          <w:szCs w:val="12"/>
          <w:color w:val="001446"/>
        </w:rPr>
        <w:t>(3)</w:t>
      </w:r>
      <w:r>
        <w:rPr>
          <w:rFonts w:ascii="Arial" w:cs="Arial" w:eastAsia="Arial" w:hAnsi="Arial"/>
          <w:sz w:val="14"/>
          <w:szCs w:val="14"/>
          <w:color w:val="001446"/>
        </w:rPr>
        <w:t>;</w:t>
      </w:r>
    </w:p>
    <w:p>
      <w:pPr>
        <w:spacing w:after="0" w:line="170" w:lineRule="exact"/>
        <w:rPr>
          <w:rFonts w:ascii="Arial" w:cs="Arial" w:eastAsia="Arial" w:hAnsi="Arial"/>
          <w:sz w:val="14"/>
          <w:szCs w:val="14"/>
          <w:color w:val="FF0000"/>
        </w:rPr>
      </w:pPr>
    </w:p>
    <w:p>
      <w:pPr>
        <w:ind w:left="300" w:right="200" w:hanging="288"/>
        <w:spacing w:after="0" w:line="257" w:lineRule="auto"/>
        <w:tabs>
          <w:tab w:leader="none" w:pos="300" w:val="left"/>
        </w:tabs>
        <w:numPr>
          <w:ilvl w:val="0"/>
          <w:numId w:val="105"/>
        </w:numPr>
        <w:rPr>
          <w:rFonts w:ascii="Arial" w:cs="Arial" w:eastAsia="Arial" w:hAnsi="Arial"/>
          <w:sz w:val="14"/>
          <w:szCs w:val="14"/>
          <w:color w:val="001446"/>
        </w:rPr>
      </w:pPr>
      <w:r>
        <w:rPr>
          <w:rFonts w:ascii="Arial" w:cs="Arial" w:eastAsia="Arial" w:hAnsi="Arial"/>
          <w:sz w:val="14"/>
          <w:szCs w:val="14"/>
          <w:color w:val="001446"/>
        </w:rPr>
        <w:t>Mr. Alperovitz was hired on March 3, 2025 as the Company’s Chief Financial Officer. On March 10, 2026, the Company announced that Mr. Alperovitz will resign from his position as CFO on June 9, 2026. The Company’s Board of Directors has initiated a search for a replacement Chief Financial Officer.</w:t>
      </w:r>
    </w:p>
    <w:p>
      <w:pPr>
        <w:spacing w:after="0" w:line="1" w:lineRule="exact"/>
        <w:rPr>
          <w:rFonts w:ascii="Arial" w:cs="Arial" w:eastAsia="Arial" w:hAnsi="Arial"/>
          <w:sz w:val="14"/>
          <w:szCs w:val="14"/>
          <w:color w:val="001446"/>
        </w:rPr>
      </w:pPr>
    </w:p>
    <w:p>
      <w:pPr>
        <w:ind w:left="300" w:hanging="288"/>
        <w:spacing w:after="0"/>
        <w:tabs>
          <w:tab w:leader="none" w:pos="300" w:val="left"/>
        </w:tabs>
        <w:numPr>
          <w:ilvl w:val="0"/>
          <w:numId w:val="105"/>
        </w:numPr>
        <w:rPr>
          <w:rFonts w:ascii="Arial" w:cs="Arial" w:eastAsia="Arial" w:hAnsi="Arial"/>
          <w:sz w:val="14"/>
          <w:szCs w:val="14"/>
          <w:color w:val="001446"/>
        </w:rPr>
      </w:pPr>
      <w:r>
        <w:rPr>
          <w:rFonts w:ascii="Arial" w:cs="Arial" w:eastAsia="Arial" w:hAnsi="Arial"/>
          <w:sz w:val="14"/>
          <w:szCs w:val="14"/>
          <w:color w:val="001446"/>
        </w:rPr>
        <w:t>Mr. Huber has been employed by the Company since 2010. On April 8, 2025, Mr. Huber became a Named Executive Officer of the Company. .</w:t>
      </w:r>
    </w:p>
    <w:p>
      <w:pPr>
        <w:spacing w:after="0" w:line="13" w:lineRule="exact"/>
        <w:rPr>
          <w:rFonts w:ascii="Arial" w:cs="Arial" w:eastAsia="Arial" w:hAnsi="Arial"/>
          <w:sz w:val="14"/>
          <w:szCs w:val="14"/>
          <w:color w:val="001446"/>
        </w:rPr>
      </w:pPr>
    </w:p>
    <w:p>
      <w:pPr>
        <w:ind w:left="300" w:hanging="288"/>
        <w:spacing w:after="0"/>
        <w:tabs>
          <w:tab w:leader="none" w:pos="300" w:val="left"/>
        </w:tabs>
        <w:numPr>
          <w:ilvl w:val="0"/>
          <w:numId w:val="105"/>
        </w:numPr>
        <w:rPr>
          <w:rFonts w:ascii="Arial" w:cs="Arial" w:eastAsia="Arial" w:hAnsi="Arial"/>
          <w:sz w:val="14"/>
          <w:szCs w:val="14"/>
          <w:color w:val="001446"/>
        </w:rPr>
      </w:pPr>
      <w:r>
        <w:rPr>
          <w:rFonts w:ascii="Arial" w:cs="Arial" w:eastAsia="Arial" w:hAnsi="Arial"/>
          <w:sz w:val="14"/>
          <w:szCs w:val="14"/>
          <w:color w:val="001446"/>
        </w:rPr>
        <w:t>Mr. Porat was succeeded by Asaf Alperovitz on March 3, 2025. Mr. Porat remained employed in a non-executive role until September 2, 2025.</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Strategy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001446"/>
        </w:rPr>
        <w:t>The main objectives of our executive pay-for-performance compensation program are to:</w:t>
      </w:r>
    </w:p>
    <w:p>
      <w:pPr>
        <w:spacing w:after="0" w:line="11" w:lineRule="exact"/>
        <w:rPr>
          <w:sz w:val="20"/>
          <w:szCs w:val="20"/>
          <w:color w:val="auto"/>
        </w:rPr>
      </w:pPr>
    </w:p>
    <w:p>
      <w:pPr>
        <w:ind w:left="580" w:right="460" w:hanging="296"/>
        <w:spacing w:after="0" w:line="250" w:lineRule="auto"/>
        <w:tabs>
          <w:tab w:leader="none" w:pos="580" w:val="left"/>
        </w:tabs>
        <w:numPr>
          <w:ilvl w:val="0"/>
          <w:numId w:val="106"/>
        </w:numPr>
        <w:rPr>
          <w:rFonts w:ascii="Arial" w:cs="Arial" w:eastAsia="Arial" w:hAnsi="Arial"/>
          <w:sz w:val="14"/>
          <w:szCs w:val="14"/>
          <w:color w:val="FF0000"/>
        </w:rPr>
      </w:pPr>
      <w:r>
        <w:rPr>
          <w:rFonts w:ascii="Arial" w:cs="Arial" w:eastAsia="Arial" w:hAnsi="Arial"/>
          <w:sz w:val="14"/>
          <w:szCs w:val="14"/>
          <w:color w:val="001446"/>
        </w:rPr>
        <w:t>promote stockholder interests by aligning compensation with our business objectives, including by introducing long term incentives with long term performance goals;</w:t>
      </w:r>
    </w:p>
    <w:p>
      <w:pPr>
        <w:ind w:left="580" w:hanging="296"/>
        <w:spacing w:after="0"/>
        <w:tabs>
          <w:tab w:leader="none" w:pos="580" w:val="left"/>
        </w:tabs>
        <w:numPr>
          <w:ilvl w:val="0"/>
          <w:numId w:val="106"/>
        </w:numPr>
        <w:rPr>
          <w:rFonts w:ascii="Arial" w:cs="Arial" w:eastAsia="Arial" w:hAnsi="Arial"/>
          <w:sz w:val="14"/>
          <w:szCs w:val="14"/>
          <w:color w:val="FF0000"/>
        </w:rPr>
      </w:pPr>
      <w:r>
        <w:rPr>
          <w:rFonts w:ascii="Arial" w:cs="Arial" w:eastAsia="Arial" w:hAnsi="Arial"/>
          <w:sz w:val="14"/>
          <w:szCs w:val="14"/>
          <w:color w:val="001446"/>
        </w:rPr>
        <w:t>provide competitive compensation that varies based on performance and drives employee performance and engagement; and</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0"/>
          <w:numId w:val="106"/>
        </w:numPr>
        <w:rPr>
          <w:rFonts w:ascii="Arial" w:cs="Arial" w:eastAsia="Arial" w:hAnsi="Arial"/>
          <w:sz w:val="14"/>
          <w:szCs w:val="14"/>
          <w:color w:val="FF0000"/>
        </w:rPr>
      </w:pPr>
      <w:r>
        <w:rPr>
          <w:rFonts w:ascii="Arial" w:cs="Arial" w:eastAsia="Arial" w:hAnsi="Arial"/>
          <w:sz w:val="14"/>
          <w:szCs w:val="14"/>
          <w:color w:val="001446"/>
        </w:rPr>
        <w:t>attract and retain managerial talent, without promoting unreasonable risk-taking.</w:t>
      </w:r>
    </w:p>
    <w:p>
      <w:pPr>
        <w:spacing w:after="0" w:line="171" w:lineRule="exact"/>
        <w:rPr>
          <w:sz w:val="20"/>
          <w:szCs w:val="20"/>
          <w:color w:val="auto"/>
        </w:rPr>
      </w:pPr>
    </w:p>
    <w:p>
      <w:pPr>
        <w:jc w:val="both"/>
        <w:ind w:right="280"/>
        <w:spacing w:after="0" w:line="275" w:lineRule="auto"/>
        <w:rPr>
          <w:sz w:val="20"/>
          <w:szCs w:val="20"/>
          <w:color w:val="auto"/>
        </w:rPr>
      </w:pPr>
      <w:r>
        <w:rPr>
          <w:rFonts w:ascii="Arial" w:cs="Arial" w:eastAsia="Arial" w:hAnsi="Arial"/>
          <w:sz w:val="14"/>
          <w:szCs w:val="14"/>
          <w:color w:val="001446"/>
        </w:rPr>
        <w:t>These guiding principles apply to all of our executive pay practices discussed. Achievement of the minimum financial parameters set forth in our annual cash incentive compensation plan is required before any compensation is payable under the plan. Specifically, no bonus would have been payable under the 2025 Executive Bonus Plan had the Company not reached a minimum of $1 billion in revenues for 2025.</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Objectives and Guiding Principles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4"/>
          <w:szCs w:val="14"/>
          <w:color w:val="001446"/>
        </w:rPr>
        <w:t>The primary objectives of our senior executive compensation program are as follows:</w:t>
      </w:r>
    </w:p>
    <w:p>
      <w:pPr>
        <w:spacing w:after="0" w:line="171" w:lineRule="exact"/>
        <w:rPr>
          <w:sz w:val="20"/>
          <w:szCs w:val="20"/>
          <w:color w:val="auto"/>
        </w:rPr>
      </w:pPr>
    </w:p>
    <w:p>
      <w:pPr>
        <w:ind w:left="1720" w:right="500" w:hanging="284"/>
        <w:spacing w:after="0" w:line="256" w:lineRule="auto"/>
        <w:tabs>
          <w:tab w:leader="none" w:pos="1720" w:val="left"/>
        </w:tabs>
        <w:numPr>
          <w:ilvl w:val="1"/>
          <w:numId w:val="107"/>
        </w:numPr>
        <w:rPr>
          <w:rFonts w:ascii="Arial" w:cs="Arial" w:eastAsia="Arial" w:hAnsi="Arial"/>
          <w:sz w:val="14"/>
          <w:szCs w:val="14"/>
          <w:color w:val="FF0000"/>
        </w:rPr>
      </w:pPr>
      <w:r>
        <w:rPr>
          <w:rFonts w:ascii="Arial" w:cs="Arial" w:eastAsia="Arial" w:hAnsi="Arial"/>
          <w:sz w:val="14"/>
          <w:szCs w:val="14"/>
          <w:b w:val="1"/>
          <w:bCs w:val="1"/>
          <w:color w:val="001446"/>
        </w:rPr>
        <w:t xml:space="preserve">Pay for Performance: </w:t>
      </w:r>
      <w:r>
        <w:rPr>
          <w:rFonts w:ascii="Arial" w:cs="Arial" w:eastAsia="Arial" w:hAnsi="Arial"/>
          <w:sz w:val="14"/>
          <w:szCs w:val="14"/>
          <w:color w:val="001446"/>
        </w:rPr>
        <w:t>During 2025, our compensation programs furthered our pay for performance philosophy by aligning the</w:t>
      </w:r>
      <w:r>
        <w:rPr>
          <w:rFonts w:ascii="Arial" w:cs="Arial" w:eastAsia="Arial" w:hAnsi="Arial"/>
          <w:sz w:val="14"/>
          <w:szCs w:val="14"/>
          <w:b w:val="1"/>
          <w:bCs w:val="1"/>
          <w:color w:val="001446"/>
        </w:rPr>
        <w:t xml:space="preserve"> </w:t>
      </w:r>
      <w:r>
        <w:rPr>
          <w:rFonts w:ascii="Arial" w:cs="Arial" w:eastAsia="Arial" w:hAnsi="Arial"/>
          <w:sz w:val="14"/>
          <w:szCs w:val="14"/>
          <w:color w:val="001446"/>
        </w:rPr>
        <w:t>compensation of our NEOs with the company’s performance.</w:t>
      </w:r>
    </w:p>
    <w:p>
      <w:pPr>
        <w:ind w:left="1720" w:right="420"/>
        <w:spacing w:after="0" w:line="250" w:lineRule="auto"/>
        <w:rPr>
          <w:rFonts w:ascii="Arial" w:cs="Arial" w:eastAsia="Arial" w:hAnsi="Arial"/>
          <w:sz w:val="14"/>
          <w:szCs w:val="14"/>
          <w:color w:val="FF0000"/>
        </w:rPr>
      </w:pPr>
      <w:r>
        <w:rPr>
          <w:rFonts w:ascii="Arial" w:cs="Arial" w:eastAsia="Arial" w:hAnsi="Arial"/>
          <w:sz w:val="14"/>
          <w:szCs w:val="14"/>
          <w:color w:val="001446"/>
        </w:rPr>
        <w:t>The Compensation Committee determined two categories of goals that would constitute 100% of each NEO’s 2025 annual cash incentive plan opportunity:</w:t>
      </w:r>
    </w:p>
    <w:p>
      <w:pPr>
        <w:ind w:left="1720" w:right="1280"/>
        <w:spacing w:after="0" w:line="293" w:lineRule="auto"/>
        <w:rPr>
          <w:rFonts w:ascii="Arial" w:cs="Arial" w:eastAsia="Arial" w:hAnsi="Arial"/>
          <w:sz w:val="14"/>
          <w:szCs w:val="14"/>
          <w:color w:val="FF0000"/>
        </w:rPr>
      </w:pPr>
      <w:r>
        <w:rPr>
          <w:rFonts w:ascii="Arial" w:cs="Arial" w:eastAsia="Arial" w:hAnsi="Arial"/>
          <w:sz w:val="14"/>
          <w:szCs w:val="14"/>
          <w:color w:val="001446"/>
        </w:rPr>
        <w:t>Financial goals – Revenues, Non-GAAP Gross Margin, Non-GAAP Operating Income (Loss) and Free Cash Flow. Business Strategic goals – quality, new products introduction and manufacturing KPIs.</w:t>
      </w:r>
    </w:p>
    <w:p>
      <w:pPr>
        <w:spacing w:after="0" w:line="123" w:lineRule="exact"/>
        <w:rPr>
          <w:rFonts w:ascii="Arial" w:cs="Arial" w:eastAsia="Arial" w:hAnsi="Arial"/>
          <w:sz w:val="14"/>
          <w:szCs w:val="14"/>
          <w:color w:val="FF0000"/>
        </w:rPr>
      </w:pPr>
    </w:p>
    <w:p>
      <w:pPr>
        <w:ind w:left="1300" w:hanging="296"/>
        <w:spacing w:after="0"/>
        <w:tabs>
          <w:tab w:leader="none" w:pos="1300" w:val="left"/>
        </w:tabs>
        <w:numPr>
          <w:ilvl w:val="0"/>
          <w:numId w:val="107"/>
        </w:numPr>
        <w:rPr>
          <w:rFonts w:ascii="Arial" w:cs="Arial" w:eastAsia="Arial" w:hAnsi="Arial"/>
          <w:sz w:val="16"/>
          <w:szCs w:val="16"/>
          <w:color w:val="auto"/>
        </w:rPr>
      </w:pPr>
      <w:r>
        <w:rPr>
          <w:rFonts w:ascii="Arial" w:cs="Arial" w:eastAsia="Arial" w:hAnsi="Arial"/>
          <w:sz w:val="14"/>
          <w:szCs w:val="14"/>
          <w:color w:val="001446"/>
        </w:rPr>
        <w:t>The 2025 bonus was earned at 86.2% of target.</w:t>
      </w:r>
    </w:p>
    <w:p>
      <w:pPr>
        <w:spacing w:after="0" w:line="206" w:lineRule="exact"/>
        <w:rPr>
          <w:rFonts w:ascii="Arial" w:cs="Arial" w:eastAsia="Arial" w:hAnsi="Arial"/>
          <w:sz w:val="16"/>
          <w:szCs w:val="16"/>
          <w:color w:val="auto"/>
        </w:rPr>
      </w:pPr>
    </w:p>
    <w:p>
      <w:pPr>
        <w:ind w:left="1300" w:hanging="296"/>
        <w:spacing w:after="0" w:line="273"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4"/>
          <w:szCs w:val="14"/>
          <w:color w:val="001446"/>
        </w:rPr>
        <w:t>Additionally, the 2023 PSUs, based on performance over the three-year period from 2023 to 2025, was not earned as our relative total stockholder return (TSR) performance was below the minimum threshold. With respect to the 2024 PSUs, our TSR performance is measured from 2024 to 2026, and was tracking to be earned at 0% of target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100330</wp:posOffset>
                </wp:positionV>
                <wp:extent cx="6532245" cy="70104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50" o:spid="_x0000_s1375" style="position:absolute;margin-left:-0.1499pt;margin-top:7.9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666115</wp:posOffset>
                </wp:positionV>
                <wp:extent cx="653224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2.45pt" to="514.15pt,52.45pt" o:allowincell="f" strokecolor="#000000" strokeweight="1.6199pt"/>
            </w:pict>
          </mc:Fallback>
        </mc:AlternateContent>
      </w:r>
    </w:p>
    <w:p>
      <w:pPr>
        <w:sectPr>
          <w:pgSz w:w="11900" w:h="16840" w:orient="portrait"/>
          <w:cols w:equalWidth="0" w:num="1">
            <w:col w:w="10260"/>
          </w:cols>
          <w:pgMar w:left="820" w:top="1139" w:right="824" w:bottom="1440" w:gutter="0" w:footer="0" w:header="0"/>
        </w:sectPr>
      </w:pPr>
    </w:p>
    <w:bookmarkStart w:id="190" w:name="page191"/>
    <w:bookmarkEnd w:id="190"/>
    <w:p>
      <w:pPr>
        <w:ind w:left="1720" w:right="40" w:hanging="284"/>
        <w:spacing w:after="0" w:line="268" w:lineRule="auto"/>
        <w:tabs>
          <w:tab w:leader="none" w:pos="1720" w:val="left"/>
        </w:tabs>
        <w:numPr>
          <w:ilvl w:val="0"/>
          <w:numId w:val="108"/>
        </w:numPr>
        <w:rPr>
          <w:rFonts w:ascii="Arial" w:cs="Arial" w:eastAsia="Arial" w:hAnsi="Arial"/>
          <w:sz w:val="14"/>
          <w:szCs w:val="14"/>
          <w:color w:val="FF0000"/>
        </w:rPr>
      </w:pPr>
      <w:r>
        <w:rPr>
          <w:rFonts w:ascii="Arial" w:cs="Arial" w:eastAsia="Arial" w:hAnsi="Arial"/>
          <w:sz w:val="14"/>
          <w:szCs w:val="14"/>
          <w:b w:val="1"/>
          <w:bCs w:val="1"/>
          <w:color w:val="001446"/>
        </w:rPr>
        <w:t xml:space="preserve">Alignment of Interests: </w:t>
      </w:r>
      <w:r>
        <w:rPr>
          <w:rFonts w:ascii="Arial" w:cs="Arial" w:eastAsia="Arial" w:hAnsi="Arial"/>
          <w:sz w:val="14"/>
          <w:szCs w:val="14"/>
          <w:color w:val="001446"/>
        </w:rPr>
        <w:t>We seek to align the interests of our senior executives with those of our stockholders through a heavy</w:t>
      </w:r>
      <w:r>
        <w:rPr>
          <w:rFonts w:ascii="Arial" w:cs="Arial" w:eastAsia="Arial" w:hAnsi="Arial"/>
          <w:sz w:val="14"/>
          <w:szCs w:val="14"/>
          <w:b w:val="1"/>
          <w:bCs w:val="1"/>
          <w:color w:val="001446"/>
        </w:rPr>
        <w:t xml:space="preserve"> </w:t>
      </w:r>
      <w:r>
        <w:rPr>
          <w:rFonts w:ascii="Arial" w:cs="Arial" w:eastAsia="Arial" w:hAnsi="Arial"/>
          <w:sz w:val="14"/>
          <w:szCs w:val="14"/>
          <w:color w:val="001446"/>
        </w:rPr>
        <w:t>emphasis on equity-based awards and robust stock ownership guidelines. In 2025, 50% of each NEO’s annual equity award was granted in the form of PSUs tied to achievement of stock price targets during a three-year performance period, with a minimum two-year time-vesting requirement from the date of grant for any PSUs earned during the first two years after grant The remaining 50% of each NEO’s annual equity award was granted in the form of time-based RSUs which vest over four-years.</w:t>
      </w:r>
    </w:p>
    <w:p>
      <w:pPr>
        <w:spacing w:after="0" w:line="3" w:lineRule="exact"/>
        <w:rPr>
          <w:rFonts w:ascii="Arial" w:cs="Arial" w:eastAsia="Arial" w:hAnsi="Arial"/>
          <w:sz w:val="14"/>
          <w:szCs w:val="14"/>
          <w:color w:val="FF0000"/>
        </w:rPr>
      </w:pPr>
    </w:p>
    <w:p>
      <w:pPr>
        <w:ind w:left="1720" w:right="340" w:hanging="284"/>
        <w:spacing w:after="0" w:line="293" w:lineRule="auto"/>
        <w:tabs>
          <w:tab w:leader="none" w:pos="1720" w:val="left"/>
        </w:tabs>
        <w:numPr>
          <w:ilvl w:val="0"/>
          <w:numId w:val="108"/>
        </w:numPr>
        <w:rPr>
          <w:rFonts w:ascii="Arial" w:cs="Arial" w:eastAsia="Arial" w:hAnsi="Arial"/>
          <w:sz w:val="14"/>
          <w:szCs w:val="14"/>
          <w:color w:val="FF0000"/>
        </w:rPr>
      </w:pPr>
      <w:r>
        <w:rPr>
          <w:rFonts w:ascii="Arial" w:cs="Arial" w:eastAsia="Arial" w:hAnsi="Arial"/>
          <w:sz w:val="14"/>
          <w:szCs w:val="14"/>
          <w:b w:val="1"/>
          <w:bCs w:val="1"/>
          <w:color w:val="001446"/>
        </w:rPr>
        <w:t xml:space="preserve">Attraction, Motivation, and Retention of Talent: </w:t>
      </w:r>
      <w:r>
        <w:rPr>
          <w:rFonts w:ascii="Arial" w:cs="Arial" w:eastAsia="Arial" w:hAnsi="Arial"/>
          <w:sz w:val="14"/>
          <w:szCs w:val="14"/>
          <w:color w:val="001446"/>
        </w:rPr>
        <w:t>Our senior executive compensation programs are designed to help us attract,</w:t>
      </w:r>
      <w:r>
        <w:rPr>
          <w:rFonts w:ascii="Arial" w:cs="Arial" w:eastAsia="Arial" w:hAnsi="Arial"/>
          <w:sz w:val="14"/>
          <w:szCs w:val="14"/>
          <w:b w:val="1"/>
          <w:bCs w:val="1"/>
          <w:color w:val="001446"/>
        </w:rPr>
        <w:t xml:space="preserve"> </w:t>
      </w:r>
      <w:r>
        <w:rPr>
          <w:rFonts w:ascii="Arial" w:cs="Arial" w:eastAsia="Arial" w:hAnsi="Arial"/>
          <w:sz w:val="14"/>
          <w:szCs w:val="14"/>
          <w:color w:val="001446"/>
        </w:rPr>
        <w:t>motivate, and retain key management talent who drive profitability and the creation of stockholder value.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Governance Highlights</w:t>
      </w:r>
    </w:p>
    <w:p>
      <w:pPr>
        <w:spacing w:after="0" w:line="184"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001446"/>
        </w:rPr>
        <w:t>In addition to aligning pay with performance of the Company, our executive compensation program is intended to be consistent with corporate governance best practices. This is demonstrated by the following elements in our executive officer compensation arrangements:</w:t>
      </w:r>
    </w:p>
    <w:p>
      <w:pPr>
        <w:spacing w:after="0" w:line="1" w:lineRule="exact"/>
        <w:rPr>
          <w:sz w:val="20"/>
          <w:szCs w:val="20"/>
          <w:color w:val="auto"/>
        </w:rPr>
      </w:pPr>
    </w:p>
    <w:p>
      <w:pPr>
        <w:ind w:left="580" w:hanging="296"/>
        <w:spacing w:after="0"/>
        <w:tabs>
          <w:tab w:leader="none" w:pos="580" w:val="left"/>
        </w:tabs>
        <w:numPr>
          <w:ilvl w:val="0"/>
          <w:numId w:val="109"/>
        </w:numPr>
        <w:rPr>
          <w:rFonts w:ascii="Arial" w:cs="Arial" w:eastAsia="Arial" w:hAnsi="Arial"/>
          <w:sz w:val="14"/>
          <w:szCs w:val="14"/>
          <w:color w:val="FF0000"/>
        </w:rPr>
      </w:pPr>
      <w:r>
        <w:rPr>
          <w:rFonts w:ascii="Arial" w:cs="Arial" w:eastAsia="Arial" w:hAnsi="Arial"/>
          <w:sz w:val="14"/>
          <w:szCs w:val="14"/>
          <w:color w:val="001446"/>
        </w:rPr>
        <w:t>robust stock ownership and holding guidelines for executive officers and directors;</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0"/>
          <w:numId w:val="109"/>
        </w:numPr>
        <w:rPr>
          <w:rFonts w:ascii="Arial" w:cs="Arial" w:eastAsia="Arial" w:hAnsi="Arial"/>
          <w:sz w:val="14"/>
          <w:szCs w:val="14"/>
          <w:color w:val="FF0000"/>
        </w:rPr>
      </w:pPr>
      <w:r>
        <w:rPr>
          <w:rFonts w:ascii="Arial" w:cs="Arial" w:eastAsia="Arial" w:hAnsi="Arial"/>
          <w:sz w:val="14"/>
          <w:szCs w:val="14"/>
          <w:color w:val="001446"/>
        </w:rPr>
        <w:t>prohibition applicable to all directors and employees against engaging in any hedging or pledging transactions or comparable transactions;</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0"/>
          <w:numId w:val="109"/>
        </w:numPr>
        <w:rPr>
          <w:rFonts w:ascii="Arial" w:cs="Arial" w:eastAsia="Arial" w:hAnsi="Arial"/>
          <w:sz w:val="14"/>
          <w:szCs w:val="14"/>
          <w:color w:val="FF0000"/>
        </w:rPr>
      </w:pPr>
      <w:r>
        <w:rPr>
          <w:rFonts w:ascii="Arial" w:cs="Arial" w:eastAsia="Arial" w:hAnsi="Arial"/>
          <w:sz w:val="14"/>
          <w:szCs w:val="14"/>
          <w:color w:val="001446"/>
        </w:rPr>
        <w:t>use of objective performance criteria in our incentive plans;</w:t>
      </w:r>
    </w:p>
    <w:p>
      <w:pPr>
        <w:spacing w:after="0" w:line="7" w:lineRule="exact"/>
        <w:rPr>
          <w:rFonts w:ascii="Arial" w:cs="Arial" w:eastAsia="Arial" w:hAnsi="Arial"/>
          <w:sz w:val="14"/>
          <w:szCs w:val="14"/>
          <w:color w:val="FF0000"/>
        </w:rPr>
      </w:pPr>
    </w:p>
    <w:p>
      <w:pPr>
        <w:ind w:left="580" w:hanging="296"/>
        <w:spacing w:after="0"/>
        <w:tabs>
          <w:tab w:leader="none" w:pos="580" w:val="left"/>
        </w:tabs>
        <w:numPr>
          <w:ilvl w:val="0"/>
          <w:numId w:val="109"/>
        </w:numPr>
        <w:rPr>
          <w:rFonts w:ascii="Arial" w:cs="Arial" w:eastAsia="Arial" w:hAnsi="Arial"/>
          <w:sz w:val="14"/>
          <w:szCs w:val="14"/>
          <w:color w:val="FF0000"/>
        </w:rPr>
      </w:pPr>
      <w:r>
        <w:rPr>
          <w:rFonts w:ascii="Arial" w:cs="Arial" w:eastAsia="Arial" w:hAnsi="Arial"/>
          <w:sz w:val="14"/>
          <w:szCs w:val="14"/>
          <w:color w:val="001446"/>
        </w:rPr>
        <w:t>advice from independent compensation consultants retained by the Compensation Committee;</w:t>
      </w:r>
    </w:p>
    <w:p>
      <w:pPr>
        <w:spacing w:after="0" w:line="7" w:lineRule="exact"/>
        <w:rPr>
          <w:rFonts w:ascii="Arial" w:cs="Arial" w:eastAsia="Arial" w:hAnsi="Arial"/>
          <w:sz w:val="14"/>
          <w:szCs w:val="14"/>
          <w:color w:val="FF0000"/>
        </w:rPr>
      </w:pPr>
    </w:p>
    <w:p>
      <w:pPr>
        <w:ind w:left="580" w:hanging="296"/>
        <w:spacing w:after="0" w:line="250" w:lineRule="auto"/>
        <w:tabs>
          <w:tab w:leader="none" w:pos="580" w:val="left"/>
        </w:tabs>
        <w:numPr>
          <w:ilvl w:val="0"/>
          <w:numId w:val="109"/>
        </w:numPr>
        <w:rPr>
          <w:rFonts w:ascii="Arial" w:cs="Arial" w:eastAsia="Arial" w:hAnsi="Arial"/>
          <w:sz w:val="14"/>
          <w:szCs w:val="14"/>
          <w:color w:val="FF0000"/>
        </w:rPr>
      </w:pPr>
      <w:r>
        <w:rPr>
          <w:rFonts w:ascii="Arial" w:cs="Arial" w:eastAsia="Arial" w:hAnsi="Arial"/>
          <w:sz w:val="14"/>
          <w:szCs w:val="14"/>
          <w:color w:val="001446"/>
        </w:rPr>
        <w:t>no specific retirement benefit plans designed solely for senior executives or entitlements such as executive benefits and perquisites, tax gross-ups, etc.; and</w:t>
      </w:r>
    </w:p>
    <w:p>
      <w:pPr>
        <w:ind w:left="580" w:hanging="296"/>
        <w:spacing w:after="0" w:line="293" w:lineRule="auto"/>
        <w:tabs>
          <w:tab w:leader="none" w:pos="580" w:val="left"/>
        </w:tabs>
        <w:numPr>
          <w:ilvl w:val="0"/>
          <w:numId w:val="109"/>
        </w:numPr>
        <w:rPr>
          <w:rFonts w:ascii="Arial" w:cs="Arial" w:eastAsia="Arial" w:hAnsi="Arial"/>
          <w:sz w:val="14"/>
          <w:szCs w:val="14"/>
          <w:color w:val="FF0000"/>
        </w:rPr>
      </w:pPr>
      <w:r>
        <w:rPr>
          <w:rFonts w:ascii="Arial" w:cs="Arial" w:eastAsia="Arial" w:hAnsi="Arial"/>
          <w:sz w:val="14"/>
          <w:szCs w:val="14"/>
          <w:color w:val="001446"/>
        </w:rPr>
        <w:t>a portion of each NEO’s annual equity award is subject to stock price hurdles requiring substantial improvement in our stock price performance from the day of grant.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001446"/>
        </w:rPr>
        <w:t>2025 Total Target Compensation</w:t>
      </w:r>
    </w:p>
    <w:p>
      <w:pPr>
        <w:spacing w:after="0" w:line="183"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001446"/>
        </w:rPr>
        <w:t>For 2025, approximately 87% of Mr. Nir’s (our CEO) target total direct compensation and 77% of the target total direct compensation, on average, for our other NEOs who were serving at the beginning of the year (Mr. Porat, Mr. Bechor and Mr. Huber) was “at-risk”, meaning that it was contingent upon the achievement performance goals or subject to time-based vesting requirements. Target total direct compensation for this purpose consists of base salary, target annual incentive opportunity and target annual long-term equity incentive opportunity, and it does not include any sign-on or retention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90170</wp:posOffset>
                </wp:positionV>
                <wp:extent cx="6532245" cy="70104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01040"/>
                        </a:xfrm>
                        <a:prstGeom prst="rect">
                          <a:avLst/>
                        </a:prstGeom>
                        <a:solidFill>
                          <a:srgbClr val="00082E"/>
                        </a:solidFill>
                      </wps:spPr>
                      <wps:bodyPr/>
                    </wps:wsp>
                  </a:graphicData>
                </a:graphic>
              </wp:anchor>
            </w:drawing>
          </mc:Choice>
          <mc:Fallback>
            <w:pict>
              <v:rect id="Shape 352" o:spid="_x0000_s1377" style="position:absolute;margin-left:-0.1499pt;margin-top:7.1pt;width:514.35pt;height:5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720"/>
        <w:spacing w:after="0"/>
        <w:rPr>
          <w:sz w:val="20"/>
          <w:szCs w:val="20"/>
          <w:color w:val="auto"/>
        </w:rPr>
      </w:pPr>
      <w:r>
        <w:rPr>
          <w:rFonts w:ascii="Arial" w:cs="Arial" w:eastAsia="Arial" w:hAnsi="Arial"/>
          <w:sz w:val="16"/>
          <w:szCs w:val="16"/>
          <w:color w:val="FFFFFF"/>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655955</wp:posOffset>
                </wp:positionV>
                <wp:extent cx="653224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1.65pt" to="514.15pt,51.65pt" o:allowincell="f" strokecolor="#000000" strokeweight="1.62pt"/>
            </w:pict>
          </mc:Fallback>
        </mc:AlternateContent>
      </w:r>
    </w:p>
    <w:p>
      <w:pPr>
        <w:sectPr>
          <w:pgSz w:w="11900" w:h="16840" w:orient="portrait"/>
          <w:cols w:equalWidth="0" w:num="1">
            <w:col w:w="10220"/>
          </w:cols>
          <w:pgMar w:left="820" w:top="985" w:right="864"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518160</wp:posOffset>
            </wp:positionH>
            <wp:positionV relativeFrom="page">
              <wp:posOffset>635000</wp:posOffset>
            </wp:positionV>
            <wp:extent cx="6532880" cy="6261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52">
                      <a:extLst>
                        <a:ext uri="{28A0092B-C50C-407E-A947-70E740481C1C}"/>
                      </a:extLst>
                    </a:blip>
                    <a:srcRect/>
                    <a:stretch>
                      <a:fillRect/>
                    </a:stretch>
                  </pic:blipFill>
                  <pic:spPr bwMode="auto">
                    <a:xfrm>
                      <a:off x="0" y="0"/>
                      <a:ext cx="6532880" cy="626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FFFFFF"/>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-396240</wp:posOffset>
                </wp:positionH>
                <wp:positionV relativeFrom="paragraph">
                  <wp:posOffset>432435</wp:posOffset>
                </wp:positionV>
                <wp:extent cx="653224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999pt,34.05pt" to="483.15pt,34.05pt" o:allowincell="f" strokecolor="#000000" strokeweight="1.6199pt"/>
            </w:pict>
          </mc:Fallback>
        </mc:AlternateContent>
      </w:r>
    </w:p>
    <w:p>
      <w:pPr>
        <w:sectPr>
          <w:pgSz w:w="11900" w:h="16840" w:orient="portrait"/>
          <w:cols w:equalWidth="0" w:num="1">
            <w:col w:w="9024"/>
          </w:cols>
          <w:pgMar w:left="1440" w:top="1440" w:right="1440" w:bottom="1440" w:gutter="0" w:footer="0" w:header="0"/>
        </w:sectPr>
      </w:pPr>
    </w:p>
    <w:bookmarkStart w:id="192" w:name="page193"/>
    <w:bookmarkEnd w:id="192"/>
    <w:p>
      <w:pPr>
        <w:spacing w:after="0"/>
        <w:rPr>
          <w:sz w:val="20"/>
          <w:szCs w:val="20"/>
          <w:color w:val="auto"/>
        </w:rPr>
      </w:pPr>
      <w:r>
        <w:rPr>
          <w:rFonts w:ascii="Arial" w:cs="Arial" w:eastAsia="Arial" w:hAnsi="Arial"/>
          <w:sz w:val="38"/>
          <w:szCs w:val="38"/>
          <w:b w:val="1"/>
          <w:bCs w:val="1"/>
          <w:color w:val="001446"/>
        </w:rPr>
        <mc:AlternateContent>
          <mc:Choice Requires="wps">
            <w:drawing>
              <wp:anchor simplePos="0" relativeHeight="251657728" behindDoc="1" locked="0" layoutInCell="0" allowOverlap="1">
                <wp:simplePos x="0" y="0"/>
                <wp:positionH relativeFrom="page">
                  <wp:posOffset>518160</wp:posOffset>
                </wp:positionH>
                <wp:positionV relativeFrom="page">
                  <wp:posOffset>746125</wp:posOffset>
                </wp:positionV>
                <wp:extent cx="653224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FF3131"/>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8.75pt" to="555.15pt,58.75pt" o:allowincell="f" strokecolor="#FF3131" strokeweight="0.7799pt">
                <w10:wrap anchorx="page" anchory="page"/>
              </v:line>
            </w:pict>
          </mc:Fallback>
        </mc:AlternateContent>
        <w:t>Elements of Compensation</w:t>
      </w:r>
    </w:p>
    <w:p>
      <w:pPr>
        <w:spacing w:after="0" w:line="207"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color w:val="001446"/>
        </w:rPr>
        <w:t>The following table describes each element of our senior executive compensation program and how these elements help us to achieve our compensation objectives: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40" w:type="dxa"/>
            <w:vAlign w:val="bottom"/>
            <w:shd w:val="clear" w:color="auto" w:fill="001446"/>
          </w:tcPr>
          <w:p>
            <w:pPr>
              <w:ind w:left="80"/>
              <w:spacing w:after="0"/>
              <w:rPr>
                <w:sz w:val="20"/>
                <w:szCs w:val="20"/>
                <w:color w:val="auto"/>
              </w:rPr>
            </w:pPr>
            <w:r>
              <w:rPr>
                <w:rFonts w:ascii="Arial" w:cs="Arial" w:eastAsia="Arial" w:hAnsi="Arial"/>
                <w:sz w:val="16"/>
                <w:szCs w:val="16"/>
                <w:b w:val="1"/>
                <w:bCs w:val="1"/>
                <w:color w:val="FFFFFF"/>
              </w:rPr>
              <w:t>Compensation</w:t>
            </w:r>
          </w:p>
        </w:tc>
        <w:tc>
          <w:tcPr>
            <w:tcW w:w="1420" w:type="dxa"/>
            <w:vAlign w:val="bottom"/>
            <w:shd w:val="clear" w:color="auto" w:fill="001446"/>
          </w:tcPr>
          <w:p>
            <w:pPr>
              <w:ind w:left="80"/>
              <w:spacing w:after="0"/>
              <w:rPr>
                <w:sz w:val="20"/>
                <w:szCs w:val="20"/>
                <w:color w:val="auto"/>
              </w:rPr>
            </w:pPr>
            <w:r>
              <w:rPr>
                <w:rFonts w:ascii="Arial" w:cs="Arial" w:eastAsia="Arial" w:hAnsi="Arial"/>
                <w:sz w:val="16"/>
                <w:szCs w:val="16"/>
                <w:b w:val="1"/>
                <w:bCs w:val="1"/>
                <w:color w:val="FFFFFF"/>
              </w:rPr>
              <w:t>Form</w:t>
            </w:r>
          </w:p>
        </w:tc>
        <w:tc>
          <w:tcPr>
            <w:tcW w:w="1200" w:type="dxa"/>
            <w:vAlign w:val="bottom"/>
            <w:shd w:val="clear" w:color="auto" w:fill="001446"/>
          </w:tcPr>
          <w:p>
            <w:pPr>
              <w:ind w:left="100"/>
              <w:spacing w:after="0"/>
              <w:rPr>
                <w:sz w:val="20"/>
                <w:szCs w:val="20"/>
                <w:color w:val="auto"/>
              </w:rPr>
            </w:pPr>
            <w:r>
              <w:rPr>
                <w:rFonts w:ascii="Arial" w:cs="Arial" w:eastAsia="Arial" w:hAnsi="Arial"/>
                <w:sz w:val="16"/>
                <w:szCs w:val="16"/>
                <w:b w:val="1"/>
                <w:bCs w:val="1"/>
                <w:color w:val="FFFFFF"/>
              </w:rPr>
              <w:t>Objective</w:t>
            </w:r>
          </w:p>
        </w:tc>
        <w:tc>
          <w:tcPr>
            <w:tcW w:w="6020" w:type="dxa"/>
            <w:vAlign w:val="bottom"/>
            <w:shd w:val="clear" w:color="auto" w:fill="001446"/>
          </w:tcPr>
          <w:p>
            <w:pPr>
              <w:ind w:left="260"/>
              <w:spacing w:after="0"/>
              <w:rPr>
                <w:sz w:val="20"/>
                <w:szCs w:val="20"/>
                <w:color w:val="auto"/>
              </w:rPr>
            </w:pPr>
            <w:r>
              <w:rPr>
                <w:rFonts w:ascii="Arial" w:cs="Arial" w:eastAsia="Arial" w:hAnsi="Arial"/>
                <w:sz w:val="16"/>
                <w:szCs w:val="16"/>
                <w:b w:val="1"/>
                <w:bCs w:val="1"/>
                <w:color w:val="FFFFFF"/>
              </w:rPr>
              <w:t>Rationale / Key Characteristics</w:t>
            </w:r>
          </w:p>
        </w:tc>
        <w:tc>
          <w:tcPr>
            <w:tcW w:w="0" w:type="dxa"/>
            <w:vAlign w:val="bottom"/>
          </w:tcPr>
          <w:p>
            <w:pPr>
              <w:spacing w:after="0"/>
              <w:rPr>
                <w:sz w:val="1"/>
                <w:szCs w:val="1"/>
                <w:color w:val="auto"/>
              </w:rPr>
            </w:pPr>
          </w:p>
        </w:tc>
      </w:tr>
      <w:tr>
        <w:trPr>
          <w:trHeight w:val="263"/>
        </w:trPr>
        <w:tc>
          <w:tcPr>
            <w:tcW w:w="1640" w:type="dxa"/>
            <w:vAlign w:val="bottom"/>
            <w:tcBorders>
              <w:bottom w:val="single" w:sz="8" w:color="001446"/>
            </w:tcBorders>
            <w:shd w:val="clear" w:color="auto" w:fill="001446"/>
          </w:tcPr>
          <w:p>
            <w:pPr>
              <w:ind w:left="80"/>
              <w:spacing w:after="0"/>
              <w:rPr>
                <w:sz w:val="20"/>
                <w:szCs w:val="20"/>
                <w:color w:val="auto"/>
              </w:rPr>
            </w:pPr>
            <w:r>
              <w:rPr>
                <w:rFonts w:ascii="Arial" w:cs="Arial" w:eastAsia="Arial" w:hAnsi="Arial"/>
                <w:sz w:val="16"/>
                <w:szCs w:val="16"/>
                <w:b w:val="1"/>
                <w:bCs w:val="1"/>
                <w:color w:val="FFFFFF"/>
              </w:rPr>
              <w:t>Element</w:t>
            </w:r>
          </w:p>
        </w:tc>
        <w:tc>
          <w:tcPr>
            <w:tcW w:w="1420" w:type="dxa"/>
            <w:vAlign w:val="bottom"/>
            <w:tcBorders>
              <w:bottom w:val="single" w:sz="8" w:color="001446"/>
            </w:tcBorders>
            <w:shd w:val="clear" w:color="auto" w:fill="001446"/>
          </w:tcPr>
          <w:p>
            <w:pPr>
              <w:spacing w:after="0"/>
              <w:rPr>
                <w:sz w:val="22"/>
                <w:szCs w:val="22"/>
                <w:color w:val="auto"/>
              </w:rPr>
            </w:pPr>
          </w:p>
        </w:tc>
        <w:tc>
          <w:tcPr>
            <w:tcW w:w="1200" w:type="dxa"/>
            <w:vAlign w:val="bottom"/>
            <w:tcBorders>
              <w:bottom w:val="single" w:sz="8" w:color="001446"/>
            </w:tcBorders>
            <w:shd w:val="clear" w:color="auto" w:fill="001446"/>
          </w:tcPr>
          <w:p>
            <w:pPr>
              <w:spacing w:after="0"/>
              <w:rPr>
                <w:sz w:val="22"/>
                <w:szCs w:val="22"/>
                <w:color w:val="auto"/>
              </w:rPr>
            </w:pPr>
          </w:p>
        </w:tc>
        <w:tc>
          <w:tcPr>
            <w:tcW w:w="6020" w:type="dxa"/>
            <w:vAlign w:val="bottom"/>
            <w:tcBorders>
              <w:bottom w:val="single" w:sz="8" w:color="001446"/>
            </w:tcBorders>
            <w:shd w:val="clear" w:color="auto" w:fill="001446"/>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640" w:type="dxa"/>
            <w:vAlign w:val="bottom"/>
            <w:vMerge w:val="restart"/>
          </w:tcPr>
          <w:p>
            <w:pPr>
              <w:ind w:left="80"/>
              <w:spacing w:after="0"/>
              <w:rPr>
                <w:sz w:val="20"/>
                <w:szCs w:val="20"/>
                <w:color w:val="auto"/>
              </w:rPr>
            </w:pPr>
            <w:r>
              <w:rPr>
                <w:rFonts w:ascii="Arial" w:cs="Arial" w:eastAsia="Arial" w:hAnsi="Arial"/>
                <w:sz w:val="14"/>
                <w:szCs w:val="14"/>
                <w:b w:val="1"/>
                <w:bCs w:val="1"/>
                <w:color w:val="001446"/>
              </w:rPr>
              <w:t>Base Salary</w:t>
            </w:r>
          </w:p>
        </w:tc>
        <w:tc>
          <w:tcPr>
            <w:tcW w:w="1420" w:type="dxa"/>
            <w:vAlign w:val="bottom"/>
          </w:tcPr>
          <w:p>
            <w:pPr>
              <w:ind w:left="80"/>
              <w:spacing w:after="0"/>
              <w:rPr>
                <w:sz w:val="20"/>
                <w:szCs w:val="20"/>
                <w:color w:val="auto"/>
              </w:rPr>
            </w:pPr>
            <w:r>
              <w:rPr>
                <w:rFonts w:ascii="Arial" w:cs="Arial" w:eastAsia="Arial" w:hAnsi="Arial"/>
                <w:sz w:val="14"/>
                <w:szCs w:val="14"/>
                <w:color w:val="001446"/>
              </w:rPr>
              <w:t>Cash</w:t>
            </w:r>
          </w:p>
        </w:tc>
        <w:tc>
          <w:tcPr>
            <w:tcW w:w="1200" w:type="dxa"/>
            <w:vAlign w:val="bottom"/>
          </w:tcPr>
          <w:p>
            <w:pPr>
              <w:ind w:left="100"/>
              <w:spacing w:after="0"/>
              <w:rPr>
                <w:sz w:val="20"/>
                <w:szCs w:val="20"/>
                <w:color w:val="auto"/>
              </w:rPr>
            </w:pPr>
            <w:r>
              <w:rPr>
                <w:rFonts w:ascii="Arial" w:cs="Arial" w:eastAsia="Arial" w:hAnsi="Arial"/>
                <w:sz w:val="14"/>
                <w:szCs w:val="14"/>
                <w:color w:val="001446"/>
              </w:rPr>
              <w:t>Attraction</w:t>
            </w:r>
          </w:p>
        </w:tc>
        <w:tc>
          <w:tcPr>
            <w:tcW w:w="6020" w:type="dxa"/>
            <w:vAlign w:val="bottom"/>
          </w:tcPr>
          <w:p>
            <w:pPr>
              <w:ind w:left="260"/>
              <w:spacing w:after="0"/>
              <w:rPr>
                <w:sz w:val="20"/>
                <w:szCs w:val="20"/>
                <w:color w:val="auto"/>
              </w:rPr>
            </w:pPr>
            <w:r>
              <w:rPr>
                <w:rFonts w:ascii="Arial" w:cs="Arial" w:eastAsia="Arial" w:hAnsi="Arial"/>
                <w:sz w:val="14"/>
                <w:szCs w:val="14"/>
                <w:color w:val="2E90D6"/>
              </w:rPr>
              <w:t xml:space="preserve">●  </w:t>
            </w:r>
            <w:r>
              <w:rPr>
                <w:rFonts w:ascii="Arial" w:cs="Arial" w:eastAsia="Arial" w:hAnsi="Arial"/>
                <w:sz w:val="14"/>
                <w:szCs w:val="14"/>
                <w:color w:val="001446"/>
              </w:rPr>
              <w:t>Fixed compensation.</w:t>
            </w:r>
          </w:p>
        </w:tc>
        <w:tc>
          <w:tcPr>
            <w:tcW w:w="0" w:type="dxa"/>
            <w:vAlign w:val="bottom"/>
          </w:tcPr>
          <w:p>
            <w:pPr>
              <w:spacing w:after="0"/>
              <w:rPr>
                <w:sz w:val="1"/>
                <w:szCs w:val="1"/>
                <w:color w:val="auto"/>
              </w:rPr>
            </w:pPr>
          </w:p>
        </w:tc>
      </w:tr>
      <w:tr>
        <w:trPr>
          <w:trHeight w:val="168"/>
        </w:trPr>
        <w:tc>
          <w:tcPr>
            <w:tcW w:w="16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Retention</w:t>
            </w:r>
          </w:p>
        </w:tc>
        <w:tc>
          <w:tcPr>
            <w:tcW w:w="6020" w:type="dxa"/>
            <w:vAlign w:val="bottom"/>
          </w:tcPr>
          <w:p>
            <w:pPr>
              <w:ind w:left="260"/>
              <w:spacing w:after="0"/>
              <w:rPr>
                <w:sz w:val="20"/>
                <w:szCs w:val="20"/>
                <w:color w:val="auto"/>
              </w:rPr>
            </w:pPr>
            <w:r>
              <w:rPr>
                <w:rFonts w:ascii="Arial" w:cs="Arial" w:eastAsia="Arial" w:hAnsi="Arial"/>
                <w:sz w:val="14"/>
                <w:szCs w:val="14"/>
                <w:color w:val="2E90D6"/>
              </w:rPr>
              <w:t xml:space="preserve">●  </w:t>
            </w:r>
            <w:r>
              <w:rPr>
                <w:rFonts w:ascii="Arial" w:cs="Arial" w:eastAsia="Arial" w:hAnsi="Arial"/>
                <w:sz w:val="14"/>
                <w:szCs w:val="14"/>
                <w:color w:val="001446"/>
              </w:rPr>
              <w:t>Intended to be commensurate with each senior executive’s position and level of</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responsibility.</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Arial" w:cs="Arial" w:eastAsia="Arial" w:hAnsi="Arial"/>
                <w:sz w:val="14"/>
                <w:szCs w:val="14"/>
                <w:color w:val="2E90D6"/>
              </w:rPr>
              <w:t xml:space="preserve">●  </w:t>
            </w:r>
            <w:r>
              <w:rPr>
                <w:rFonts w:ascii="Arial" w:cs="Arial" w:eastAsia="Arial" w:hAnsi="Arial"/>
                <w:sz w:val="14"/>
                <w:szCs w:val="14"/>
                <w:color w:val="001446"/>
              </w:rPr>
              <w:t>Evaluated annually or as necessary in response to organizational/business changes,</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individual performance, market data, etc., but not automatically increased.</w:t>
            </w:r>
          </w:p>
        </w:tc>
        <w:tc>
          <w:tcPr>
            <w:tcW w:w="0" w:type="dxa"/>
            <w:vAlign w:val="bottom"/>
          </w:tcPr>
          <w:p>
            <w:pPr>
              <w:spacing w:after="0"/>
              <w:rPr>
                <w:sz w:val="1"/>
                <w:szCs w:val="1"/>
                <w:color w:val="auto"/>
              </w:rPr>
            </w:pP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640" w:type="dxa"/>
            <w:vAlign w:val="bottom"/>
            <w:vMerge w:val="restart"/>
          </w:tcPr>
          <w:p>
            <w:pPr>
              <w:ind w:left="80"/>
              <w:spacing w:after="0"/>
              <w:rPr>
                <w:sz w:val="20"/>
                <w:szCs w:val="20"/>
                <w:color w:val="auto"/>
              </w:rPr>
            </w:pPr>
            <w:r>
              <w:rPr>
                <w:rFonts w:ascii="Arial" w:cs="Arial" w:eastAsia="Arial" w:hAnsi="Arial"/>
                <w:sz w:val="14"/>
                <w:szCs w:val="14"/>
                <w:b w:val="1"/>
                <w:bCs w:val="1"/>
                <w:color w:val="001446"/>
              </w:rPr>
              <w:t>Annual Cash</w:t>
            </w:r>
          </w:p>
        </w:tc>
        <w:tc>
          <w:tcPr>
            <w:tcW w:w="1420" w:type="dxa"/>
            <w:vAlign w:val="bottom"/>
          </w:tcPr>
          <w:p>
            <w:pPr>
              <w:ind w:left="80"/>
              <w:spacing w:after="0"/>
              <w:rPr>
                <w:sz w:val="20"/>
                <w:szCs w:val="20"/>
                <w:color w:val="auto"/>
              </w:rPr>
            </w:pPr>
            <w:r>
              <w:rPr>
                <w:rFonts w:ascii="Arial" w:cs="Arial" w:eastAsia="Arial" w:hAnsi="Arial"/>
                <w:sz w:val="14"/>
                <w:szCs w:val="14"/>
                <w:color w:val="001446"/>
              </w:rPr>
              <w:t>Cash</w:t>
            </w:r>
          </w:p>
        </w:tc>
        <w:tc>
          <w:tcPr>
            <w:tcW w:w="1200" w:type="dxa"/>
            <w:vAlign w:val="bottom"/>
          </w:tcPr>
          <w:p>
            <w:pPr>
              <w:ind w:left="100"/>
              <w:spacing w:after="0"/>
              <w:rPr>
                <w:sz w:val="20"/>
                <w:szCs w:val="20"/>
                <w:color w:val="auto"/>
              </w:rPr>
            </w:pPr>
            <w:r>
              <w:rPr>
                <w:rFonts w:ascii="Arial" w:cs="Arial" w:eastAsia="Arial" w:hAnsi="Arial"/>
                <w:sz w:val="14"/>
                <w:szCs w:val="14"/>
                <w:color w:val="001446"/>
              </w:rPr>
              <w:t>Performance</w:t>
            </w:r>
          </w:p>
        </w:tc>
        <w:tc>
          <w:tcPr>
            <w:tcW w:w="6020" w:type="dxa"/>
            <w:vAlign w:val="bottom"/>
          </w:tcPr>
          <w:p>
            <w:pPr>
              <w:ind w:left="2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Tied to and contingent upon the Company’s financials and business strategic goals</w:t>
            </w:r>
          </w:p>
        </w:tc>
        <w:tc>
          <w:tcPr>
            <w:tcW w:w="0" w:type="dxa"/>
            <w:vAlign w:val="bottom"/>
          </w:tcPr>
          <w:p>
            <w:pPr>
              <w:spacing w:after="0"/>
              <w:rPr>
                <w:sz w:val="1"/>
                <w:szCs w:val="1"/>
                <w:color w:val="auto"/>
              </w:rPr>
            </w:pPr>
          </w:p>
        </w:tc>
      </w:tr>
      <w:tr>
        <w:trPr>
          <w:trHeight w:val="164"/>
        </w:trPr>
        <w:tc>
          <w:tcPr>
            <w:tcW w:w="16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Alignment of</w:t>
            </w:r>
          </w:p>
        </w:tc>
        <w:tc>
          <w:tcPr>
            <w:tcW w:w="6020" w:type="dxa"/>
            <w:vAlign w:val="bottom"/>
          </w:tcPr>
          <w:p>
            <w:pPr>
              <w:ind w:left="480"/>
              <w:spacing w:after="0"/>
              <w:rPr>
                <w:sz w:val="20"/>
                <w:szCs w:val="20"/>
                <w:color w:val="auto"/>
              </w:rPr>
            </w:pPr>
            <w:r>
              <w:rPr>
                <w:rFonts w:ascii="Arial" w:cs="Arial" w:eastAsia="Arial" w:hAnsi="Arial"/>
                <w:sz w:val="14"/>
                <w:szCs w:val="14"/>
                <w:color w:val="001446"/>
              </w:rPr>
              <w:t>established at the beginning of the calendar year by the Compensation Committee.</w:t>
            </w:r>
          </w:p>
        </w:tc>
        <w:tc>
          <w:tcPr>
            <w:tcW w:w="0" w:type="dxa"/>
            <w:vAlign w:val="bottom"/>
          </w:tcPr>
          <w:p>
            <w:pPr>
              <w:spacing w:after="0"/>
              <w:rPr>
                <w:sz w:val="1"/>
                <w:szCs w:val="1"/>
                <w:color w:val="auto"/>
              </w:rPr>
            </w:pPr>
          </w:p>
        </w:tc>
      </w:tr>
      <w:tr>
        <w:trPr>
          <w:trHeight w:val="172"/>
        </w:trPr>
        <w:tc>
          <w:tcPr>
            <w:tcW w:w="1640" w:type="dxa"/>
            <w:vAlign w:val="bottom"/>
          </w:tcPr>
          <w:p>
            <w:pPr>
              <w:ind w:left="80"/>
              <w:spacing w:after="0"/>
              <w:rPr>
                <w:sz w:val="20"/>
                <w:szCs w:val="20"/>
                <w:color w:val="auto"/>
              </w:rPr>
            </w:pPr>
            <w:r>
              <w:rPr>
                <w:rFonts w:ascii="Arial" w:cs="Arial" w:eastAsia="Arial" w:hAnsi="Arial"/>
                <w:sz w:val="14"/>
                <w:szCs w:val="14"/>
                <w:b w:val="1"/>
                <w:bCs w:val="1"/>
                <w:color w:val="001446"/>
              </w:rPr>
              <w:t>Incentive</w:t>
            </w:r>
          </w:p>
        </w:tc>
        <w:tc>
          <w:tcPr>
            <w:tcW w:w="1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Interests</w:t>
            </w:r>
          </w:p>
        </w:tc>
        <w:tc>
          <w:tcPr>
            <w:tcW w:w="6020" w:type="dxa"/>
            <w:vAlign w:val="bottom"/>
          </w:tcPr>
          <w:p>
            <w:pPr>
              <w:ind w:left="2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Designed to reward achievement with respect to challenging annual performance</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Motivation</w:t>
            </w:r>
          </w:p>
        </w:tc>
        <w:tc>
          <w:tcPr>
            <w:tcW w:w="6020" w:type="dxa"/>
            <w:vAlign w:val="bottom"/>
          </w:tcPr>
          <w:p>
            <w:pPr>
              <w:ind w:left="480"/>
              <w:spacing w:after="0"/>
              <w:rPr>
                <w:sz w:val="20"/>
                <w:szCs w:val="20"/>
                <w:color w:val="auto"/>
              </w:rPr>
            </w:pPr>
            <w:r>
              <w:rPr>
                <w:rFonts w:ascii="Arial" w:cs="Arial" w:eastAsia="Arial" w:hAnsi="Arial"/>
                <w:sz w:val="14"/>
                <w:szCs w:val="14"/>
                <w:color w:val="001446"/>
              </w:rPr>
              <w:t>goals that we consider important contributors to stockholder value.</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The Compensation Committee approves annual cash incentive payouts based on the</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level of achievement with respect to these pre-established goals, with threshold</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performance resulting in a payout at 50% of target and maximum performance</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resulting in a payout at 150%.</w:t>
            </w:r>
          </w:p>
        </w:tc>
        <w:tc>
          <w:tcPr>
            <w:tcW w:w="0" w:type="dxa"/>
            <w:vAlign w:val="bottom"/>
          </w:tcPr>
          <w:p>
            <w:pPr>
              <w:spacing w:after="0"/>
              <w:rPr>
                <w:sz w:val="1"/>
                <w:szCs w:val="1"/>
                <w:color w:val="auto"/>
              </w:rPr>
            </w:pP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640" w:type="dxa"/>
            <w:vAlign w:val="bottom"/>
            <w:vMerge w:val="restart"/>
          </w:tcPr>
          <w:p>
            <w:pPr>
              <w:ind w:left="80"/>
              <w:spacing w:after="0"/>
              <w:rPr>
                <w:sz w:val="20"/>
                <w:szCs w:val="20"/>
                <w:color w:val="auto"/>
              </w:rPr>
            </w:pPr>
            <w:r>
              <w:rPr>
                <w:rFonts w:ascii="Arial" w:cs="Arial" w:eastAsia="Arial" w:hAnsi="Arial"/>
                <w:sz w:val="14"/>
                <w:szCs w:val="14"/>
                <w:b w:val="1"/>
                <w:bCs w:val="1"/>
                <w:color w:val="001446"/>
              </w:rPr>
              <w:t>Long-Term</w:t>
            </w:r>
          </w:p>
        </w:tc>
        <w:tc>
          <w:tcPr>
            <w:tcW w:w="1420" w:type="dxa"/>
            <w:vAlign w:val="bottom"/>
          </w:tcPr>
          <w:p>
            <w:pPr>
              <w:ind w:left="80"/>
              <w:spacing w:after="0"/>
              <w:rPr>
                <w:sz w:val="20"/>
                <w:szCs w:val="20"/>
                <w:color w:val="auto"/>
              </w:rPr>
            </w:pPr>
            <w:r>
              <w:rPr>
                <w:rFonts w:ascii="Arial" w:cs="Arial" w:eastAsia="Arial" w:hAnsi="Arial"/>
                <w:sz w:val="14"/>
                <w:szCs w:val="14"/>
                <w:color w:val="001446"/>
              </w:rPr>
              <w:t>Annual PSUs: 50%</w:t>
            </w:r>
          </w:p>
        </w:tc>
        <w:tc>
          <w:tcPr>
            <w:tcW w:w="1200" w:type="dxa"/>
            <w:vAlign w:val="bottom"/>
          </w:tcPr>
          <w:p>
            <w:pPr>
              <w:ind w:left="100"/>
              <w:spacing w:after="0"/>
              <w:rPr>
                <w:sz w:val="20"/>
                <w:szCs w:val="20"/>
                <w:color w:val="auto"/>
              </w:rPr>
            </w:pPr>
            <w:r>
              <w:rPr>
                <w:rFonts w:ascii="Arial" w:cs="Arial" w:eastAsia="Arial" w:hAnsi="Arial"/>
                <w:sz w:val="14"/>
                <w:szCs w:val="14"/>
                <w:color w:val="001446"/>
              </w:rPr>
              <w:t>Performance</w:t>
            </w:r>
          </w:p>
        </w:tc>
        <w:tc>
          <w:tcPr>
            <w:tcW w:w="6020" w:type="dxa"/>
            <w:vAlign w:val="bottom"/>
          </w:tcPr>
          <w:p>
            <w:pPr>
              <w:ind w:left="2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50% of the target PSUs are eligible to become earned based on achievement of a</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Alignment of</w:t>
            </w:r>
          </w:p>
        </w:tc>
        <w:tc>
          <w:tcPr>
            <w:tcW w:w="6020" w:type="dxa"/>
            <w:vAlign w:val="bottom"/>
          </w:tcPr>
          <w:p>
            <w:pPr>
              <w:ind w:left="480"/>
              <w:spacing w:after="0"/>
              <w:rPr>
                <w:sz w:val="20"/>
                <w:szCs w:val="20"/>
                <w:color w:val="auto"/>
              </w:rPr>
            </w:pPr>
            <w:r>
              <w:rPr>
                <w:rFonts w:ascii="Arial" w:cs="Arial" w:eastAsia="Arial" w:hAnsi="Arial"/>
                <w:sz w:val="14"/>
                <w:szCs w:val="14"/>
                <w:color w:val="001446"/>
              </w:rPr>
              <w:t>$40 stock price hurdle; 100% of the target PSUs are contingent upon a $70 stock</w:t>
            </w:r>
          </w:p>
        </w:tc>
        <w:tc>
          <w:tcPr>
            <w:tcW w:w="0" w:type="dxa"/>
            <w:vAlign w:val="bottom"/>
          </w:tcPr>
          <w:p>
            <w:pPr>
              <w:spacing w:after="0"/>
              <w:rPr>
                <w:sz w:val="1"/>
                <w:szCs w:val="1"/>
                <w:color w:val="auto"/>
              </w:rPr>
            </w:pPr>
          </w:p>
        </w:tc>
      </w:tr>
      <w:tr>
        <w:trPr>
          <w:trHeight w:val="180"/>
        </w:trPr>
        <w:tc>
          <w:tcPr>
            <w:tcW w:w="1640" w:type="dxa"/>
            <w:vAlign w:val="bottom"/>
          </w:tcPr>
          <w:p>
            <w:pPr>
              <w:ind w:left="80"/>
              <w:spacing w:after="0"/>
              <w:rPr>
                <w:sz w:val="20"/>
                <w:szCs w:val="20"/>
                <w:color w:val="auto"/>
              </w:rPr>
            </w:pPr>
            <w:r>
              <w:rPr>
                <w:rFonts w:ascii="Arial" w:cs="Arial" w:eastAsia="Arial" w:hAnsi="Arial"/>
                <w:sz w:val="14"/>
                <w:szCs w:val="14"/>
                <w:b w:val="1"/>
                <w:bCs w:val="1"/>
                <w:color w:val="001446"/>
              </w:rPr>
              <w:t>Incentives</w:t>
            </w:r>
          </w:p>
        </w:tc>
        <w:tc>
          <w:tcPr>
            <w:tcW w:w="142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Interests</w:t>
            </w:r>
          </w:p>
        </w:tc>
        <w:tc>
          <w:tcPr>
            <w:tcW w:w="6020" w:type="dxa"/>
            <w:vAlign w:val="bottom"/>
          </w:tcPr>
          <w:p>
            <w:pPr>
              <w:ind w:left="480"/>
              <w:spacing w:after="0"/>
              <w:rPr>
                <w:sz w:val="20"/>
                <w:szCs w:val="20"/>
                <w:color w:val="auto"/>
              </w:rPr>
            </w:pPr>
            <w:r>
              <w:rPr>
                <w:rFonts w:ascii="Arial" w:cs="Arial" w:eastAsia="Arial" w:hAnsi="Arial"/>
                <w:sz w:val="14"/>
                <w:szCs w:val="14"/>
                <w:color w:val="001446"/>
              </w:rPr>
              <w:t>price hurdle, and 150% of the target PSUs would be eligible to be earned upon</w:t>
            </w: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Motivation</w:t>
            </w:r>
          </w:p>
        </w:tc>
        <w:tc>
          <w:tcPr>
            <w:tcW w:w="6020" w:type="dxa"/>
            <w:vAlign w:val="bottom"/>
          </w:tcPr>
          <w:p>
            <w:pPr>
              <w:ind w:left="480"/>
              <w:spacing w:after="0"/>
              <w:rPr>
                <w:sz w:val="20"/>
                <w:szCs w:val="20"/>
                <w:color w:val="auto"/>
              </w:rPr>
            </w:pPr>
            <w:r>
              <w:rPr>
                <w:rFonts w:ascii="Arial" w:cs="Arial" w:eastAsia="Arial" w:hAnsi="Arial"/>
                <w:sz w:val="14"/>
                <w:szCs w:val="14"/>
                <w:color w:val="001446"/>
              </w:rPr>
              <w:t>achievement of a $100 stock price hurdle. The stock price hurdles may be achieved</w:t>
            </w: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Retention</w:t>
            </w:r>
          </w:p>
        </w:tc>
        <w:tc>
          <w:tcPr>
            <w:tcW w:w="6020" w:type="dxa"/>
            <w:vAlign w:val="bottom"/>
            <w:vMerge w:val="restart"/>
          </w:tcPr>
          <w:p>
            <w:pPr>
              <w:ind w:left="480"/>
              <w:spacing w:after="0"/>
              <w:rPr>
                <w:sz w:val="20"/>
                <w:szCs w:val="20"/>
                <w:color w:val="auto"/>
              </w:rPr>
            </w:pPr>
            <w:r>
              <w:rPr>
                <w:rFonts w:ascii="Arial" w:cs="Arial" w:eastAsia="Arial" w:hAnsi="Arial"/>
                <w:sz w:val="14"/>
                <w:szCs w:val="14"/>
                <w:color w:val="001446"/>
              </w:rPr>
              <w:t>over the three years after grant, and any PSUs that are earned during the first two</w:t>
            </w:r>
          </w:p>
        </w:tc>
        <w:tc>
          <w:tcPr>
            <w:tcW w:w="0" w:type="dxa"/>
            <w:vAlign w:val="bottom"/>
          </w:tcPr>
          <w:p>
            <w:pPr>
              <w:spacing w:after="0"/>
              <w:rPr>
                <w:sz w:val="1"/>
                <w:szCs w:val="1"/>
                <w:color w:val="auto"/>
              </w:rPr>
            </w:pPr>
          </w:p>
        </w:tc>
      </w:tr>
      <w:tr>
        <w:trPr>
          <w:trHeight w:val="32"/>
        </w:trPr>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years after grant are subject to a two-year time-vesting requirement from the date of</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grant.</w:t>
            </w: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Arial" w:cs="Arial" w:eastAsia="Arial" w:hAnsi="Arial"/>
                <w:sz w:val="14"/>
                <w:szCs w:val="14"/>
                <w:color w:val="001446"/>
              </w:rPr>
              <w:t>Annual RSUs: 50%</w:t>
            </w:r>
          </w:p>
        </w:tc>
        <w:tc>
          <w:tcPr>
            <w:tcW w:w="1200" w:type="dxa"/>
            <w:vAlign w:val="bottom"/>
          </w:tcPr>
          <w:p>
            <w:pPr>
              <w:ind w:left="100"/>
              <w:spacing w:after="0"/>
              <w:rPr>
                <w:sz w:val="20"/>
                <w:szCs w:val="20"/>
                <w:color w:val="auto"/>
              </w:rPr>
            </w:pPr>
            <w:r>
              <w:rPr>
                <w:rFonts w:ascii="Arial" w:cs="Arial" w:eastAsia="Arial" w:hAnsi="Arial"/>
                <w:sz w:val="14"/>
                <w:szCs w:val="14"/>
                <w:color w:val="001446"/>
              </w:rPr>
              <w:t>Alignment of</w:t>
            </w:r>
          </w:p>
        </w:tc>
        <w:tc>
          <w:tcPr>
            <w:tcW w:w="6020" w:type="dxa"/>
            <w:vAlign w:val="bottom"/>
          </w:tcPr>
          <w:p>
            <w:pPr>
              <w:ind w:left="2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Variable compensation designed to align and retain key senior executives through the</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vMerge w:val="restart"/>
          </w:tcPr>
          <w:p>
            <w:pPr>
              <w:ind w:left="80"/>
              <w:spacing w:after="0"/>
              <w:rPr>
                <w:sz w:val="20"/>
                <w:szCs w:val="20"/>
                <w:color w:val="auto"/>
              </w:rPr>
            </w:pPr>
            <w:r>
              <w:rPr>
                <w:rFonts w:ascii="Arial" w:cs="Arial" w:eastAsia="Arial" w:hAnsi="Arial"/>
                <w:sz w:val="14"/>
                <w:szCs w:val="14"/>
                <w:color w:val="001446"/>
              </w:rPr>
              <w:t>Sign-On RSUs</w:t>
            </w:r>
          </w:p>
        </w:tc>
        <w:tc>
          <w:tcPr>
            <w:tcW w:w="1200" w:type="dxa"/>
            <w:vAlign w:val="bottom"/>
          </w:tcPr>
          <w:p>
            <w:pPr>
              <w:ind w:left="100"/>
              <w:spacing w:after="0"/>
              <w:rPr>
                <w:sz w:val="20"/>
                <w:szCs w:val="20"/>
                <w:color w:val="auto"/>
              </w:rPr>
            </w:pPr>
            <w:r>
              <w:rPr>
                <w:rFonts w:ascii="Arial" w:cs="Arial" w:eastAsia="Arial" w:hAnsi="Arial"/>
                <w:sz w:val="14"/>
                <w:szCs w:val="14"/>
                <w:color w:val="001446"/>
              </w:rPr>
              <w:t>Interests</w:t>
            </w:r>
          </w:p>
        </w:tc>
        <w:tc>
          <w:tcPr>
            <w:tcW w:w="6020" w:type="dxa"/>
            <w:vAlign w:val="bottom"/>
          </w:tcPr>
          <w:p>
            <w:pPr>
              <w:ind w:left="480"/>
              <w:spacing w:after="0"/>
              <w:rPr>
                <w:sz w:val="20"/>
                <w:szCs w:val="20"/>
                <w:color w:val="auto"/>
              </w:rPr>
            </w:pPr>
            <w:r>
              <w:rPr>
                <w:rFonts w:ascii="Arial" w:cs="Arial" w:eastAsia="Arial" w:hAnsi="Arial"/>
                <w:sz w:val="14"/>
                <w:szCs w:val="14"/>
                <w:color w:val="001446"/>
              </w:rPr>
              <w:t>term of the awards</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Retention</w:t>
            </w:r>
          </w:p>
        </w:tc>
        <w:tc>
          <w:tcPr>
            <w:tcW w:w="6020" w:type="dxa"/>
            <w:vAlign w:val="bottom"/>
          </w:tcPr>
          <w:p>
            <w:pPr>
              <w:ind w:left="2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Annual RSUs vest quarterly over four years</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001446"/>
              </w:rPr>
              <w:t>Motivation</w:t>
            </w:r>
          </w:p>
        </w:tc>
        <w:tc>
          <w:tcPr>
            <w:tcW w:w="6020" w:type="dxa"/>
            <w:vAlign w:val="bottom"/>
          </w:tcPr>
          <w:p>
            <w:pPr>
              <w:ind w:left="2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Sign-on RSUs vest as to 25% on the first anniversary of the initial grant date and</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4"/>
                <w:szCs w:val="14"/>
                <w:color w:val="001446"/>
              </w:rPr>
              <w:t>quarterly over the following the three years</w:t>
            </w:r>
          </w:p>
        </w:tc>
        <w:tc>
          <w:tcPr>
            <w:tcW w:w="0" w:type="dxa"/>
            <w:vAlign w:val="bottom"/>
          </w:tcPr>
          <w:p>
            <w:pPr>
              <w:spacing w:after="0"/>
              <w:rPr>
                <w:sz w:val="1"/>
                <w:szCs w:val="1"/>
                <w:color w:val="auto"/>
              </w:rPr>
            </w:pPr>
          </w:p>
        </w:tc>
      </w:tr>
      <w:tr>
        <w:trPr>
          <w:trHeight w:val="189"/>
        </w:trPr>
        <w:tc>
          <w:tcPr>
            <w:tcW w:w="1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40" w:type="dxa"/>
            <w:vAlign w:val="bottom"/>
            <w:vMerge w:val="restart"/>
            <w:shd w:val="clear" w:color="auto" w:fill="DBDBDB"/>
          </w:tcPr>
          <w:p>
            <w:pPr>
              <w:ind w:left="80"/>
              <w:spacing w:after="0"/>
              <w:rPr>
                <w:sz w:val="20"/>
                <w:szCs w:val="20"/>
                <w:color w:val="auto"/>
              </w:rPr>
            </w:pPr>
            <w:r>
              <w:rPr>
                <w:rFonts w:ascii="Arial" w:cs="Arial" w:eastAsia="Arial" w:hAnsi="Arial"/>
                <w:sz w:val="14"/>
                <w:szCs w:val="14"/>
                <w:b w:val="1"/>
                <w:bCs w:val="1"/>
                <w:color w:val="001446"/>
              </w:rPr>
              <w:t xml:space="preserve">Other </w:t>
            </w:r>
            <w:r>
              <w:rPr>
                <w:rFonts w:ascii="Arial" w:cs="Arial" w:eastAsia="Arial" w:hAnsi="Arial"/>
                <w:sz w:val="14"/>
                <w:szCs w:val="14"/>
                <w:b w:val="1"/>
                <w:bCs w:val="1"/>
                <w:color w:val="0E2841"/>
              </w:rPr>
              <w:t>Compensation</w:t>
            </w:r>
          </w:p>
        </w:tc>
        <w:tc>
          <w:tcPr>
            <w:tcW w:w="1420" w:type="dxa"/>
            <w:vAlign w:val="bottom"/>
            <w:shd w:val="clear" w:color="auto" w:fill="DBDBDB"/>
          </w:tcPr>
          <w:p>
            <w:pPr>
              <w:ind w:left="80"/>
              <w:spacing w:after="0"/>
              <w:rPr>
                <w:sz w:val="20"/>
                <w:szCs w:val="20"/>
                <w:color w:val="auto"/>
              </w:rPr>
            </w:pPr>
            <w:r>
              <w:rPr>
                <w:rFonts w:ascii="Arial" w:cs="Arial" w:eastAsia="Arial" w:hAnsi="Arial"/>
                <w:sz w:val="14"/>
                <w:szCs w:val="14"/>
                <w:color w:val="001446"/>
              </w:rPr>
              <w:t>N/A</w:t>
            </w:r>
          </w:p>
        </w:tc>
        <w:tc>
          <w:tcPr>
            <w:tcW w:w="1200" w:type="dxa"/>
            <w:vAlign w:val="bottom"/>
            <w:shd w:val="clear" w:color="auto" w:fill="DBDBDB"/>
          </w:tcPr>
          <w:p>
            <w:pPr>
              <w:ind w:left="100"/>
              <w:spacing w:after="0"/>
              <w:rPr>
                <w:sz w:val="20"/>
                <w:szCs w:val="20"/>
                <w:color w:val="auto"/>
              </w:rPr>
            </w:pPr>
            <w:r>
              <w:rPr>
                <w:rFonts w:ascii="Arial" w:cs="Arial" w:eastAsia="Arial" w:hAnsi="Arial"/>
                <w:sz w:val="14"/>
                <w:szCs w:val="14"/>
                <w:color w:val="001446"/>
              </w:rPr>
              <w:t>Attraction</w:t>
            </w:r>
          </w:p>
        </w:tc>
        <w:tc>
          <w:tcPr>
            <w:tcW w:w="6020" w:type="dxa"/>
            <w:vAlign w:val="bottom"/>
            <w:shd w:val="clear" w:color="auto" w:fill="DBDBDB"/>
          </w:tcPr>
          <w:p>
            <w:pPr>
              <w:ind w:left="260"/>
              <w:spacing w:after="0"/>
              <w:rPr>
                <w:sz w:val="20"/>
                <w:szCs w:val="20"/>
                <w:color w:val="auto"/>
              </w:rPr>
            </w:pPr>
            <w:r>
              <w:rPr>
                <w:rFonts w:ascii="Arial" w:cs="Arial" w:eastAsia="Arial" w:hAnsi="Arial"/>
                <w:sz w:val="14"/>
                <w:szCs w:val="14"/>
                <w:color w:val="696969"/>
              </w:rPr>
              <w:t xml:space="preserve">●   </w:t>
            </w:r>
            <w:r>
              <w:rPr>
                <w:rFonts w:ascii="Arial" w:cs="Arial" w:eastAsia="Arial" w:hAnsi="Arial"/>
                <w:sz w:val="14"/>
                <w:szCs w:val="14"/>
                <w:color w:val="001446"/>
              </w:rPr>
              <w:t>NEOs receive benefits that are generally available to all salaried employees in Israel,</w:t>
            </w:r>
          </w:p>
        </w:tc>
        <w:tc>
          <w:tcPr>
            <w:tcW w:w="0" w:type="dxa"/>
            <w:vAlign w:val="bottom"/>
          </w:tcPr>
          <w:p>
            <w:pPr>
              <w:spacing w:after="0"/>
              <w:rPr>
                <w:sz w:val="1"/>
                <w:szCs w:val="1"/>
                <w:color w:val="auto"/>
              </w:rPr>
            </w:pPr>
          </w:p>
        </w:tc>
      </w:tr>
      <w:tr>
        <w:trPr>
          <w:trHeight w:val="164"/>
        </w:trPr>
        <w:tc>
          <w:tcPr>
            <w:tcW w:w="1640" w:type="dxa"/>
            <w:vAlign w:val="bottom"/>
            <w:vMerge w:val="continue"/>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1200" w:type="dxa"/>
            <w:vAlign w:val="bottom"/>
            <w:shd w:val="clear" w:color="auto" w:fill="DBDBDB"/>
          </w:tcPr>
          <w:p>
            <w:pPr>
              <w:ind w:left="100"/>
              <w:spacing w:after="0"/>
              <w:rPr>
                <w:sz w:val="20"/>
                <w:szCs w:val="20"/>
                <w:color w:val="auto"/>
              </w:rPr>
            </w:pPr>
            <w:r>
              <w:rPr>
                <w:rFonts w:ascii="Arial" w:cs="Arial" w:eastAsia="Arial" w:hAnsi="Arial"/>
                <w:sz w:val="14"/>
                <w:szCs w:val="14"/>
                <w:color w:val="001446"/>
              </w:rPr>
              <w:t>Retention</w:t>
            </w:r>
          </w:p>
        </w:tc>
        <w:tc>
          <w:tcPr>
            <w:tcW w:w="6020" w:type="dxa"/>
            <w:vAlign w:val="bottom"/>
            <w:shd w:val="clear" w:color="auto" w:fill="DBDBDB"/>
          </w:tcPr>
          <w:p>
            <w:pPr>
              <w:ind w:left="480"/>
              <w:spacing w:after="0"/>
              <w:rPr>
                <w:sz w:val="20"/>
                <w:szCs w:val="20"/>
                <w:color w:val="auto"/>
              </w:rPr>
            </w:pPr>
            <w:r>
              <w:rPr>
                <w:rFonts w:ascii="Arial" w:cs="Arial" w:eastAsia="Arial" w:hAnsi="Arial"/>
                <w:sz w:val="14"/>
                <w:szCs w:val="14"/>
                <w:color w:val="001446"/>
              </w:rPr>
              <w:t>where the NEOs are located. This includes contributions to an education fund and to</w:t>
            </w:r>
          </w:p>
        </w:tc>
        <w:tc>
          <w:tcPr>
            <w:tcW w:w="0" w:type="dxa"/>
            <w:vAlign w:val="bottom"/>
          </w:tcPr>
          <w:p>
            <w:pPr>
              <w:spacing w:after="0"/>
              <w:rPr>
                <w:sz w:val="1"/>
                <w:szCs w:val="1"/>
                <w:color w:val="auto"/>
              </w:rPr>
            </w:pPr>
          </w:p>
        </w:tc>
      </w:tr>
      <w:tr>
        <w:trPr>
          <w:trHeight w:val="172"/>
        </w:trPr>
        <w:tc>
          <w:tcPr>
            <w:tcW w:w="1640" w:type="dxa"/>
            <w:vAlign w:val="bottom"/>
            <w:shd w:val="clear" w:color="auto" w:fill="DBDBDB"/>
          </w:tcPr>
          <w:p>
            <w:pPr>
              <w:ind w:left="80"/>
              <w:spacing w:after="0"/>
              <w:rPr>
                <w:sz w:val="20"/>
                <w:szCs w:val="20"/>
                <w:color w:val="auto"/>
              </w:rPr>
            </w:pPr>
            <w:r>
              <w:rPr>
                <w:rFonts w:ascii="Arial" w:cs="Arial" w:eastAsia="Arial" w:hAnsi="Arial"/>
                <w:sz w:val="14"/>
                <w:szCs w:val="14"/>
                <w:b w:val="1"/>
                <w:bCs w:val="1"/>
                <w:color w:val="001446"/>
              </w:rPr>
              <w:t>and Benefits</w:t>
            </w:r>
          </w:p>
        </w:tc>
        <w:tc>
          <w:tcPr>
            <w:tcW w:w="142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6020" w:type="dxa"/>
            <w:vAlign w:val="bottom"/>
            <w:shd w:val="clear" w:color="auto" w:fill="DBDBDB"/>
          </w:tcPr>
          <w:p>
            <w:pPr>
              <w:ind w:left="480"/>
              <w:spacing w:after="0"/>
              <w:rPr>
                <w:sz w:val="20"/>
                <w:szCs w:val="20"/>
                <w:color w:val="auto"/>
              </w:rPr>
            </w:pPr>
            <w:r>
              <w:rPr>
                <w:rFonts w:ascii="Arial" w:cs="Arial" w:eastAsia="Arial" w:hAnsi="Arial"/>
                <w:sz w:val="14"/>
                <w:szCs w:val="14"/>
                <w:color w:val="001446"/>
              </w:rPr>
              <w:t>a fund known as Manager’s Insurance, which provides a combination of retirement</w:t>
            </w:r>
          </w:p>
        </w:tc>
        <w:tc>
          <w:tcPr>
            <w:tcW w:w="0" w:type="dxa"/>
            <w:vAlign w:val="bottom"/>
          </w:tcPr>
          <w:p>
            <w:pPr>
              <w:spacing w:after="0"/>
              <w:rPr>
                <w:sz w:val="1"/>
                <w:szCs w:val="1"/>
                <w:color w:val="auto"/>
              </w:rPr>
            </w:pPr>
          </w:p>
        </w:tc>
      </w:tr>
      <w:tr>
        <w:trPr>
          <w:trHeight w:val="194"/>
        </w:trPr>
        <w:tc>
          <w:tcPr>
            <w:tcW w:w="164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6020" w:type="dxa"/>
            <w:vAlign w:val="bottom"/>
            <w:shd w:val="clear" w:color="auto" w:fill="DBDBDB"/>
          </w:tcPr>
          <w:p>
            <w:pPr>
              <w:ind w:left="480"/>
              <w:spacing w:after="0"/>
              <w:rPr>
                <w:sz w:val="20"/>
                <w:szCs w:val="20"/>
                <w:color w:val="auto"/>
              </w:rPr>
            </w:pPr>
            <w:r>
              <w:rPr>
                <w:rFonts w:ascii="Arial" w:cs="Arial" w:eastAsia="Arial" w:hAnsi="Arial"/>
                <w:sz w:val="14"/>
                <w:szCs w:val="14"/>
                <w:color w:val="001446"/>
              </w:rPr>
              <w:t>plan, insurance, and severance pay benefits to Israeli employees.</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shd w:val="clear" w:color="auto" w:fill="DBDBDB"/>
          </w:tcPr>
          <w:p>
            <w:pPr>
              <w:spacing w:after="0"/>
              <w:rPr>
                <w:sz w:val="12"/>
                <w:szCs w:val="12"/>
                <w:color w:val="auto"/>
              </w:rPr>
            </w:pPr>
          </w:p>
        </w:tc>
        <w:tc>
          <w:tcPr>
            <w:tcW w:w="1420" w:type="dxa"/>
            <w:vAlign w:val="bottom"/>
            <w:tcBorders>
              <w:bottom w:val="single" w:sz="8" w:color="auto"/>
            </w:tcBorders>
            <w:shd w:val="clear" w:color="auto" w:fill="DBDBDB"/>
          </w:tcPr>
          <w:p>
            <w:pPr>
              <w:spacing w:after="0"/>
              <w:rPr>
                <w:sz w:val="12"/>
                <w:szCs w:val="12"/>
                <w:color w:val="auto"/>
              </w:rPr>
            </w:pPr>
          </w:p>
        </w:tc>
        <w:tc>
          <w:tcPr>
            <w:tcW w:w="1200" w:type="dxa"/>
            <w:vAlign w:val="bottom"/>
            <w:tcBorders>
              <w:bottom w:val="single" w:sz="8" w:color="auto"/>
            </w:tcBorders>
            <w:shd w:val="clear" w:color="auto" w:fill="DBDBDB"/>
          </w:tcPr>
          <w:p>
            <w:pPr>
              <w:spacing w:after="0"/>
              <w:rPr>
                <w:sz w:val="12"/>
                <w:szCs w:val="12"/>
                <w:color w:val="auto"/>
              </w:rPr>
            </w:pPr>
          </w:p>
        </w:tc>
        <w:tc>
          <w:tcPr>
            <w:tcW w:w="6020" w:type="dxa"/>
            <w:vAlign w:val="bottom"/>
            <w:tcBorders>
              <w:bottom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116840</wp:posOffset>
                </wp:positionV>
                <wp:extent cx="6532245" cy="58420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357" o:spid="_x0000_s1382" style="position:absolute;margin-left:-0.1499pt;margin-top:9.2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80"/>
          </w:cols>
          <w:pgMar w:left="820" w:top="1251" w:right="804"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64"/>
        </w:trPr>
        <w:tc>
          <w:tcPr>
            <w:tcW w:w="2640" w:type="dxa"/>
            <w:vAlign w:val="bottom"/>
          </w:tcPr>
          <w:p>
            <w:pPr>
              <w:ind w:left="1720"/>
              <w:spacing w:after="0"/>
              <w:rPr>
                <w:sz w:val="20"/>
                <w:szCs w:val="20"/>
                <w:color w:val="auto"/>
              </w:rPr>
            </w:pPr>
            <w:r>
              <w:rPr>
                <w:rFonts w:ascii="Arial" w:cs="Arial" w:eastAsia="Arial" w:hAnsi="Arial"/>
                <w:sz w:val="14"/>
                <w:szCs w:val="14"/>
                <w:color w:val="001446"/>
              </w:rPr>
              <w:t>Equity</w:t>
            </w:r>
          </w:p>
        </w:tc>
        <w:tc>
          <w:tcPr>
            <w:tcW w:w="1600" w:type="dxa"/>
            <w:vAlign w:val="bottom"/>
          </w:tcPr>
          <w:p>
            <w:pPr>
              <w:ind w:left="520"/>
              <w:spacing w:after="0"/>
              <w:rPr>
                <w:sz w:val="20"/>
                <w:szCs w:val="20"/>
                <w:color w:val="auto"/>
              </w:rPr>
            </w:pPr>
            <w:r>
              <w:rPr>
                <w:rFonts w:ascii="Arial" w:cs="Arial" w:eastAsia="Arial" w:hAnsi="Arial"/>
                <w:sz w:val="14"/>
                <w:szCs w:val="14"/>
                <w:color w:val="001446"/>
              </w:rPr>
              <w:t>Alignment of</w:t>
            </w:r>
          </w:p>
        </w:tc>
        <w:tc>
          <w:tcPr>
            <w:tcW w:w="6040" w:type="dxa"/>
            <w:vAlign w:val="bottom"/>
          </w:tcPr>
          <w:p>
            <w:pPr>
              <w:ind w:left="280"/>
              <w:spacing w:after="0"/>
              <w:rPr>
                <w:sz w:val="20"/>
                <w:szCs w:val="20"/>
                <w:color w:val="auto"/>
              </w:rPr>
            </w:pPr>
            <w:r>
              <w:rPr>
                <w:rFonts w:ascii="Arial" w:cs="Arial" w:eastAsia="Arial" w:hAnsi="Arial"/>
                <w:sz w:val="14"/>
                <w:szCs w:val="14"/>
                <w:color w:val="001446"/>
              </w:rPr>
              <w:t>●   Each of our NEOs has a clause in his or her employment agreement that entitles the</w:t>
            </w:r>
          </w:p>
        </w:tc>
      </w:tr>
      <w:tr>
        <w:trPr>
          <w:trHeight w:val="168"/>
        </w:trPr>
        <w:tc>
          <w:tcPr>
            <w:tcW w:w="2640" w:type="dxa"/>
            <w:vAlign w:val="bottom"/>
          </w:tcPr>
          <w:p>
            <w:pPr>
              <w:ind w:left="80"/>
              <w:spacing w:after="0"/>
              <w:rPr>
                <w:sz w:val="20"/>
                <w:szCs w:val="20"/>
                <w:color w:val="auto"/>
              </w:rPr>
            </w:pPr>
            <w:r>
              <w:rPr>
                <w:rFonts w:ascii="Arial" w:cs="Arial" w:eastAsia="Arial" w:hAnsi="Arial"/>
                <w:sz w:val="14"/>
                <w:szCs w:val="14"/>
                <w:b w:val="1"/>
                <w:bCs w:val="1"/>
                <w:color w:val="001446"/>
              </w:rPr>
              <w:t>Change-in-Control</w:t>
            </w:r>
          </w:p>
        </w:tc>
        <w:tc>
          <w:tcPr>
            <w:tcW w:w="1600" w:type="dxa"/>
            <w:vAlign w:val="bottom"/>
          </w:tcPr>
          <w:p>
            <w:pPr>
              <w:ind w:left="520"/>
              <w:spacing w:after="0"/>
              <w:rPr>
                <w:sz w:val="20"/>
                <w:szCs w:val="20"/>
                <w:color w:val="auto"/>
              </w:rPr>
            </w:pPr>
            <w:r>
              <w:rPr>
                <w:rFonts w:ascii="Arial" w:cs="Arial" w:eastAsia="Arial" w:hAnsi="Arial"/>
                <w:sz w:val="14"/>
                <w:szCs w:val="14"/>
                <w:color w:val="001446"/>
              </w:rPr>
              <w:t>Interests</w:t>
            </w:r>
          </w:p>
        </w:tc>
        <w:tc>
          <w:tcPr>
            <w:tcW w:w="6040" w:type="dxa"/>
            <w:vAlign w:val="bottom"/>
          </w:tcPr>
          <w:p>
            <w:pPr>
              <w:ind w:left="500"/>
              <w:spacing w:after="0"/>
              <w:rPr>
                <w:sz w:val="20"/>
                <w:szCs w:val="20"/>
                <w:color w:val="auto"/>
              </w:rPr>
            </w:pPr>
            <w:r>
              <w:rPr>
                <w:rFonts w:ascii="Arial" w:cs="Arial" w:eastAsia="Arial" w:hAnsi="Arial"/>
                <w:sz w:val="14"/>
                <w:szCs w:val="14"/>
                <w:color w:val="001446"/>
              </w:rPr>
              <w:t>NEO to immediate vesting of equity in the event of a qualifying termination within one</w:t>
            </w:r>
          </w:p>
        </w:tc>
      </w:tr>
      <w:tr>
        <w:trPr>
          <w:trHeight w:val="172"/>
        </w:trPr>
        <w:tc>
          <w:tcPr>
            <w:tcW w:w="2640" w:type="dxa"/>
            <w:vAlign w:val="bottom"/>
          </w:tcPr>
          <w:p>
            <w:pPr>
              <w:ind w:left="80"/>
              <w:spacing w:after="0"/>
              <w:rPr>
                <w:sz w:val="20"/>
                <w:szCs w:val="20"/>
                <w:color w:val="auto"/>
              </w:rPr>
            </w:pPr>
            <w:r>
              <w:rPr>
                <w:rFonts w:ascii="Arial" w:cs="Arial" w:eastAsia="Arial" w:hAnsi="Arial"/>
                <w:sz w:val="14"/>
                <w:szCs w:val="14"/>
                <w:b w:val="1"/>
                <w:bCs w:val="1"/>
                <w:color w:val="001446"/>
              </w:rPr>
              <w:t>Arrangements</w:t>
            </w:r>
          </w:p>
        </w:tc>
        <w:tc>
          <w:tcPr>
            <w:tcW w:w="1600" w:type="dxa"/>
            <w:vAlign w:val="bottom"/>
          </w:tcPr>
          <w:p>
            <w:pPr>
              <w:ind w:left="520"/>
              <w:spacing w:after="0"/>
              <w:rPr>
                <w:sz w:val="20"/>
                <w:szCs w:val="20"/>
                <w:color w:val="auto"/>
              </w:rPr>
            </w:pPr>
            <w:r>
              <w:rPr>
                <w:rFonts w:ascii="Arial" w:cs="Arial" w:eastAsia="Arial" w:hAnsi="Arial"/>
                <w:sz w:val="14"/>
                <w:szCs w:val="14"/>
                <w:color w:val="001446"/>
              </w:rPr>
              <w:t>Attraction</w:t>
            </w:r>
          </w:p>
        </w:tc>
        <w:tc>
          <w:tcPr>
            <w:tcW w:w="6040" w:type="dxa"/>
            <w:vAlign w:val="bottom"/>
          </w:tcPr>
          <w:p>
            <w:pPr>
              <w:ind w:left="500"/>
              <w:spacing w:after="0"/>
              <w:rPr>
                <w:sz w:val="20"/>
                <w:szCs w:val="20"/>
                <w:color w:val="auto"/>
              </w:rPr>
            </w:pPr>
            <w:r>
              <w:rPr>
                <w:rFonts w:ascii="Arial" w:cs="Arial" w:eastAsia="Arial" w:hAnsi="Arial"/>
                <w:sz w:val="14"/>
                <w:szCs w:val="14"/>
                <w:color w:val="001446"/>
              </w:rPr>
              <w:t>year following a change in control (“double-trigger” equity vesting).</w:t>
            </w:r>
          </w:p>
        </w:tc>
      </w:tr>
      <w:tr>
        <w:trPr>
          <w:trHeight w:val="168"/>
        </w:trPr>
        <w:tc>
          <w:tcPr>
            <w:tcW w:w="264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Arial" w:cs="Arial" w:eastAsia="Arial" w:hAnsi="Arial"/>
                <w:sz w:val="14"/>
                <w:szCs w:val="14"/>
                <w:color w:val="001446"/>
              </w:rPr>
              <w:t>Retention</w:t>
            </w:r>
          </w:p>
        </w:tc>
        <w:tc>
          <w:tcPr>
            <w:tcW w:w="6040" w:type="dxa"/>
            <w:vAlign w:val="bottom"/>
          </w:tcPr>
          <w:p>
            <w:pPr>
              <w:ind w:left="280"/>
              <w:spacing w:after="0"/>
              <w:rPr>
                <w:sz w:val="20"/>
                <w:szCs w:val="20"/>
                <w:color w:val="auto"/>
              </w:rPr>
            </w:pPr>
            <w:r>
              <w:rPr>
                <w:rFonts w:ascii="Arial" w:cs="Arial" w:eastAsia="Arial" w:hAnsi="Arial"/>
                <w:sz w:val="14"/>
                <w:szCs w:val="14"/>
                <w:color w:val="001446"/>
              </w:rPr>
              <w:t>●   Aligns management with stockholder interests in the face of events that may result in</w:t>
            </w:r>
          </w:p>
        </w:tc>
      </w:tr>
      <w:tr>
        <w:trPr>
          <w:trHeight w:val="168"/>
        </w:trPr>
        <w:tc>
          <w:tcPr>
            <w:tcW w:w="2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Arial" w:cs="Arial" w:eastAsia="Arial" w:hAnsi="Arial"/>
                <w:sz w:val="14"/>
                <w:szCs w:val="14"/>
                <w:color w:val="001446"/>
              </w:rPr>
              <w:t>a change-in-control and not with potential individual implications of any such events.</w:t>
            </w:r>
          </w:p>
        </w:tc>
      </w:tr>
      <w:tr>
        <w:trPr>
          <w:trHeight w:val="168"/>
        </w:trPr>
        <w:tc>
          <w:tcPr>
            <w:tcW w:w="2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40" w:type="dxa"/>
            <w:vAlign w:val="bottom"/>
          </w:tcPr>
          <w:p>
            <w:pPr>
              <w:ind w:left="280"/>
              <w:spacing w:after="0"/>
              <w:rPr>
                <w:sz w:val="20"/>
                <w:szCs w:val="20"/>
                <w:color w:val="auto"/>
              </w:rPr>
            </w:pPr>
            <w:r>
              <w:rPr>
                <w:rFonts w:ascii="Arial" w:cs="Arial" w:eastAsia="Arial" w:hAnsi="Arial"/>
                <w:sz w:val="14"/>
                <w:szCs w:val="14"/>
                <w:color w:val="001446"/>
              </w:rPr>
              <w:t>●   Reasonable change-in-control protections are necessary in order for us to attract and</w:t>
            </w:r>
          </w:p>
        </w:tc>
      </w:tr>
      <w:tr>
        <w:trPr>
          <w:trHeight w:val="168"/>
        </w:trPr>
        <w:tc>
          <w:tcPr>
            <w:tcW w:w="2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40" w:type="dxa"/>
            <w:vAlign w:val="bottom"/>
          </w:tcPr>
          <w:p>
            <w:pPr>
              <w:ind w:left="500"/>
              <w:spacing w:after="0"/>
              <w:rPr>
                <w:sz w:val="20"/>
                <w:szCs w:val="20"/>
                <w:color w:val="auto"/>
              </w:rPr>
            </w:pPr>
            <w:r>
              <w:rPr>
                <w:rFonts w:ascii="Arial" w:cs="Arial" w:eastAsia="Arial" w:hAnsi="Arial"/>
                <w:sz w:val="14"/>
                <w:szCs w:val="14"/>
                <w:color w:val="001446"/>
              </w:rPr>
              <w:t>retain qualified employees.</w:t>
            </w:r>
          </w:p>
        </w:tc>
      </w:tr>
      <w:tr>
        <w:trPr>
          <w:trHeight w:val="168"/>
        </w:trPr>
        <w:tc>
          <w:tcPr>
            <w:tcW w:w="2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40" w:type="dxa"/>
            <w:vAlign w:val="bottom"/>
          </w:tcPr>
          <w:p>
            <w:pPr>
              <w:ind w:left="280"/>
              <w:spacing w:after="0"/>
              <w:rPr>
                <w:sz w:val="20"/>
                <w:szCs w:val="20"/>
                <w:color w:val="auto"/>
              </w:rPr>
            </w:pPr>
            <w:r>
              <w:rPr>
                <w:rFonts w:ascii="Arial" w:cs="Arial" w:eastAsia="Arial" w:hAnsi="Arial"/>
                <w:sz w:val="14"/>
                <w:szCs w:val="14"/>
                <w:color w:val="001446"/>
              </w:rPr>
              <w:t>●   We periodically review the necessity and design of our senior executive severance</w:t>
            </w:r>
          </w:p>
        </w:tc>
      </w:tr>
      <w:tr>
        <w:trPr>
          <w:trHeight w:val="194"/>
        </w:trPr>
        <w:tc>
          <w:tcPr>
            <w:tcW w:w="2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40" w:type="dxa"/>
            <w:vAlign w:val="bottom"/>
          </w:tcPr>
          <w:p>
            <w:pPr>
              <w:ind w:left="500"/>
              <w:spacing w:after="0"/>
              <w:rPr>
                <w:sz w:val="20"/>
                <w:szCs w:val="20"/>
                <w:color w:val="auto"/>
              </w:rPr>
            </w:pPr>
            <w:r>
              <w:rPr>
                <w:rFonts w:ascii="Arial" w:cs="Arial" w:eastAsia="Arial" w:hAnsi="Arial"/>
                <w:sz w:val="14"/>
                <w:szCs w:val="14"/>
                <w:color w:val="001446"/>
              </w:rPr>
              <w:t>and change-in-control arrangements.</w:t>
            </w: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518160</wp:posOffset>
                </wp:positionH>
                <wp:positionV relativeFrom="page">
                  <wp:posOffset>756285</wp:posOffset>
                </wp:positionV>
                <wp:extent cx="653224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9.55pt" to="555.15pt,59.55pt" o:allowincell="f" strokecolor="#000000" strokeweight="0.84pt">
                <w10:wrap anchorx="page" anchory="page"/>
              </v:line>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117475</wp:posOffset>
                </wp:positionV>
                <wp:extent cx="6532245" cy="583565"/>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360" o:spid="_x0000_s1385" style="position:absolute;margin-left:-0.1499pt;margin-top:9.2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80"/>
          </w:cols>
          <w:pgMar w:left="820" w:top="1216" w:right="804" w:bottom="1440" w:gutter="0" w:footer="0" w:header="0"/>
        </w:sectPr>
      </w:pPr>
    </w:p>
    <w:bookmarkStart w:id="194" w:name="page195"/>
    <w:bookmarkEnd w:id="194"/>
    <w:p>
      <w:pPr>
        <w:spacing w:after="0"/>
        <w:rPr>
          <w:sz w:val="20"/>
          <w:szCs w:val="20"/>
          <w:color w:val="auto"/>
        </w:rPr>
      </w:pPr>
      <w:r>
        <w:rPr>
          <w:rFonts w:ascii="Arial" w:cs="Arial" w:eastAsia="Arial" w:hAnsi="Arial"/>
          <w:sz w:val="38"/>
          <w:szCs w:val="38"/>
          <w:b w:val="1"/>
          <w:bCs w:val="1"/>
          <w:color w:val="001446"/>
        </w:rPr>
        <mc:AlternateContent>
          <mc:Choice Requires="wps">
            <w:drawing>
              <wp:anchor simplePos="0" relativeHeight="251657728" behindDoc="1" locked="0" layoutInCell="0" allowOverlap="1">
                <wp:simplePos x="0" y="0"/>
                <wp:positionH relativeFrom="page">
                  <wp:posOffset>518160</wp:posOffset>
                </wp:positionH>
                <wp:positionV relativeFrom="page">
                  <wp:posOffset>756285</wp:posOffset>
                </wp:positionV>
                <wp:extent cx="6532245"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FF3131"/>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9.55pt" to="555.15pt,59.55pt" o:allowincell="f" strokecolor="#FF3131" strokeweight="0.84pt">
                <w10:wrap anchorx="page" anchory="page"/>
              </v:line>
            </w:pict>
          </mc:Fallback>
        </mc:AlternateContent>
        <w:t>Implementing Compensation Objectives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001446"/>
        </w:rPr>
        <w:t>Determining Compensation</w:t>
      </w:r>
    </w:p>
    <w:p>
      <w:pPr>
        <w:spacing w:after="0" w:line="183"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001446"/>
        </w:rPr>
        <w:t>In making compensation decisions, we review the performance of the Company and each senior executive. We also consider the senior executive’s level of responsibility, the importance of the senior executive’s role in achieving our corporate objectives, and the senior executive’s long-term potential, while taking into account his or her current target compensation, value of outstanding equity awards, and stock ownership levels, and our stock selling restrictions for senior executives. Finally, we weigh competitive practices, relevant business and organizational changes, retention needs, and internal pay equity.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1446"/>
        </w:rPr>
        <w:t>Role of Compensation Committee and Management</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4"/>
          <w:szCs w:val="14"/>
          <w:color w:val="001446"/>
        </w:rPr>
        <w:t>The Compensation Committee has primary responsibility for overseeing the design and implementation of our senior executive compensation programs. The Compensation Committee, with input from the other independent directors, evaluates the performance of the CEO. The Compensation Committee then recommends CEO compensation to the independent directors for approval. The CEO and the Compensation Committee together review the performance of our other senior executives, and the Compensation Committee determines their compensation based on recommendations from the CEO. The executives do not play a role in their own individual compensation determinations. The Committee determines incentive program design and other executive compensation policies and practices based in part on the CEO’s recommendations and other relevant data provided by management and FW Cook. Dana Gross serves as the chairperson of our Compensation Committee.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1446"/>
        </w:rPr>
        <w:t>Role of Compensation Consultants</w:t>
      </w:r>
    </w:p>
    <w:p>
      <w:pPr>
        <w:spacing w:after="0" w:line="184"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color w:val="001446"/>
        </w:rPr>
        <w:t>With respect to decisions for 2025 target compensation of the NEOs, competitive review of senior executive and non -employee director compensation programs and peer group review for 2025, the Compensation Committee retained Frederic W. Cook &amp; Co., Inc. (“FW Cook”) to review market trends and advise the Compensation Committee, including review of Company-wide burn rate and other aggregate LTI grant practices. FW Cook is the sole compensation consultant for the Compensation Committee and did not provide additional services outside of advising us on the amount and form of executive and director compensation.</w:t>
      </w:r>
    </w:p>
    <w:p>
      <w:pPr>
        <w:spacing w:after="0" w:line="12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001446"/>
        </w:rPr>
        <w:t>Our Compensation Committee has concluded that no conflicts of interest exist with respect to FW Cook’s provision of services after considering the following six factors: (i) the provision of other services to us by FW Cook; (ii) the amount of fees FW Cook received from us as a percentage of its total revenue; (iii) the policies and procedures of FW Cook that are designed to prevent conflicts of interest; (iv) any business or personal relationship of the FW Cook consultants with a member of the Compensation Committee; (v) any of our stock owned by the FW Cook consultants; and (vi) any business or personal relationship of the FW Cook consultants or FW Cook with any of our executive officers.</w:t>
      </w:r>
    </w:p>
    <w:p>
      <w:pPr>
        <w:spacing w:after="0" w:line="129" w:lineRule="exact"/>
        <w:rPr>
          <w:sz w:val="20"/>
          <w:szCs w:val="20"/>
          <w:color w:val="auto"/>
        </w:rPr>
      </w:pPr>
    </w:p>
    <w:p>
      <w:pPr>
        <w:ind w:right="660"/>
        <w:spacing w:after="0" w:line="275" w:lineRule="auto"/>
        <w:rPr>
          <w:sz w:val="20"/>
          <w:szCs w:val="20"/>
          <w:color w:val="auto"/>
        </w:rPr>
      </w:pPr>
      <w:r>
        <w:rPr>
          <w:rFonts w:ascii="Arial" w:cs="Arial" w:eastAsia="Arial" w:hAnsi="Arial"/>
          <w:sz w:val="14"/>
          <w:szCs w:val="14"/>
          <w:color w:val="001446"/>
        </w:rPr>
        <w:t>The Compensation Committee is directly responsible for the appointment, compensation, and oversight of FW Cook. FW Cook reported directly to the Compensation Committee, although the Compensation Committee instructed FW Cook to work with management to compile information and to gain an understanding of the Company and any Company-related issues for consideration by the Compensation Committee, including market trends.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84455</wp:posOffset>
                </wp:positionV>
                <wp:extent cx="6532245" cy="584835"/>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363" o:spid="_x0000_s1388" style="position:absolute;margin-left:-0.1499pt;margin-top:6.65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80"/>
          </w:cols>
          <w:pgMar w:left="820" w:top="1267" w:right="804"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001446"/>
        </w:rPr>
        <w:t>Compensation Peer Group</w:t>
      </w:r>
    </w:p>
    <w:p>
      <w:pPr>
        <w:spacing w:after="0" w:line="184" w:lineRule="exact"/>
        <w:rPr>
          <w:sz w:val="20"/>
          <w:szCs w:val="20"/>
          <w:color w:val="auto"/>
        </w:rPr>
      </w:pPr>
    </w:p>
    <w:p>
      <w:pPr>
        <w:ind w:right="380"/>
        <w:spacing w:after="0" w:line="275" w:lineRule="auto"/>
        <w:rPr>
          <w:sz w:val="20"/>
          <w:szCs w:val="20"/>
          <w:color w:val="auto"/>
        </w:rPr>
      </w:pPr>
      <w:r>
        <w:rPr>
          <w:rFonts w:ascii="Arial" w:cs="Arial" w:eastAsia="Arial" w:hAnsi="Arial"/>
          <w:sz w:val="14"/>
          <w:szCs w:val="14"/>
          <w:color w:val="001446"/>
        </w:rPr>
        <w:t>In order to attract, retain, and motivate the best management talent, we believe that we must provide a target compensation opportunity that is competitive relative to our peers. Therefore, the Compensation Committee considers practices of specific companies that we identified as our peers for executive compensation in 2025 (the “2025 Peer Group”), as well as survey data.</w:t>
      </w:r>
    </w:p>
    <w:p>
      <w:pPr>
        <w:spacing w:after="0" w:line="11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001446"/>
        </w:rPr>
        <w:t>Prior to the start of each new year, the Compensation Committee reviews the peer group with FW Cook, and makes changes, as appropriate, with an aim that it continues to appropriately reflect the Company’s size, industry, and scope of operations when considering the appropriate compensation for our executives.</w:t>
      </w:r>
    </w:p>
    <w:p>
      <w:pPr>
        <w:spacing w:after="0" w:line="109" w:lineRule="exact"/>
        <w:rPr>
          <w:sz w:val="20"/>
          <w:szCs w:val="20"/>
          <w:color w:val="auto"/>
        </w:rPr>
      </w:pPr>
    </w:p>
    <w:p>
      <w:pPr>
        <w:spacing w:after="0" w:line="272" w:lineRule="auto"/>
        <w:rPr>
          <w:sz w:val="20"/>
          <w:szCs w:val="20"/>
          <w:color w:val="auto"/>
        </w:rPr>
      </w:pPr>
      <w:r>
        <w:rPr>
          <w:rFonts w:ascii="Arial" w:cs="Arial" w:eastAsia="Arial" w:hAnsi="Arial"/>
          <w:sz w:val="14"/>
          <w:szCs w:val="14"/>
          <w:color w:val="001446"/>
        </w:rPr>
        <w:t>In September 2024, FW Cook performed a review of the Peer Group and a market study to inform 2025 compensation decisions. Due to the decline in our revenue and market capitalization since the peer group review in 2023 and following a comprehensive search for additional peers which focused primarily on broad industry, revenue, and market capitalization relevance, FW Cook recommended that 16 of the largest peers be removed and 14 new peers be added. The Compensation Committee approved FW Cook’s recommendations in recognition that the 2024 Peer Group would no longer provide relevant compensation benchmarks given our reduced financial size. The 14 new peers had trailing four quarter revenue at the time ranging from $805 million to $3.5 billion and had market capitalization ranging from $1.1 billion to $3.9 billion (measured as a trailing 12 -month average through September 17, 2024). The peer group restructuring resulted in a 48% reduction in median trailing four quarter revenue and a 76% reduction in the median trailing 12-month average market capitalization through September 17, 2024, in each case, compared to the 2024 Peer Group. Our 2024 analyst consensus revenue at the time the peer group was reviewed was $1.07 billion, which was positioned between the 25th percentile and the median of the new peer group’s trailing four quarter revenue. Our trailing 12-month average market capitalization through September 17, 2024 was $3.6 billion, which was positioned at the 49th percentile of the new group. This revised peer group was used to inform 2025 compensation decisions and the establishment of Mr. Nir’s compensation in connection with his appointment as Chief Executive Officer and was comprised of the following companies (the “2025 Peer Group”):</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1F3763"/>
        </w:rPr>
        <w:t>2025 Peer Group: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8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Advanced Energy Industries,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Fluence Energy, Inc.*</w:t>
            </w:r>
          </w:p>
        </w:tc>
        <w:tc>
          <w:tcPr>
            <w:tcW w:w="920" w:type="dxa"/>
            <w:vAlign w:val="bottom"/>
          </w:tcPr>
          <w:p>
            <w:pPr>
              <w:ind w:left="74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Semtech Corporation*</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Array Technologies,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Generac Holdings Inc.</w:t>
            </w:r>
          </w:p>
        </w:tc>
        <w:tc>
          <w:tcPr>
            <w:tcW w:w="3180" w:type="dxa"/>
            <w:vAlign w:val="bottom"/>
            <w:gridSpan w:val="2"/>
          </w:tcPr>
          <w:p>
            <w:pPr>
              <w:ind w:left="74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Sensata Technologies Holding plc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Ciena Corporation</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Ichor Holdings, Ltd.*</w:t>
            </w:r>
          </w:p>
        </w:tc>
        <w:tc>
          <w:tcPr>
            <w:tcW w:w="920" w:type="dxa"/>
            <w:vAlign w:val="bottom"/>
          </w:tcPr>
          <w:p>
            <w:pPr>
              <w:ind w:left="74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Sunrun Inc.*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Coherent Corp.</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Infinera Corporation*</w:t>
            </w:r>
          </w:p>
        </w:tc>
        <w:tc>
          <w:tcPr>
            <w:tcW w:w="920" w:type="dxa"/>
            <w:vAlign w:val="bottom"/>
          </w:tcPr>
          <w:p>
            <w:pPr>
              <w:ind w:left="74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Synaptics Incorporated*</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Curtiss-Wright Corporation</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Itron, Inc.*</w:t>
            </w:r>
          </w:p>
        </w:tc>
        <w:tc>
          <w:tcPr>
            <w:tcW w:w="3180" w:type="dxa"/>
            <w:vAlign w:val="bottom"/>
            <w:gridSpan w:val="2"/>
          </w:tcPr>
          <w:p>
            <w:pPr>
              <w:ind w:left="74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Ultra Clean Holdings, Inc.*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Diodes Incorporated</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ITT Inc.</w:t>
            </w:r>
          </w:p>
        </w:tc>
        <w:tc>
          <w:tcPr>
            <w:tcW w:w="920" w:type="dxa"/>
            <w:vAlign w:val="bottom"/>
          </w:tcPr>
          <w:p>
            <w:pPr>
              <w:ind w:left="74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Wolfspeed, Inc.*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EnerSys*</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MKS Instruments, Inc.</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000" w:type="dxa"/>
            <w:vAlign w:val="bottom"/>
          </w:tcPr>
          <w:p>
            <w:pPr>
              <w:ind w:left="100"/>
              <w:spacing w:after="0"/>
              <w:rPr>
                <w:sz w:val="20"/>
                <w:szCs w:val="20"/>
                <w:color w:val="auto"/>
              </w:rPr>
            </w:pPr>
            <w:r>
              <w:rPr>
                <w:rFonts w:ascii="Arial" w:cs="Arial" w:eastAsia="Arial" w:hAnsi="Arial"/>
                <w:sz w:val="14"/>
                <w:szCs w:val="14"/>
                <w:color w:val="001446"/>
              </w:rPr>
              <w:t>Enphase Energy,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Photronics, Inc.*</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4"/>
        </w:trPr>
        <w:tc>
          <w:tcPr>
            <w:tcW w:w="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260" w:type="dxa"/>
            <w:vAlign w:val="bottom"/>
          </w:tcPr>
          <w:p>
            <w:pPr>
              <w:ind w:left="100"/>
              <w:spacing w:after="0"/>
              <w:rPr>
                <w:sz w:val="20"/>
                <w:szCs w:val="20"/>
                <w:color w:val="auto"/>
              </w:rPr>
            </w:pPr>
            <w:r>
              <w:rPr>
                <w:rFonts w:ascii="Arial" w:cs="Arial" w:eastAsia="Arial" w:hAnsi="Arial"/>
                <w:sz w:val="14"/>
                <w:szCs w:val="14"/>
                <w:color w:val="001446"/>
              </w:rPr>
              <w:t>Rogers Corporation*</w:t>
            </w:r>
          </w:p>
        </w:tc>
        <w:tc>
          <w:tcPr>
            <w:tcW w:w="920" w:type="dxa"/>
            <w:vAlign w:val="bottom"/>
          </w:tcPr>
          <w:p>
            <w:pPr>
              <w:spacing w:after="0"/>
              <w:rPr>
                <w:sz w:val="16"/>
                <w:szCs w:val="16"/>
                <w:color w:val="auto"/>
              </w:rPr>
            </w:pPr>
          </w:p>
        </w:tc>
        <w:tc>
          <w:tcPr>
            <w:tcW w:w="2260" w:type="dxa"/>
            <w:vAlign w:val="bottom"/>
          </w:tcPr>
          <w:p>
            <w:pPr>
              <w:spacing w:after="0"/>
              <w:rPr>
                <w:sz w:val="16"/>
                <w:szCs w:val="16"/>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0E2841"/>
        </w:rPr>
        <w:t>*New peer for 2025 Peer Group, added in September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113665</wp:posOffset>
                </wp:positionV>
                <wp:extent cx="6532245" cy="583565"/>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365" o:spid="_x0000_s1390" style="position:absolute;margin-left:-0.1499pt;margin-top:8.9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0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180"/>
          </w:cols>
          <w:pgMar w:left="820" w:top="1139" w:right="904" w:bottom="1440" w:gutter="0" w:footer="0" w:header="0"/>
        </w:sectPr>
      </w:pPr>
    </w:p>
    <w:bookmarkStart w:id="196" w:name="page197"/>
    <w:bookmarkEnd w:id="196"/>
    <w:p>
      <w:pPr>
        <w:spacing w:after="0" w:line="268" w:lineRule="auto"/>
        <w:rPr>
          <w:sz w:val="20"/>
          <w:szCs w:val="20"/>
          <w:color w:val="auto"/>
        </w:rPr>
      </w:pPr>
      <w:r>
        <w:rPr>
          <w:rFonts w:ascii="Arial" w:cs="Arial" w:eastAsia="Arial" w:hAnsi="Arial"/>
          <w:sz w:val="14"/>
          <w:szCs w:val="14"/>
          <w:color w:val="auto"/>
        </w:rPr>
        <w:t>In August 2025, FW Cook performed a review of the Peer Group prior to performing a market study to inform 2026 compensation decisions. Due to the further decline in our market capitalization since the peer group review in 2025 and following a comprehensive search for additional peers which focused primarily on broad industry, revenue, and market capitalization relevance, FW Cook recommended that 10 of the largest peers be removed and four new peers be added. The Compensation Committee approved FW Cook’s recommendations in recognition that the 2025 Peer Group would no longer provide relevant compensation benchmarks given SolarEdge’s reduced market capitalization. Three of the four new peers had trailing four quarter revenue at the time ranging from $658 million to $703 million (lower than our revenue at the time), and the fourth had $2.9 billion in trailing four quarter revenue (but its market capitalization was lower than the median market capitalization of the previous peer group). The four new peers had market capitalization ranging from $1.4 billion to $4.3 billion as of August 15, 2025, which resulted in our $1.8 billion market capitalization at the time being at the 43</w:t>
      </w:r>
      <w:r>
        <w:rPr>
          <w:rFonts w:ascii="Arial" w:cs="Arial" w:eastAsia="Arial" w:hAnsi="Arial"/>
          <w:sz w:val="12"/>
          <w:szCs w:val="12"/>
          <w:color w:val="auto"/>
        </w:rPr>
        <w:t>rd</w:t>
      </w:r>
      <w:r>
        <w:rPr>
          <w:rFonts w:ascii="Arial" w:cs="Arial" w:eastAsia="Arial" w:hAnsi="Arial"/>
          <w:sz w:val="14"/>
          <w:szCs w:val="14"/>
          <w:color w:val="auto"/>
        </w:rPr>
        <w:t xml:space="preserve"> percentile of the peer group. The peer group restructuring resulted in a 35% reduction in median trailing four quarter revenue and a 40% reduction in the median trailing 12-month average market capitalization through August 15, 2025, and a 45% reduction in the median market capitalization on August 15, 2025, in each case compared to the 2025 Peer Group. Our 2025-2026 average analyst consensus revenue was $1.3 billion at the time, which was FW Cook’s focus in anticipation that our 2024 revenue was at a low point, and this was the</w:t>
      </w:r>
    </w:p>
    <w:p>
      <w:pPr>
        <w:spacing w:after="0" w:line="6" w:lineRule="exact"/>
        <w:rPr>
          <w:sz w:val="20"/>
          <w:szCs w:val="20"/>
          <w:color w:val="auto"/>
        </w:rPr>
      </w:pPr>
    </w:p>
    <w:p>
      <w:pPr>
        <w:ind w:right="180"/>
        <w:spacing w:after="0" w:line="311" w:lineRule="auto"/>
        <w:rPr>
          <w:sz w:val="20"/>
          <w:szCs w:val="20"/>
          <w:color w:val="auto"/>
        </w:rPr>
      </w:pPr>
      <w:r>
        <w:rPr>
          <w:rFonts w:ascii="Arial" w:cs="Arial" w:eastAsia="Arial" w:hAnsi="Arial"/>
          <w:sz w:val="14"/>
          <w:szCs w:val="14"/>
          <w:color w:val="auto"/>
        </w:rPr>
        <w:t>48</w:t>
      </w:r>
      <w:r>
        <w:rPr>
          <w:rFonts w:ascii="Arial" w:cs="Arial" w:eastAsia="Arial" w:hAnsi="Arial"/>
          <w:sz w:val="12"/>
          <w:szCs w:val="12"/>
          <w:color w:val="auto"/>
        </w:rPr>
        <w:t>th</w:t>
      </w:r>
      <w:r>
        <w:rPr>
          <w:rFonts w:ascii="Arial" w:cs="Arial" w:eastAsia="Arial" w:hAnsi="Arial"/>
          <w:sz w:val="14"/>
          <w:szCs w:val="14"/>
          <w:color w:val="auto"/>
        </w:rPr>
        <w:t xml:space="preserve"> percentile of the peer group trailing four quarter revenue (the peer revenue range was $658 million to $3.7 billion at the time). This revised peer group was used to inform 2026 compensation decisions and was comprised of the following companies (the “2026 Peer Group”):</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1F3763"/>
        </w:rPr>
        <w:t>2026 Peer Group: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4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Advanced Energy Industries, Inc.</w:t>
            </w:r>
          </w:p>
        </w:tc>
        <w:tc>
          <w:tcPr>
            <w:tcW w:w="740" w:type="dxa"/>
            <w:vAlign w:val="bottom"/>
          </w:tcPr>
          <w:p>
            <w:pPr>
              <w:ind w:left="560"/>
              <w:spacing w:after="0"/>
              <w:rPr>
                <w:sz w:val="20"/>
                <w:szCs w:val="20"/>
                <w:color w:val="auto"/>
              </w:rPr>
            </w:pPr>
            <w:r>
              <w:rPr>
                <w:rFonts w:ascii="Arial" w:cs="Arial" w:eastAsia="Arial" w:hAnsi="Arial"/>
                <w:sz w:val="14"/>
                <w:szCs w:val="14"/>
                <w:color w:val="FF0000"/>
              </w:rPr>
              <w:t>●</w:t>
            </w:r>
          </w:p>
        </w:tc>
        <w:tc>
          <w:tcPr>
            <w:tcW w:w="2720" w:type="dxa"/>
            <w:vAlign w:val="bottom"/>
          </w:tcPr>
          <w:p>
            <w:pPr>
              <w:ind w:left="100"/>
              <w:spacing w:after="0"/>
              <w:rPr>
                <w:sz w:val="20"/>
                <w:szCs w:val="20"/>
                <w:color w:val="auto"/>
              </w:rPr>
            </w:pPr>
            <w:r>
              <w:rPr>
                <w:rFonts w:ascii="Arial" w:cs="Arial" w:eastAsia="Arial" w:hAnsi="Arial"/>
                <w:sz w:val="14"/>
                <w:szCs w:val="14"/>
                <w:color w:val="001446"/>
              </w:rPr>
              <w:t>Infinera Corporation*</w:t>
            </w:r>
          </w:p>
        </w:tc>
        <w:tc>
          <w:tcPr>
            <w:tcW w:w="680" w:type="dxa"/>
            <w:vAlign w:val="bottom"/>
          </w:tcPr>
          <w:p>
            <w:pPr>
              <w:ind w:left="48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Sunrun Inc.*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760" w:type="dxa"/>
            <w:vAlign w:val="bottom"/>
          </w:tcPr>
          <w:p>
            <w:pPr>
              <w:ind w:left="100"/>
              <w:spacing w:after="0"/>
              <w:rPr>
                <w:sz w:val="20"/>
                <w:szCs w:val="20"/>
                <w:color w:val="auto"/>
              </w:rPr>
            </w:pPr>
            <w:r>
              <w:rPr>
                <w:rFonts w:ascii="Arial" w:cs="Arial" w:eastAsia="Arial" w:hAnsi="Arial"/>
                <w:sz w:val="14"/>
                <w:szCs w:val="14"/>
                <w:color w:val="001446"/>
              </w:rPr>
              <w:t>Array Technologies, Inc.*</w:t>
            </w:r>
          </w:p>
        </w:tc>
        <w:tc>
          <w:tcPr>
            <w:tcW w:w="740" w:type="dxa"/>
            <w:vAlign w:val="bottom"/>
          </w:tcPr>
          <w:p>
            <w:pPr>
              <w:ind w:left="560"/>
              <w:spacing w:after="0"/>
              <w:rPr>
                <w:sz w:val="20"/>
                <w:szCs w:val="20"/>
                <w:color w:val="auto"/>
              </w:rPr>
            </w:pPr>
            <w:r>
              <w:rPr>
                <w:rFonts w:ascii="Arial" w:cs="Arial" w:eastAsia="Arial" w:hAnsi="Arial"/>
                <w:sz w:val="14"/>
                <w:szCs w:val="14"/>
                <w:color w:val="FF0000"/>
              </w:rPr>
              <w:t>●</w:t>
            </w:r>
          </w:p>
        </w:tc>
        <w:tc>
          <w:tcPr>
            <w:tcW w:w="2720" w:type="dxa"/>
            <w:vAlign w:val="bottom"/>
          </w:tcPr>
          <w:p>
            <w:pPr>
              <w:ind w:left="100"/>
              <w:spacing w:after="0"/>
              <w:rPr>
                <w:sz w:val="20"/>
                <w:szCs w:val="20"/>
                <w:color w:val="auto"/>
              </w:rPr>
            </w:pPr>
            <w:r>
              <w:rPr>
                <w:rFonts w:ascii="Arial" w:cs="Arial" w:eastAsia="Arial" w:hAnsi="Arial"/>
                <w:sz w:val="14"/>
                <w:szCs w:val="14"/>
                <w:color w:val="001446"/>
              </w:rPr>
              <w:t>Kulicke and Soffa Industries, Inc.*</w:t>
            </w:r>
          </w:p>
        </w:tc>
        <w:tc>
          <w:tcPr>
            <w:tcW w:w="680" w:type="dxa"/>
            <w:vAlign w:val="bottom"/>
          </w:tcPr>
          <w:p>
            <w:pPr>
              <w:ind w:left="48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Synaptics Incorporated*</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760" w:type="dxa"/>
            <w:vAlign w:val="bottom"/>
          </w:tcPr>
          <w:p>
            <w:pPr>
              <w:ind w:left="100"/>
              <w:spacing w:after="0"/>
              <w:rPr>
                <w:sz w:val="20"/>
                <w:szCs w:val="20"/>
                <w:color w:val="auto"/>
              </w:rPr>
            </w:pPr>
            <w:r>
              <w:rPr>
                <w:rFonts w:ascii="Arial" w:cs="Arial" w:eastAsia="Arial" w:hAnsi="Arial"/>
                <w:sz w:val="14"/>
                <w:szCs w:val="14"/>
                <w:color w:val="001446"/>
              </w:rPr>
              <w:t>Diodes Incorporated</w:t>
            </w:r>
          </w:p>
        </w:tc>
        <w:tc>
          <w:tcPr>
            <w:tcW w:w="740" w:type="dxa"/>
            <w:vAlign w:val="bottom"/>
          </w:tcPr>
          <w:p>
            <w:pPr>
              <w:ind w:left="560"/>
              <w:spacing w:after="0"/>
              <w:rPr>
                <w:sz w:val="20"/>
                <w:szCs w:val="20"/>
                <w:color w:val="auto"/>
              </w:rPr>
            </w:pPr>
            <w:r>
              <w:rPr>
                <w:rFonts w:ascii="Arial" w:cs="Arial" w:eastAsia="Arial" w:hAnsi="Arial"/>
                <w:sz w:val="14"/>
                <w:szCs w:val="14"/>
                <w:color w:val="FF0000"/>
              </w:rPr>
              <w:t>●</w:t>
            </w:r>
          </w:p>
        </w:tc>
        <w:tc>
          <w:tcPr>
            <w:tcW w:w="2720" w:type="dxa"/>
            <w:vAlign w:val="bottom"/>
          </w:tcPr>
          <w:p>
            <w:pPr>
              <w:ind w:left="100"/>
              <w:spacing w:after="0"/>
              <w:rPr>
                <w:sz w:val="20"/>
                <w:szCs w:val="20"/>
                <w:color w:val="auto"/>
              </w:rPr>
            </w:pPr>
            <w:r>
              <w:rPr>
                <w:rFonts w:ascii="Arial" w:cs="Arial" w:eastAsia="Arial" w:hAnsi="Arial"/>
                <w:sz w:val="14"/>
                <w:szCs w:val="14"/>
                <w:color w:val="001446"/>
              </w:rPr>
              <w:t>Photronics, Inc.*</w:t>
            </w:r>
          </w:p>
        </w:tc>
        <w:tc>
          <w:tcPr>
            <w:tcW w:w="2620" w:type="dxa"/>
            <w:vAlign w:val="bottom"/>
            <w:gridSpan w:val="2"/>
          </w:tcPr>
          <w:p>
            <w:pPr>
              <w:ind w:left="48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Ultra Clean Holdings, Inc.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760" w:type="dxa"/>
            <w:vAlign w:val="bottom"/>
          </w:tcPr>
          <w:p>
            <w:pPr>
              <w:ind w:left="100"/>
              <w:spacing w:after="0"/>
              <w:rPr>
                <w:sz w:val="20"/>
                <w:szCs w:val="20"/>
                <w:color w:val="auto"/>
              </w:rPr>
            </w:pPr>
            <w:r>
              <w:rPr>
                <w:rFonts w:ascii="Arial" w:cs="Arial" w:eastAsia="Arial" w:hAnsi="Arial"/>
                <w:sz w:val="14"/>
                <w:szCs w:val="14"/>
                <w:color w:val="001446"/>
              </w:rPr>
              <w:t>EnerSys*</w:t>
            </w:r>
          </w:p>
        </w:tc>
        <w:tc>
          <w:tcPr>
            <w:tcW w:w="740" w:type="dxa"/>
            <w:vAlign w:val="bottom"/>
          </w:tcPr>
          <w:p>
            <w:pPr>
              <w:ind w:left="560"/>
              <w:spacing w:after="0"/>
              <w:rPr>
                <w:sz w:val="20"/>
                <w:szCs w:val="20"/>
                <w:color w:val="auto"/>
              </w:rPr>
            </w:pPr>
            <w:r>
              <w:rPr>
                <w:rFonts w:ascii="Arial" w:cs="Arial" w:eastAsia="Arial" w:hAnsi="Arial"/>
                <w:sz w:val="14"/>
                <w:szCs w:val="14"/>
                <w:color w:val="FF0000"/>
              </w:rPr>
              <w:t>●</w:t>
            </w:r>
          </w:p>
        </w:tc>
        <w:tc>
          <w:tcPr>
            <w:tcW w:w="2720" w:type="dxa"/>
            <w:vAlign w:val="bottom"/>
          </w:tcPr>
          <w:p>
            <w:pPr>
              <w:ind w:left="100"/>
              <w:spacing w:after="0"/>
              <w:rPr>
                <w:sz w:val="20"/>
                <w:szCs w:val="20"/>
                <w:color w:val="auto"/>
              </w:rPr>
            </w:pPr>
            <w:r>
              <w:rPr>
                <w:rFonts w:ascii="Arial" w:cs="Arial" w:eastAsia="Arial" w:hAnsi="Arial"/>
                <w:sz w:val="14"/>
                <w:szCs w:val="14"/>
                <w:color w:val="001446"/>
              </w:rPr>
              <w:t>Rogers Corporation</w:t>
            </w:r>
          </w:p>
        </w:tc>
        <w:tc>
          <w:tcPr>
            <w:tcW w:w="680" w:type="dxa"/>
            <w:vAlign w:val="bottom"/>
          </w:tcPr>
          <w:p>
            <w:pPr>
              <w:ind w:left="48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Veeco Instruments Inc.*</w:t>
            </w:r>
          </w:p>
        </w:tc>
      </w:tr>
      <w:tr>
        <w:trPr>
          <w:trHeight w:val="168"/>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760" w:type="dxa"/>
            <w:vAlign w:val="bottom"/>
          </w:tcPr>
          <w:p>
            <w:pPr>
              <w:ind w:left="100"/>
              <w:spacing w:after="0"/>
              <w:rPr>
                <w:sz w:val="20"/>
                <w:szCs w:val="20"/>
                <w:color w:val="auto"/>
              </w:rPr>
            </w:pPr>
            <w:r>
              <w:rPr>
                <w:rFonts w:ascii="Arial" w:cs="Arial" w:eastAsia="Arial" w:hAnsi="Arial"/>
                <w:sz w:val="14"/>
                <w:szCs w:val="14"/>
                <w:color w:val="001446"/>
              </w:rPr>
              <w:t>Enphase Energy, Inc</w:t>
            </w:r>
          </w:p>
        </w:tc>
        <w:tc>
          <w:tcPr>
            <w:tcW w:w="740" w:type="dxa"/>
            <w:vAlign w:val="bottom"/>
          </w:tcPr>
          <w:p>
            <w:pPr>
              <w:ind w:left="560"/>
              <w:spacing w:after="0"/>
              <w:rPr>
                <w:sz w:val="20"/>
                <w:szCs w:val="20"/>
                <w:color w:val="auto"/>
              </w:rPr>
            </w:pPr>
            <w:r>
              <w:rPr>
                <w:rFonts w:ascii="Arial" w:cs="Arial" w:eastAsia="Arial" w:hAnsi="Arial"/>
                <w:sz w:val="14"/>
                <w:szCs w:val="14"/>
                <w:color w:val="FF0000"/>
              </w:rPr>
              <w:t>●</w:t>
            </w:r>
          </w:p>
        </w:tc>
        <w:tc>
          <w:tcPr>
            <w:tcW w:w="2720" w:type="dxa"/>
            <w:vAlign w:val="bottom"/>
          </w:tcPr>
          <w:p>
            <w:pPr>
              <w:ind w:left="100"/>
              <w:spacing w:after="0"/>
              <w:rPr>
                <w:sz w:val="20"/>
                <w:szCs w:val="20"/>
                <w:color w:val="auto"/>
              </w:rPr>
            </w:pPr>
            <w:r>
              <w:rPr>
                <w:rFonts w:ascii="Arial" w:cs="Arial" w:eastAsia="Arial" w:hAnsi="Arial"/>
                <w:sz w:val="14"/>
                <w:szCs w:val="14"/>
                <w:color w:val="001446"/>
              </w:rPr>
              <w:t>Semtech Corporation</w:t>
            </w:r>
          </w:p>
        </w:tc>
        <w:tc>
          <w:tcPr>
            <w:tcW w:w="2620" w:type="dxa"/>
            <w:vAlign w:val="bottom"/>
            <w:gridSpan w:val="2"/>
          </w:tcPr>
          <w:p>
            <w:pPr>
              <w:ind w:left="48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Vishay Intertechnology, Inc. *</w:t>
            </w:r>
          </w:p>
        </w:tc>
      </w:tr>
      <w:tr>
        <w:trPr>
          <w:trHeight w:val="194"/>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760" w:type="dxa"/>
            <w:vAlign w:val="bottom"/>
          </w:tcPr>
          <w:p>
            <w:pPr>
              <w:ind w:left="100"/>
              <w:spacing w:after="0"/>
              <w:rPr>
                <w:sz w:val="20"/>
                <w:szCs w:val="20"/>
                <w:color w:val="auto"/>
              </w:rPr>
            </w:pPr>
            <w:r>
              <w:rPr>
                <w:rFonts w:ascii="Arial" w:cs="Arial" w:eastAsia="Arial" w:hAnsi="Arial"/>
                <w:sz w:val="14"/>
                <w:szCs w:val="14"/>
                <w:color w:val="001446"/>
              </w:rPr>
              <w:t>Fluence Energy, Inc.</w:t>
            </w:r>
          </w:p>
        </w:tc>
        <w:tc>
          <w:tcPr>
            <w:tcW w:w="740" w:type="dxa"/>
            <w:vAlign w:val="bottom"/>
          </w:tcPr>
          <w:p>
            <w:pPr>
              <w:ind w:left="560"/>
              <w:spacing w:after="0"/>
              <w:rPr>
                <w:sz w:val="20"/>
                <w:szCs w:val="20"/>
                <w:color w:val="auto"/>
              </w:rPr>
            </w:pPr>
            <w:r>
              <w:rPr>
                <w:rFonts w:ascii="Arial" w:cs="Arial" w:eastAsia="Arial" w:hAnsi="Arial"/>
                <w:sz w:val="14"/>
                <w:szCs w:val="14"/>
                <w:color w:val="FF0000"/>
              </w:rPr>
              <w:t>●</w:t>
            </w:r>
          </w:p>
        </w:tc>
        <w:tc>
          <w:tcPr>
            <w:tcW w:w="2720" w:type="dxa"/>
            <w:vAlign w:val="bottom"/>
          </w:tcPr>
          <w:p>
            <w:pPr>
              <w:ind w:left="100"/>
              <w:spacing w:after="0"/>
              <w:rPr>
                <w:sz w:val="20"/>
                <w:szCs w:val="20"/>
                <w:color w:val="auto"/>
              </w:rPr>
            </w:pPr>
            <w:r>
              <w:rPr>
                <w:rFonts w:ascii="Arial" w:cs="Arial" w:eastAsia="Arial" w:hAnsi="Arial"/>
                <w:sz w:val="14"/>
                <w:szCs w:val="14"/>
                <w:color w:val="001446"/>
              </w:rPr>
              <w:t>Silicon Laboratories Inc.*</w:t>
            </w: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001446"/>
        </w:rPr>
        <w:t>*New peer for 2026 Peer Group, added in August 2025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001446"/>
        </w:rPr>
        <w:t>2025 Pay Positioning</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001446"/>
        </w:rPr>
        <w:t>After reviewing the market data described above, the Compensation Committee determined the approximate range within which to target total direct compensation (the sum of base salary, target annual incentive, and the target value of long-term incentives) for our senior executives for 2025. Within that range, we incorporated flexibility to respond to and adjust for the evolving business environment and our specific hiring and retention needs.</w:t>
      </w:r>
    </w:p>
    <w:p>
      <w:pPr>
        <w:spacing w:after="0" w:line="119" w:lineRule="exact"/>
        <w:rPr>
          <w:sz w:val="20"/>
          <w:szCs w:val="20"/>
          <w:color w:val="auto"/>
        </w:rPr>
      </w:pPr>
    </w:p>
    <w:p>
      <w:pPr>
        <w:spacing w:after="0" w:line="266" w:lineRule="auto"/>
        <w:rPr>
          <w:sz w:val="20"/>
          <w:szCs w:val="20"/>
          <w:color w:val="auto"/>
        </w:rPr>
      </w:pPr>
      <w:r>
        <w:rPr>
          <w:rFonts w:ascii="Arial" w:cs="Arial" w:eastAsia="Arial" w:hAnsi="Arial"/>
          <w:sz w:val="14"/>
          <w:szCs w:val="14"/>
          <w:color w:val="001446"/>
        </w:rPr>
        <w:t>In general, for 2025, the Compensation Committee maintained base salaries and short-term incentive target opportunities for our senior executives, including the NEOs, below the median market benchmarks. The 2025 long-term incentive awards, which were granted in January 2025, were set at or below the median of our peer group. Individual levels took into account the Compensation Committee’s overall subjective evaluation of individual performance, senior executive responsibilities relative to benchmark position responsibilities, and individual skill set and experience.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001446"/>
        </w:rPr>
        <w:t>Advisory Vote on Executive Compensation</w:t>
      </w:r>
    </w:p>
    <w:p>
      <w:pPr>
        <w:spacing w:after="0" w:line="233"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color w:val="001446"/>
        </w:rPr>
        <w:t>At our 2025 annual meeting of stockholders, 87.0% of the votes cast were in favor of our advisory resolution regarding the compensation of our NEOs, representing an increase from 77.1% at our 2024 annual meeting of shareholders. We view this increase as reflecting an improvement in stockholder outlook on the Company’s executive compensation policies and practices. The Compensation Committee considered these 2024 and 2025 vote results when it made compensation decisions for 2025 and for 2026, respectively.</w:t>
      </w:r>
    </w:p>
    <w:p>
      <w:pPr>
        <w:spacing w:after="0" w:line="138" w:lineRule="exact"/>
        <w:rPr>
          <w:sz w:val="20"/>
          <w:szCs w:val="20"/>
          <w:color w:val="auto"/>
        </w:rPr>
      </w:pPr>
    </w:p>
    <w:p>
      <w:pPr>
        <w:ind w:right="180"/>
        <w:spacing w:after="0" w:line="284" w:lineRule="auto"/>
        <w:rPr>
          <w:sz w:val="20"/>
          <w:szCs w:val="20"/>
          <w:color w:val="auto"/>
        </w:rPr>
      </w:pPr>
      <w:r>
        <w:rPr>
          <w:rFonts w:ascii="Arial" w:cs="Arial" w:eastAsia="Arial" w:hAnsi="Arial"/>
          <w:sz w:val="14"/>
          <w:szCs w:val="14"/>
          <w:color w:val="001446"/>
        </w:rPr>
        <w:t>The Compensation Committee decreased annual equity grant values to our NEOs in 2025 who were serving in the same role at the time of 2024 annual equity awards. Additionally, in January 2025, the CEO and his then serving direct reports voluntarily asked the Compensation Committee to approve a 10% percent reduction of their base salaries at the beginning of 2025 and until such time as the Company reaches profitability, and the Compensation Committee approved such reductions. Furthermore, in 2026, the Committee increased the CEO’s stock ownership guidelines from 4x salary to 5x salary.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86360</wp:posOffset>
                </wp:positionV>
                <wp:extent cx="6532245" cy="583565"/>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367" o:spid="_x0000_s1392" style="position:absolute;margin-left:-0.1499pt;margin-top:6.8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60"/>
          </w:cols>
          <w:pgMar w:left="820" w:top="1157" w:right="824" w:bottom="1440" w:gutter="0" w:footer="0" w:header="0"/>
        </w:sectPr>
      </w:pPr>
    </w:p>
    <w:bookmarkStart w:id="197" w:name="page198"/>
    <w:bookmarkEnd w:id="197"/>
    <w:p>
      <w:pPr>
        <w:spacing w:after="0"/>
        <w:rPr>
          <w:sz w:val="20"/>
          <w:szCs w:val="20"/>
          <w:color w:val="auto"/>
        </w:rPr>
      </w:pPr>
      <w:r>
        <w:rPr>
          <w:rFonts w:ascii="Arial" w:cs="Arial" w:eastAsia="Arial" w:hAnsi="Arial"/>
          <w:sz w:val="38"/>
          <w:szCs w:val="38"/>
          <w:b w:val="1"/>
          <w:bCs w:val="1"/>
          <w:color w:val="001446"/>
        </w:rPr>
        <mc:AlternateContent>
          <mc:Choice Requires="wps">
            <w:drawing>
              <wp:anchor simplePos="0" relativeHeight="251657728" behindDoc="1" locked="0" layoutInCell="0" allowOverlap="1">
                <wp:simplePos x="0" y="0"/>
                <wp:positionH relativeFrom="page">
                  <wp:posOffset>518160</wp:posOffset>
                </wp:positionH>
                <wp:positionV relativeFrom="page">
                  <wp:posOffset>746125</wp:posOffset>
                </wp:positionV>
                <wp:extent cx="653224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FF3131"/>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8.75pt" to="555.15pt,58.75pt" o:allowincell="f" strokecolor="#FF3131" strokeweight="0.7799pt">
                <w10:wrap anchorx="page" anchory="page"/>
              </v:line>
            </w:pict>
          </mc:Fallback>
        </mc:AlternateContent>
        <w:t>Compensation-Related Governance Policies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001446"/>
        </w:rPr>
        <w:t>Equity Grant Practices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001446"/>
        </w:rPr>
        <w:t>The Compensation Committee generally approves the annual equity awards for the Company’s executive officers, including each of the NEOs, at its meeting in December of the previous year, with a grant date to be effective in January before the filing of the Company’s Annual Report on Form 10-K for the prior fiscal year. The Compensation Committee generally also approves initial grants, for other employees, once a quarter, on the last calendar month of each quarter. In special circumstances, including the hiring or promotion of an individual or where the Compensation Committee determines it is in the Company’s best interest, the Compensation Committee may approve grants to be effective at other times. Employees may also enroll to purchase shares of the Company’s common stock under the terms of the ESPP. The Company may change its equity grant practices in the future. The Company did not grant any stock option awards in 2025. In 2025, the Compensation Committee did not take material nonpublic information into account when determining the timing and terms of equity awards, and the Company did not time the disclosure of material nonpublic information for the purpose of affecting the value of 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1446"/>
        </w:rPr>
        <w:t>Clawback Policy</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4"/>
          <w:szCs w:val="14"/>
          <w:color w:val="001446"/>
        </w:rPr>
        <w:t>We maintain a Clawback Policy that complies with the requirements of Exchange Act Rule 10D-1. The Clawback Policy provides that, in the event that the Company is required to prepare an accounting restatement of its financial statements due to the Company’s material noncompliance with any financial reporting requirement under the securities laws, the Compensation Committee shall take all necessary steps, unless determined to be financially impracticable, to cancel all or any portion of any outstanding incentive compensation, including annual bonuses and other short- and long-term cash, equity and equity-based incentive awards, which is in excess of the compensation the Company’s current and former executive officers (as determined by the Board in accordance with Rule 10D-1 promulgated under the Exchange Act and Nasdaq listing standards) would have earned for the relevant fiscal period(s) had the accounting restatement not occurred.</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001446"/>
        </w:rPr>
        <w:t>Stock Ownership and Holding Guidelines</w:t>
      </w:r>
    </w:p>
    <w:p>
      <w:pPr>
        <w:spacing w:after="0" w:line="189"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001446"/>
        </w:rPr>
        <w:t>The Company’s board of directors has adopted Stock Ownership and Holding Guidelines that apply to the Company’s board of directors, the CEO, and the executive officers, including the NEOs. In 2026 the guidelines were increased to require the CEO to attain and maintain ownership of stock equal to five times his annualized base salary, up from four times the value of his annualized base salary. Our guidelines require all other members of the CEO’s executive team to maintain ownership of stock equal to two times their annualized base salary. Non-employee members of the Board are required to attain and maintain ownership of stock equal to five times their cash retainer.</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001446"/>
        </w:rPr>
        <w:t>“Stock Ownership” can include the following, whether owned directly by, or held in trust for the benefit of, the executive or non-employee director or any member of his or her immediate family:</w:t>
      </w:r>
    </w:p>
    <w:p>
      <w:pPr>
        <w:spacing w:after="0" w:line="1" w:lineRule="exact"/>
        <w:rPr>
          <w:sz w:val="20"/>
          <w:szCs w:val="20"/>
          <w:color w:val="auto"/>
        </w:rPr>
      </w:pPr>
    </w:p>
    <w:p>
      <w:pPr>
        <w:ind w:left="580" w:right="240" w:hanging="296"/>
        <w:spacing w:after="0" w:line="250" w:lineRule="auto"/>
        <w:tabs>
          <w:tab w:leader="none" w:pos="580" w:val="left"/>
        </w:tabs>
        <w:numPr>
          <w:ilvl w:val="0"/>
          <w:numId w:val="110"/>
        </w:numPr>
        <w:rPr>
          <w:rFonts w:ascii="Arial" w:cs="Arial" w:eastAsia="Arial" w:hAnsi="Arial"/>
          <w:sz w:val="14"/>
          <w:szCs w:val="14"/>
          <w:color w:val="001446"/>
        </w:rPr>
      </w:pPr>
      <w:r>
        <w:rPr>
          <w:rFonts w:ascii="Arial" w:cs="Arial" w:eastAsia="Arial" w:hAnsi="Arial"/>
          <w:sz w:val="14"/>
          <w:szCs w:val="14"/>
          <w:color w:val="001446"/>
        </w:rPr>
        <w:t>Common stock of the Company, except to the extent such stock is subject to vesting conditions other than conditions based solely on the passage of time.</w:t>
      </w:r>
    </w:p>
    <w:p>
      <w:pPr>
        <w:ind w:left="580" w:right="200" w:hanging="296"/>
        <w:spacing w:after="0" w:line="293" w:lineRule="auto"/>
        <w:tabs>
          <w:tab w:leader="none" w:pos="580" w:val="left"/>
        </w:tabs>
        <w:numPr>
          <w:ilvl w:val="0"/>
          <w:numId w:val="110"/>
        </w:numPr>
        <w:rPr>
          <w:rFonts w:ascii="Arial" w:cs="Arial" w:eastAsia="Arial" w:hAnsi="Arial"/>
          <w:sz w:val="14"/>
          <w:szCs w:val="14"/>
          <w:color w:val="001446"/>
        </w:rPr>
      </w:pPr>
      <w:r>
        <w:rPr>
          <w:rFonts w:ascii="Arial" w:cs="Arial" w:eastAsia="Arial" w:hAnsi="Arial"/>
          <w:sz w:val="14"/>
          <w:szCs w:val="14"/>
          <w:color w:val="001446"/>
        </w:rPr>
        <w:t>Company stock units or similar stock rights granted under the Company’s equity awards which are to be settled in shares of common stock, except to the extent such stock units or rights are subject to vesting conditions other than conditions based solely on the passage of time.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78105</wp:posOffset>
                </wp:positionV>
                <wp:extent cx="6532245" cy="58420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370" o:spid="_x0000_s1395" style="position:absolute;margin-left:-0.1499pt;margin-top:6.1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53"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60"/>
          </w:cols>
          <w:pgMar w:left="820" w:top="1251" w:right="824" w:bottom="1440" w:gutter="0" w:footer="0" w:header="0"/>
        </w:sectPr>
      </w:pPr>
    </w:p>
    <w:bookmarkStart w:id="198" w:name="page199"/>
    <w:bookmarkEnd w:id="198"/>
    <w:p>
      <w:pPr>
        <w:ind w:right="40"/>
        <w:spacing w:after="0" w:line="284" w:lineRule="auto"/>
        <w:rPr>
          <w:sz w:val="20"/>
          <w:szCs w:val="20"/>
          <w:color w:val="auto"/>
        </w:rPr>
      </w:pPr>
      <w:r>
        <w:rPr>
          <w:rFonts w:ascii="Arial" w:cs="Arial" w:eastAsia="Arial" w:hAnsi="Arial"/>
          <w:sz w:val="14"/>
          <w:szCs w:val="14"/>
          <w:color w:val="001446"/>
        </w:rPr>
        <w:t>Unexercised stock options, whether vested or unvested, and unvested performance-based awards do not count towards the guidelines. Executives and directors who are covered by the policy are required to hold 50% of the “net profit shares” resulting from stock option exercises and/or vesting of other stock-based awards until they reach their applicable stock ownership level. “Net profit shares” refers to the number of shares actually held by an executive or director following a vesting or exercise event after covering withholding tax requirements and/or the costs of purchasing common stock.</w:t>
      </w:r>
    </w:p>
    <w:p>
      <w:pPr>
        <w:spacing w:after="0" w:line="120"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001446"/>
        </w:rPr>
        <w:t>Once covered by the stock ownership policy, executives and members of the Board are expected to continuously accumulate qualifying equity until they meet the minimum stock ownership requirement. Once an individual has achieved the required stock ownership level, he/she must maintain stock ownership at or above the required level. As of the Record Date, all the executives and directors subject to this policy have met the requisite ownership guideline or are in compliance with the holding requirement under the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95250</wp:posOffset>
                </wp:positionV>
                <wp:extent cx="653224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6">
                          <a:solidFill>
                            <a:srgbClr val="FF3131"/>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5pt" to="514.15pt,7.5pt" o:allowincell="f" strokecolor="#FF3131" strokeweight="0.78pt"/>
            </w:pict>
          </mc:Fallback>
        </mc:AlternateContent>
      </w:r>
    </w:p>
    <w:p>
      <w:pPr>
        <w:spacing w:after="0" w:line="20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of the Named Executive Officers</w:t>
      </w:r>
    </w:p>
    <w:p>
      <w:pPr>
        <w:spacing w:after="0" w:line="207" w:lineRule="exact"/>
        <w:rPr>
          <w:sz w:val="20"/>
          <w:szCs w:val="20"/>
          <w:color w:val="auto"/>
        </w:rPr>
      </w:pPr>
    </w:p>
    <w:p>
      <w:pPr>
        <w:spacing w:after="0" w:line="275" w:lineRule="auto"/>
        <w:rPr>
          <w:sz w:val="20"/>
          <w:szCs w:val="20"/>
          <w:color w:val="auto"/>
        </w:rPr>
      </w:pPr>
      <w:r>
        <w:rPr>
          <w:rFonts w:ascii="Arial" w:cs="Arial" w:eastAsia="Arial" w:hAnsi="Arial"/>
          <w:sz w:val="14"/>
          <w:szCs w:val="14"/>
          <w:color w:val="001446"/>
        </w:rPr>
        <w:t>In determining target total direct compensation for our NEOs for 2025, the Compensation Committee reviewed independent market data as well as then-current pay levels of the Company’s senior executives, the Company’s pay philosophy and corporate performance, and the individual performance of the NEOs and other executive-specific factors such as criticality, tenure, and skill set relative to external marketplace.</w:t>
      </w:r>
    </w:p>
    <w:p>
      <w:pPr>
        <w:spacing w:after="0" w:line="119"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color w:val="001446"/>
        </w:rPr>
        <w:t>For a discussion of the Company’s performance for the year ended December 31, 2025, see “Proxy Executive Summary-2025 Business Highlights and Link to Pay Decisions” above.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001446"/>
        </w:rPr>
        <w:t>Base Salary</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4"/>
          <w:szCs w:val="14"/>
          <w:color w:val="001446"/>
        </w:rPr>
        <w:t>Our NEOs are located in Israel and their salaries are paid in NIS. In January 2025, the Compensation Committee approved the 2025 base salaries, effective as of January 1, 2025, for each NEO who served at such time. In January 2025, the CEO and his then serving direct reports voluntarily asked the Compensation Committee to approve a 10% percent reduction of their base salary from the beginning of 2025 and until such time as the Company reaches profitability. Mr. Bechor’s and Mr. Porat’s base salaries were not changed as they continued their voluntary 10% reductions in effect since July 2024. In connection with his appointment in March 2025, the Compensation Committee approved the initial base salary of Mr. Alperovitz (1,860,000 NIS), who voluntarily asked for a 10% reduction, like all other NEOs, to 1,674,000 NIS. On January 1, 2025, the Compensation Committee approved an increase to Mr. Huber’s base salary to 1,302,720 NIS, which was voluntarily reduced by 10%, like all other NEOs, to 1,172,448 NIS.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sets forth the base salaries for the NEOs as of December 31, 2024 and December 31, 2025 (or as of the last day of employment for Mr. Porat)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001446"/>
        </w:rPr>
        <w:t>and the aggregate percentage change: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20" w:type="dxa"/>
            <w:vAlign w:val="bottom"/>
            <w:vMerge w:val="restart"/>
            <w:shd w:val="clear" w:color="auto" w:fill="001446"/>
          </w:tcPr>
          <w:p>
            <w:pPr>
              <w:ind w:left="80"/>
              <w:spacing w:after="0"/>
              <w:rPr>
                <w:sz w:val="20"/>
                <w:szCs w:val="20"/>
                <w:color w:val="auto"/>
              </w:rPr>
            </w:pPr>
            <w:r>
              <w:rPr>
                <w:rFonts w:ascii="Arial" w:cs="Arial" w:eastAsia="Arial" w:hAnsi="Arial"/>
                <w:sz w:val="14"/>
                <w:szCs w:val="14"/>
                <w:b w:val="1"/>
                <w:bCs w:val="1"/>
                <w:color w:val="FFFFFF"/>
              </w:rPr>
              <w:t>Name</w:t>
            </w:r>
          </w:p>
        </w:tc>
        <w:tc>
          <w:tcPr>
            <w:tcW w:w="2720" w:type="dxa"/>
            <w:vAlign w:val="bottom"/>
            <w:shd w:val="clear" w:color="auto" w:fill="001446"/>
          </w:tcPr>
          <w:p>
            <w:pPr>
              <w:jc w:val="center"/>
              <w:ind w:left="148"/>
              <w:spacing w:after="0"/>
              <w:rPr>
                <w:sz w:val="20"/>
                <w:szCs w:val="20"/>
                <w:color w:val="auto"/>
              </w:rPr>
            </w:pPr>
            <w:r>
              <w:rPr>
                <w:rFonts w:ascii="Arial" w:cs="Arial" w:eastAsia="Arial" w:hAnsi="Arial"/>
                <w:sz w:val="14"/>
                <w:szCs w:val="14"/>
                <w:b w:val="1"/>
                <w:bCs w:val="1"/>
                <w:color w:val="FFFFFF"/>
              </w:rPr>
              <w:t>2024 Annual</w:t>
            </w:r>
          </w:p>
        </w:tc>
        <w:tc>
          <w:tcPr>
            <w:tcW w:w="2540" w:type="dxa"/>
            <w:vAlign w:val="bottom"/>
            <w:shd w:val="clear" w:color="auto" w:fill="001446"/>
          </w:tcPr>
          <w:p>
            <w:pPr>
              <w:jc w:val="center"/>
              <w:spacing w:after="0"/>
              <w:rPr>
                <w:sz w:val="20"/>
                <w:szCs w:val="20"/>
                <w:color w:val="auto"/>
              </w:rPr>
            </w:pPr>
            <w:r>
              <w:rPr>
                <w:rFonts w:ascii="Arial" w:cs="Arial" w:eastAsia="Arial" w:hAnsi="Arial"/>
                <w:sz w:val="14"/>
                <w:szCs w:val="14"/>
                <w:b w:val="1"/>
                <w:bCs w:val="1"/>
                <w:color w:val="FFFFFF"/>
              </w:rPr>
              <w:t>2025 Annual</w:t>
            </w:r>
          </w:p>
        </w:tc>
        <w:tc>
          <w:tcPr>
            <w:tcW w:w="2700" w:type="dxa"/>
            <w:vAlign w:val="bottom"/>
            <w:shd w:val="clear" w:color="auto" w:fill="001446"/>
          </w:tcPr>
          <w:p>
            <w:pPr>
              <w:jc w:val="center"/>
              <w:ind w:left="128"/>
              <w:spacing w:after="0"/>
              <w:rPr>
                <w:sz w:val="20"/>
                <w:szCs w:val="20"/>
                <w:color w:val="auto"/>
              </w:rPr>
            </w:pPr>
            <w:r>
              <w:rPr>
                <w:rFonts w:ascii="Arial" w:cs="Arial" w:eastAsia="Arial" w:hAnsi="Arial"/>
                <w:sz w:val="14"/>
                <w:szCs w:val="14"/>
                <w:b w:val="1"/>
                <w:bCs w:val="1"/>
                <w:color w:val="FFFFFF"/>
              </w:rPr>
              <w:t>Aggregate Percentage</w:t>
            </w:r>
          </w:p>
        </w:tc>
        <w:tc>
          <w:tcPr>
            <w:tcW w:w="0" w:type="dxa"/>
            <w:vAlign w:val="bottom"/>
          </w:tcPr>
          <w:p>
            <w:pPr>
              <w:spacing w:after="0"/>
              <w:rPr>
                <w:sz w:val="1"/>
                <w:szCs w:val="1"/>
                <w:color w:val="auto"/>
              </w:rPr>
            </w:pPr>
          </w:p>
        </w:tc>
      </w:tr>
      <w:tr>
        <w:trPr>
          <w:trHeight w:val="122"/>
        </w:trPr>
        <w:tc>
          <w:tcPr>
            <w:tcW w:w="2020" w:type="dxa"/>
            <w:vAlign w:val="bottom"/>
            <w:vMerge w:val="continue"/>
            <w:shd w:val="clear" w:color="auto" w:fill="001446"/>
          </w:tcPr>
          <w:p>
            <w:pPr>
              <w:spacing w:after="0"/>
              <w:rPr>
                <w:sz w:val="10"/>
                <w:szCs w:val="10"/>
                <w:color w:val="auto"/>
              </w:rPr>
            </w:pPr>
          </w:p>
        </w:tc>
        <w:tc>
          <w:tcPr>
            <w:tcW w:w="2720" w:type="dxa"/>
            <w:vAlign w:val="bottom"/>
            <w:vMerge w:val="restart"/>
            <w:shd w:val="clear" w:color="auto" w:fill="001446"/>
          </w:tcPr>
          <w:p>
            <w:pPr>
              <w:jc w:val="center"/>
              <w:ind w:left="148"/>
              <w:spacing w:after="0"/>
              <w:rPr>
                <w:sz w:val="20"/>
                <w:szCs w:val="20"/>
                <w:color w:val="auto"/>
              </w:rPr>
            </w:pPr>
            <w:r>
              <w:rPr>
                <w:rFonts w:ascii="Arial" w:cs="Arial" w:eastAsia="Arial" w:hAnsi="Arial"/>
                <w:sz w:val="14"/>
                <w:szCs w:val="14"/>
                <w:b w:val="1"/>
                <w:bCs w:val="1"/>
                <w:color w:val="FFFFFF"/>
              </w:rPr>
              <w:t>Base Salary (NIS)</w:t>
            </w:r>
          </w:p>
        </w:tc>
        <w:tc>
          <w:tcPr>
            <w:tcW w:w="2540" w:type="dxa"/>
            <w:vAlign w:val="bottom"/>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FFFFF"/>
              </w:rPr>
              <w:t>Base Salary (NIS)</w:t>
            </w:r>
          </w:p>
        </w:tc>
        <w:tc>
          <w:tcPr>
            <w:tcW w:w="2700" w:type="dxa"/>
            <w:vAlign w:val="bottom"/>
            <w:vMerge w:val="restart"/>
            <w:shd w:val="clear" w:color="auto" w:fill="001446"/>
          </w:tcPr>
          <w:p>
            <w:pPr>
              <w:jc w:val="center"/>
              <w:ind w:left="128"/>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84"/>
        </w:trPr>
        <w:tc>
          <w:tcPr>
            <w:tcW w:w="2020" w:type="dxa"/>
            <w:vAlign w:val="bottom"/>
            <w:shd w:val="clear" w:color="auto" w:fill="001446"/>
          </w:tcPr>
          <w:p>
            <w:pPr>
              <w:spacing w:after="0"/>
              <w:rPr>
                <w:sz w:val="7"/>
                <w:szCs w:val="7"/>
                <w:color w:val="auto"/>
              </w:rPr>
            </w:pPr>
          </w:p>
        </w:tc>
        <w:tc>
          <w:tcPr>
            <w:tcW w:w="2720" w:type="dxa"/>
            <w:vAlign w:val="bottom"/>
            <w:vMerge w:val="continue"/>
            <w:shd w:val="clear" w:color="auto" w:fill="001446"/>
          </w:tcPr>
          <w:p>
            <w:pPr>
              <w:spacing w:after="0"/>
              <w:rPr>
                <w:sz w:val="7"/>
                <w:szCs w:val="7"/>
                <w:color w:val="auto"/>
              </w:rPr>
            </w:pPr>
          </w:p>
        </w:tc>
        <w:tc>
          <w:tcPr>
            <w:tcW w:w="2540" w:type="dxa"/>
            <w:vAlign w:val="bottom"/>
            <w:vMerge w:val="continue"/>
            <w:shd w:val="clear" w:color="auto" w:fill="001446"/>
          </w:tcPr>
          <w:p>
            <w:pPr>
              <w:spacing w:after="0"/>
              <w:rPr>
                <w:sz w:val="7"/>
                <w:szCs w:val="7"/>
                <w:color w:val="auto"/>
              </w:rPr>
            </w:pPr>
          </w:p>
        </w:tc>
        <w:tc>
          <w:tcPr>
            <w:tcW w:w="2700" w:type="dxa"/>
            <w:vAlign w:val="bottom"/>
            <w:vMerge w:val="continue"/>
            <w:shd w:val="clear" w:color="auto" w:fill="001446"/>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20" w:type="dxa"/>
            <w:vAlign w:val="bottom"/>
            <w:shd w:val="clear" w:color="auto" w:fill="001446"/>
          </w:tcPr>
          <w:p>
            <w:pPr>
              <w:spacing w:after="0"/>
              <w:rPr>
                <w:sz w:val="5"/>
                <w:szCs w:val="5"/>
                <w:color w:val="auto"/>
              </w:rPr>
            </w:pPr>
          </w:p>
        </w:tc>
        <w:tc>
          <w:tcPr>
            <w:tcW w:w="2720" w:type="dxa"/>
            <w:vAlign w:val="bottom"/>
            <w:shd w:val="clear" w:color="auto" w:fill="001446"/>
          </w:tcPr>
          <w:p>
            <w:pPr>
              <w:spacing w:after="0"/>
              <w:rPr>
                <w:sz w:val="5"/>
                <w:szCs w:val="5"/>
                <w:color w:val="auto"/>
              </w:rPr>
            </w:pPr>
          </w:p>
        </w:tc>
        <w:tc>
          <w:tcPr>
            <w:tcW w:w="2540" w:type="dxa"/>
            <w:vAlign w:val="bottom"/>
            <w:shd w:val="clear" w:color="auto" w:fill="001446"/>
          </w:tcPr>
          <w:p>
            <w:pPr>
              <w:spacing w:after="0"/>
              <w:rPr>
                <w:sz w:val="5"/>
                <w:szCs w:val="5"/>
                <w:color w:val="auto"/>
              </w:rPr>
            </w:pPr>
          </w:p>
        </w:tc>
        <w:tc>
          <w:tcPr>
            <w:tcW w:w="2700" w:type="dxa"/>
            <w:vAlign w:val="bottom"/>
            <w:shd w:val="clear" w:color="auto" w:fill="001446"/>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Shuki Nir</w:t>
            </w:r>
          </w:p>
        </w:tc>
        <w:tc>
          <w:tcPr>
            <w:tcW w:w="2720" w:type="dxa"/>
            <w:vAlign w:val="bottom"/>
            <w:tcBorders>
              <w:bottom w:val="single" w:sz="8" w:color="auto"/>
            </w:tcBorders>
            <w:shd w:val="clear" w:color="auto" w:fill="E3E3E3"/>
          </w:tcPr>
          <w:p>
            <w:pPr>
              <w:jc w:val="center"/>
              <w:ind w:left="128"/>
              <w:spacing w:after="0"/>
              <w:rPr>
                <w:sz w:val="20"/>
                <w:szCs w:val="20"/>
                <w:color w:val="auto"/>
              </w:rPr>
            </w:pPr>
            <w:r>
              <w:rPr>
                <w:rFonts w:ascii="Arial" w:cs="Arial" w:eastAsia="Arial" w:hAnsi="Arial"/>
                <w:sz w:val="14"/>
                <w:szCs w:val="14"/>
                <w:color w:val="001446"/>
              </w:rPr>
              <w:t>2,757,432</w:t>
            </w:r>
          </w:p>
        </w:tc>
        <w:tc>
          <w:tcPr>
            <w:tcW w:w="2540" w:type="dxa"/>
            <w:vAlign w:val="bottom"/>
            <w:tcBorders>
              <w:bottom w:val="single" w:sz="8" w:color="auto"/>
            </w:tcBorders>
            <w:shd w:val="clear" w:color="auto" w:fill="E3E3E3"/>
          </w:tcPr>
          <w:p>
            <w:pPr>
              <w:jc w:val="right"/>
              <w:ind w:right="888"/>
              <w:spacing w:after="0"/>
              <w:rPr>
                <w:sz w:val="20"/>
                <w:szCs w:val="20"/>
                <w:color w:val="auto"/>
              </w:rPr>
            </w:pPr>
            <w:r>
              <w:rPr>
                <w:rFonts w:ascii="Arial" w:cs="Arial" w:eastAsia="Arial" w:hAnsi="Arial"/>
                <w:sz w:val="14"/>
                <w:szCs w:val="14"/>
                <w:color w:val="001446"/>
              </w:rPr>
              <w:t>2,481,689</w:t>
            </w:r>
          </w:p>
        </w:tc>
        <w:tc>
          <w:tcPr>
            <w:tcW w:w="2700" w:type="dxa"/>
            <w:vAlign w:val="bottom"/>
            <w:tcBorders>
              <w:bottom w:val="single" w:sz="8" w:color="auto"/>
            </w:tcBorders>
            <w:shd w:val="clear" w:color="auto" w:fill="E3E3E3"/>
          </w:tcPr>
          <w:p>
            <w:pPr>
              <w:jc w:val="center"/>
              <w:ind w:left="128"/>
              <w:spacing w:after="0"/>
              <w:rPr>
                <w:sz w:val="20"/>
                <w:szCs w:val="20"/>
                <w:color w:val="auto"/>
              </w:rPr>
            </w:pPr>
            <w:r>
              <w:rPr>
                <w:rFonts w:ascii="Arial" w:cs="Arial" w:eastAsia="Arial" w:hAnsi="Arial"/>
                <w:sz w:val="14"/>
                <w:szCs w:val="14"/>
                <w:color w:val="001446"/>
              </w:rPr>
              <w:t>(10%)</w:t>
            </w:r>
          </w:p>
        </w:tc>
        <w:tc>
          <w:tcPr>
            <w:tcW w:w="0" w:type="dxa"/>
            <w:vAlign w:val="bottom"/>
          </w:tcPr>
          <w:p>
            <w:pPr>
              <w:spacing w:after="0"/>
              <w:rPr>
                <w:sz w:val="1"/>
                <w:szCs w:val="1"/>
                <w:color w:val="auto"/>
              </w:rPr>
            </w:pPr>
          </w:p>
        </w:tc>
      </w:tr>
      <w:tr>
        <w:trPr>
          <w:trHeight w:val="228"/>
        </w:trPr>
        <w:tc>
          <w:tcPr>
            <w:tcW w:w="2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Asaf Alperovitz</w:t>
            </w:r>
          </w:p>
        </w:tc>
        <w:tc>
          <w:tcPr>
            <w:tcW w:w="27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001446"/>
              </w:rPr>
              <w:t>-</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1,674,000</w:t>
            </w:r>
          </w:p>
        </w:tc>
        <w:tc>
          <w:tcPr>
            <w:tcW w:w="27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001446"/>
              </w:rPr>
              <w:t>NA</w:t>
            </w:r>
          </w:p>
        </w:tc>
        <w:tc>
          <w:tcPr>
            <w:tcW w:w="0" w:type="dxa"/>
            <w:vAlign w:val="bottom"/>
          </w:tcPr>
          <w:p>
            <w:pPr>
              <w:spacing w:after="0"/>
              <w:rPr>
                <w:sz w:val="1"/>
                <w:szCs w:val="1"/>
                <w:color w:val="auto"/>
              </w:rPr>
            </w:pPr>
          </w:p>
        </w:tc>
      </w:tr>
      <w:tr>
        <w:trPr>
          <w:trHeight w:val="228"/>
        </w:trPr>
        <w:tc>
          <w:tcPr>
            <w:tcW w:w="202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Uri Bechor</w:t>
            </w:r>
          </w:p>
        </w:tc>
        <w:tc>
          <w:tcPr>
            <w:tcW w:w="2720" w:type="dxa"/>
            <w:vAlign w:val="bottom"/>
            <w:tcBorders>
              <w:bottom w:val="single" w:sz="8" w:color="auto"/>
            </w:tcBorders>
            <w:shd w:val="clear" w:color="auto" w:fill="E3E3E3"/>
          </w:tcPr>
          <w:p>
            <w:pPr>
              <w:jc w:val="center"/>
              <w:ind w:left="128"/>
              <w:spacing w:after="0"/>
              <w:rPr>
                <w:sz w:val="20"/>
                <w:szCs w:val="20"/>
                <w:color w:val="auto"/>
              </w:rPr>
            </w:pPr>
            <w:r>
              <w:rPr>
                <w:rFonts w:ascii="Arial" w:cs="Arial" w:eastAsia="Arial" w:hAnsi="Arial"/>
                <w:sz w:val="14"/>
                <w:szCs w:val="14"/>
                <w:color w:val="001446"/>
              </w:rPr>
              <w:t>1,602,900</w:t>
            </w:r>
          </w:p>
        </w:tc>
        <w:tc>
          <w:tcPr>
            <w:tcW w:w="254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1,602,900</w:t>
            </w:r>
          </w:p>
        </w:tc>
        <w:tc>
          <w:tcPr>
            <w:tcW w:w="2700" w:type="dxa"/>
            <w:vAlign w:val="bottom"/>
            <w:tcBorders>
              <w:bottom w:val="single" w:sz="8" w:color="auto"/>
            </w:tcBorders>
            <w:shd w:val="clear" w:color="auto" w:fill="E3E3E3"/>
          </w:tcPr>
          <w:p>
            <w:pPr>
              <w:jc w:val="center"/>
              <w:ind w:left="128"/>
              <w:spacing w:after="0"/>
              <w:rPr>
                <w:sz w:val="20"/>
                <w:szCs w:val="20"/>
                <w:color w:val="auto"/>
              </w:rPr>
            </w:pPr>
            <w:r>
              <w:rPr>
                <w:rFonts w:ascii="Arial" w:cs="Arial" w:eastAsia="Arial" w:hAnsi="Arial"/>
                <w:sz w:val="14"/>
                <w:szCs w:val="14"/>
                <w:color w:val="001446"/>
              </w:rPr>
              <w:t>-</w:t>
            </w: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27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001446"/>
              </w:rPr>
              <w:t>1,674,000</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1,674,000</w:t>
            </w:r>
          </w:p>
        </w:tc>
        <w:tc>
          <w:tcPr>
            <w:tcW w:w="27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001446"/>
              </w:rPr>
              <w:t>-</w:t>
            </w:r>
          </w:p>
        </w:tc>
        <w:tc>
          <w:tcPr>
            <w:tcW w:w="0" w:type="dxa"/>
            <w:vAlign w:val="bottom"/>
          </w:tcPr>
          <w:p>
            <w:pPr>
              <w:spacing w:after="0"/>
              <w:rPr>
                <w:sz w:val="1"/>
                <w:szCs w:val="1"/>
                <w:color w:val="auto"/>
              </w:rPr>
            </w:pPr>
          </w:p>
        </w:tc>
      </w:tr>
      <w:tr>
        <w:trPr>
          <w:trHeight w:val="228"/>
        </w:trPr>
        <w:tc>
          <w:tcPr>
            <w:tcW w:w="202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Daniel Huber(1)</w:t>
            </w:r>
          </w:p>
        </w:tc>
        <w:tc>
          <w:tcPr>
            <w:tcW w:w="2720" w:type="dxa"/>
            <w:vAlign w:val="bottom"/>
            <w:tcBorders>
              <w:bottom w:val="single" w:sz="8" w:color="auto"/>
            </w:tcBorders>
            <w:shd w:val="clear" w:color="auto" w:fill="E3E3E3"/>
          </w:tcPr>
          <w:p>
            <w:pPr>
              <w:jc w:val="center"/>
              <w:ind w:left="148"/>
              <w:spacing w:after="0"/>
              <w:rPr>
                <w:sz w:val="20"/>
                <w:szCs w:val="20"/>
                <w:color w:val="auto"/>
              </w:rPr>
            </w:pPr>
            <w:r>
              <w:rPr>
                <w:rFonts w:ascii="Arial" w:cs="Arial" w:eastAsia="Arial" w:hAnsi="Arial"/>
                <w:sz w:val="14"/>
                <w:szCs w:val="14"/>
                <w:color w:val="001446"/>
              </w:rPr>
              <w:t>-</w:t>
            </w:r>
          </w:p>
        </w:tc>
        <w:tc>
          <w:tcPr>
            <w:tcW w:w="254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1,172,448</w:t>
            </w:r>
          </w:p>
        </w:tc>
        <w:tc>
          <w:tcPr>
            <w:tcW w:w="2700" w:type="dxa"/>
            <w:vAlign w:val="bottom"/>
            <w:tcBorders>
              <w:bottom w:val="single" w:sz="8" w:color="auto"/>
            </w:tcBorders>
            <w:shd w:val="clear" w:color="auto" w:fill="E3E3E3"/>
          </w:tcPr>
          <w:p>
            <w:pPr>
              <w:jc w:val="center"/>
              <w:ind w:left="108"/>
              <w:spacing w:after="0"/>
              <w:rPr>
                <w:sz w:val="20"/>
                <w:szCs w:val="20"/>
                <w:color w:val="auto"/>
              </w:rPr>
            </w:pPr>
            <w:r>
              <w:rPr>
                <w:rFonts w:ascii="Arial" w:cs="Arial" w:eastAsia="Arial" w:hAnsi="Arial"/>
                <w:sz w:val="14"/>
                <w:szCs w:val="14"/>
                <w:color w:val="001446"/>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80" w:hanging="296"/>
        <w:spacing w:after="0"/>
        <w:tabs>
          <w:tab w:leader="none" w:pos="580" w:val="left"/>
        </w:tabs>
        <w:numPr>
          <w:ilvl w:val="0"/>
          <w:numId w:val="111"/>
        </w:numPr>
        <w:rPr>
          <w:rFonts w:ascii="Arial" w:cs="Arial" w:eastAsia="Arial" w:hAnsi="Arial"/>
          <w:sz w:val="14"/>
          <w:szCs w:val="14"/>
          <w:color w:val="001446"/>
        </w:rPr>
      </w:pPr>
      <w:r>
        <w:rPr>
          <w:rFonts w:ascii="Arial" w:cs="Arial" w:eastAsia="Arial" w:hAnsi="Arial"/>
          <w:sz w:val="14"/>
          <w:szCs w:val="14"/>
          <w:color w:val="001446"/>
        </w:rPr>
        <w:t>Daniel Huber became an executive officer of the Company as of April 8, 2025.</w:t>
      </w:r>
    </w:p>
    <w:p>
      <w:pPr>
        <w:spacing w:after="0" w:line="200" w:lineRule="exact"/>
        <w:rPr>
          <w:rFonts w:ascii="Arial" w:cs="Arial" w:eastAsia="Arial" w:hAnsi="Arial"/>
          <w:sz w:val="14"/>
          <w:szCs w:val="14"/>
          <w:color w:val="001446"/>
        </w:rPr>
      </w:pPr>
    </w:p>
    <w:p>
      <w:pPr>
        <w:spacing w:after="0" w:line="347" w:lineRule="exact"/>
        <w:rPr>
          <w:rFonts w:ascii="Arial" w:cs="Arial" w:eastAsia="Arial" w:hAnsi="Arial"/>
          <w:sz w:val="14"/>
          <w:szCs w:val="14"/>
          <w:color w:val="001446"/>
        </w:rPr>
      </w:pPr>
    </w:p>
    <w:p>
      <w:pPr>
        <w:ind w:left="620"/>
        <w:spacing w:after="0"/>
        <w:rPr>
          <w:rFonts w:ascii="Arial" w:cs="Arial" w:eastAsia="Arial" w:hAnsi="Arial"/>
          <w:sz w:val="14"/>
          <w:szCs w:val="14"/>
          <w:color w:val="001446"/>
        </w:rPr>
      </w:pPr>
      <w:r>
        <w:rPr>
          <w:rFonts w:ascii="Arial" w:cs="Arial" w:eastAsia="Arial" w:hAnsi="Arial"/>
          <w:sz w:val="16"/>
          <w:szCs w:val="16"/>
          <w:color w:val="FFFFFF"/>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-339725</wp:posOffset>
                </wp:positionV>
                <wp:extent cx="6532245" cy="58420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373" o:spid="_x0000_s1398" style="position:absolute;margin-left:-0.1499pt;margin-top:-26.7499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80"/>
          </w:cols>
          <w:pgMar w:left="820" w:top="1157" w:right="804"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001446"/>
        </w:rPr>
        <w:t>Annual Cash Incentive Compensation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001446"/>
        </w:rPr>
        <w:t>For 2025, each NEO was eligible to receive an annual cash incentive compensation payment based on achievement with respect to pre-established corporate performance goals. At the beginning of 2025 or in connection with their respective appointments, the following target annual cash incentive awards were established by the Compensation Committee, which are pro-rated for any NEOs who were not employed for all of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vMerge w:val="restart"/>
            <w:shd w:val="clear" w:color="auto" w:fill="000F47"/>
          </w:tcPr>
          <w:p>
            <w:pPr>
              <w:ind w:left="80"/>
              <w:spacing w:after="0"/>
              <w:rPr>
                <w:sz w:val="20"/>
                <w:szCs w:val="20"/>
                <w:color w:val="auto"/>
              </w:rPr>
            </w:pPr>
            <w:r>
              <w:rPr>
                <w:rFonts w:ascii="Arial" w:cs="Arial" w:eastAsia="Arial" w:hAnsi="Arial"/>
                <w:sz w:val="14"/>
                <w:szCs w:val="14"/>
                <w:b w:val="1"/>
                <w:bCs w:val="1"/>
                <w:color w:val="FFFFFF"/>
              </w:rPr>
              <w:t>Name</w:t>
            </w:r>
          </w:p>
        </w:tc>
        <w:tc>
          <w:tcPr>
            <w:tcW w:w="6640" w:type="dxa"/>
            <w:vAlign w:val="bottom"/>
            <w:shd w:val="clear" w:color="auto" w:fill="000F47"/>
          </w:tcPr>
          <w:p>
            <w:pPr>
              <w:jc w:val="center"/>
              <w:ind w:left="388"/>
              <w:spacing w:after="0"/>
              <w:rPr>
                <w:sz w:val="20"/>
                <w:szCs w:val="20"/>
                <w:color w:val="auto"/>
              </w:rPr>
            </w:pPr>
            <w:r>
              <w:rPr>
                <w:rFonts w:ascii="Arial" w:cs="Arial" w:eastAsia="Arial" w:hAnsi="Arial"/>
                <w:sz w:val="14"/>
                <w:szCs w:val="14"/>
                <w:b w:val="1"/>
                <w:bCs w:val="1"/>
                <w:color w:val="FFFFFF"/>
              </w:rPr>
              <w:t>2025 Target Annual Incentive Award</w:t>
            </w:r>
          </w:p>
        </w:tc>
        <w:tc>
          <w:tcPr>
            <w:tcW w:w="0" w:type="dxa"/>
            <w:vAlign w:val="bottom"/>
          </w:tcPr>
          <w:p>
            <w:pPr>
              <w:spacing w:after="0"/>
              <w:rPr>
                <w:sz w:val="1"/>
                <w:szCs w:val="1"/>
                <w:color w:val="auto"/>
              </w:rPr>
            </w:pPr>
          </w:p>
        </w:tc>
      </w:tr>
      <w:tr>
        <w:trPr>
          <w:trHeight w:val="122"/>
        </w:trPr>
        <w:tc>
          <w:tcPr>
            <w:tcW w:w="3640" w:type="dxa"/>
            <w:vAlign w:val="bottom"/>
            <w:vMerge w:val="continue"/>
            <w:shd w:val="clear" w:color="auto" w:fill="000F47"/>
          </w:tcPr>
          <w:p>
            <w:pPr>
              <w:spacing w:after="0"/>
              <w:rPr>
                <w:sz w:val="10"/>
                <w:szCs w:val="10"/>
                <w:color w:val="auto"/>
              </w:rPr>
            </w:pPr>
          </w:p>
        </w:tc>
        <w:tc>
          <w:tcPr>
            <w:tcW w:w="6640" w:type="dxa"/>
            <w:vAlign w:val="bottom"/>
            <w:vMerge w:val="restart"/>
            <w:shd w:val="clear" w:color="auto" w:fill="000F47"/>
          </w:tcPr>
          <w:p>
            <w:pPr>
              <w:jc w:val="center"/>
              <w:ind w:left="408"/>
              <w:spacing w:after="0"/>
              <w:rPr>
                <w:sz w:val="20"/>
                <w:szCs w:val="20"/>
                <w:color w:val="auto"/>
              </w:rPr>
            </w:pPr>
            <w:r>
              <w:rPr>
                <w:rFonts w:ascii="Arial" w:cs="Arial" w:eastAsia="Arial" w:hAnsi="Arial"/>
                <w:sz w:val="14"/>
                <w:szCs w:val="14"/>
                <w:b w:val="1"/>
                <w:bCs w:val="1"/>
                <w:color w:val="FFFFFF"/>
              </w:rPr>
              <w:t>(as a % of Base Salary)</w:t>
            </w:r>
          </w:p>
        </w:tc>
        <w:tc>
          <w:tcPr>
            <w:tcW w:w="0" w:type="dxa"/>
            <w:vAlign w:val="bottom"/>
          </w:tcPr>
          <w:p>
            <w:pPr>
              <w:spacing w:after="0"/>
              <w:rPr>
                <w:sz w:val="1"/>
                <w:szCs w:val="1"/>
                <w:color w:val="auto"/>
              </w:rPr>
            </w:pPr>
          </w:p>
        </w:tc>
      </w:tr>
      <w:tr>
        <w:trPr>
          <w:trHeight w:val="84"/>
        </w:trPr>
        <w:tc>
          <w:tcPr>
            <w:tcW w:w="3640" w:type="dxa"/>
            <w:vAlign w:val="bottom"/>
            <w:shd w:val="clear" w:color="auto" w:fill="000F47"/>
          </w:tcPr>
          <w:p>
            <w:pPr>
              <w:spacing w:after="0"/>
              <w:rPr>
                <w:sz w:val="7"/>
                <w:szCs w:val="7"/>
                <w:color w:val="auto"/>
              </w:rPr>
            </w:pPr>
          </w:p>
        </w:tc>
        <w:tc>
          <w:tcPr>
            <w:tcW w:w="6640" w:type="dxa"/>
            <w:vAlign w:val="bottom"/>
            <w:vMerge w:val="continue"/>
            <w:shd w:val="clear" w:color="auto" w:fill="000F47"/>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640" w:type="dxa"/>
            <w:vAlign w:val="bottom"/>
            <w:shd w:val="clear" w:color="auto" w:fill="000F47"/>
          </w:tcPr>
          <w:p>
            <w:pPr>
              <w:spacing w:after="0"/>
              <w:rPr>
                <w:sz w:val="5"/>
                <w:szCs w:val="5"/>
                <w:color w:val="auto"/>
              </w:rPr>
            </w:pPr>
          </w:p>
        </w:tc>
        <w:tc>
          <w:tcPr>
            <w:tcW w:w="6640" w:type="dxa"/>
            <w:vAlign w:val="bottom"/>
            <w:shd w:val="clear" w:color="auto" w:fill="000F47"/>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Shuki Nir</w:t>
            </w:r>
          </w:p>
        </w:tc>
        <w:tc>
          <w:tcPr>
            <w:tcW w:w="66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001446"/>
              </w:rPr>
              <w:t>100%</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Asaf Alperovitz(1)</w:t>
            </w:r>
          </w:p>
        </w:tc>
        <w:tc>
          <w:tcPr>
            <w:tcW w:w="66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66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r>
        <w:trPr>
          <w:trHeight w:val="227"/>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Uri Bechor</w:t>
            </w:r>
          </w:p>
        </w:tc>
        <w:tc>
          <w:tcPr>
            <w:tcW w:w="66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001446"/>
                <w:w w:val="99"/>
              </w:rPr>
              <w:t>80%</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Daniel Huber</w:t>
            </w:r>
          </w:p>
        </w:tc>
        <w:tc>
          <w:tcPr>
            <w:tcW w:w="66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0" w:right="80" w:hanging="296"/>
        <w:spacing w:after="0" w:line="299" w:lineRule="auto"/>
        <w:tabs>
          <w:tab w:leader="none" w:pos="580" w:val="left"/>
        </w:tabs>
        <w:numPr>
          <w:ilvl w:val="0"/>
          <w:numId w:val="112"/>
        </w:numPr>
        <w:rPr>
          <w:rFonts w:ascii="Arial" w:cs="Arial" w:eastAsia="Arial" w:hAnsi="Arial"/>
          <w:sz w:val="14"/>
          <w:szCs w:val="14"/>
          <w:color w:val="001446"/>
        </w:rPr>
      </w:pPr>
      <w:r>
        <w:rPr>
          <w:rFonts w:ascii="Arial" w:cs="Arial" w:eastAsia="Arial" w:hAnsi="Arial"/>
          <w:sz w:val="14"/>
          <w:szCs w:val="14"/>
          <w:color w:val="001446"/>
        </w:rPr>
        <w:t>Asaf Alperovitz, our CFO was appointed on March 3, 2025, his 2025 target annual incentive award was pro rated to 62.5% for the period of 2025 during which he was employed by the Company.</w:t>
      </w:r>
    </w:p>
    <w:p>
      <w:pPr>
        <w:spacing w:after="0" w:line="103"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001446"/>
        </w:rPr>
        <w:t>For all of the NEOs, any payments under the annual cash incentive compensation program are contingent upon the Company achieving threshold performance with respect to the performance measures. The table below sets forth the performance measures and targets approved by the Compensation Committee in February 2025, the actual performance of such measures and the resulting payout percentage. No bonus would have been payable under the 2025 Executive Bonus Plan had the Company not reached a minimum of $1 billion in revenues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76835</wp:posOffset>
            </wp:positionV>
            <wp:extent cx="6545580" cy="20878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3">
                      <a:extLst>
                        <a:ext uri="{28A0092B-C50C-407E-A947-70E740481C1C}"/>
                      </a:extLst>
                    </a:blip>
                    <a:srcRect/>
                    <a:stretch>
                      <a:fillRect/>
                    </a:stretch>
                  </pic:blipFill>
                  <pic:spPr bwMode="auto">
                    <a:xfrm>
                      <a:off x="0" y="0"/>
                      <a:ext cx="6545580" cy="208788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Borders>
              <w:right w:val="single" w:sz="8" w:color="001446"/>
            </w:tcBorders>
          </w:tcPr>
          <w:p>
            <w:pPr>
              <w:spacing w:after="0"/>
              <w:rPr>
                <w:sz w:val="18"/>
                <w:szCs w:val="18"/>
                <w:color w:val="auto"/>
              </w:rPr>
            </w:pPr>
          </w:p>
        </w:tc>
        <w:tc>
          <w:tcPr>
            <w:tcW w:w="1340" w:type="dxa"/>
            <w:vAlign w:val="bottom"/>
            <w:tcBorders>
              <w:top w:val="single" w:sz="8" w:color="auto"/>
              <w:bottom w:val="single" w:sz="8" w:color="auto"/>
              <w:right w:val="single" w:sz="8" w:color="001446"/>
            </w:tcBorders>
            <w:gridSpan w:val="6"/>
            <w:vMerge w:val="restart"/>
            <w:shd w:val="clear" w:color="auto" w:fill="001446"/>
          </w:tcPr>
          <w:p>
            <w:pPr>
              <w:ind w:left="400"/>
              <w:spacing w:after="0"/>
              <w:rPr>
                <w:sz w:val="20"/>
                <w:szCs w:val="20"/>
                <w:color w:val="auto"/>
              </w:rPr>
            </w:pPr>
            <w:r>
              <w:rPr>
                <w:rFonts w:ascii="Arial" w:cs="Arial" w:eastAsia="Arial" w:hAnsi="Arial"/>
                <w:sz w:val="13"/>
                <w:szCs w:val="13"/>
                <w:b w:val="1"/>
                <w:bCs w:val="1"/>
                <w:color w:val="FFFFFF"/>
              </w:rPr>
              <w:t>Measure</w:t>
            </w:r>
          </w:p>
        </w:tc>
        <w:tc>
          <w:tcPr>
            <w:tcW w:w="40" w:type="dxa"/>
            <w:vAlign w:val="bottom"/>
            <w:tcBorders>
              <w:top w:val="single" w:sz="8" w:color="001446"/>
              <w:bottom w:val="single" w:sz="8" w:color="001446"/>
            </w:tcBorders>
            <w:shd w:val="clear" w:color="auto" w:fill="001446"/>
          </w:tcPr>
          <w:p>
            <w:pPr>
              <w:spacing w:after="0"/>
              <w:rPr>
                <w:sz w:val="18"/>
                <w:szCs w:val="18"/>
                <w:color w:val="auto"/>
              </w:rPr>
            </w:pPr>
          </w:p>
        </w:tc>
        <w:tc>
          <w:tcPr>
            <w:tcW w:w="80" w:type="dxa"/>
            <w:vAlign w:val="bottom"/>
            <w:tcBorders>
              <w:top w:val="single" w:sz="8" w:color="001446"/>
              <w:bottom w:val="single" w:sz="8" w:color="001446"/>
            </w:tcBorders>
            <w:shd w:val="clear" w:color="auto" w:fill="001446"/>
          </w:tcPr>
          <w:p>
            <w:pPr>
              <w:spacing w:after="0"/>
              <w:rPr>
                <w:sz w:val="18"/>
                <w:szCs w:val="18"/>
                <w:color w:val="auto"/>
              </w:rPr>
            </w:pPr>
          </w:p>
        </w:tc>
        <w:tc>
          <w:tcPr>
            <w:tcW w:w="800" w:type="dxa"/>
            <w:vAlign w:val="bottom"/>
            <w:tcBorders>
              <w:top w:val="single" w:sz="8" w:color="001446"/>
              <w:bottom w:val="single" w:sz="8" w:color="001446"/>
            </w:tcBorders>
            <w:vMerge w:val="restart"/>
            <w:shd w:val="clear" w:color="auto" w:fill="001446"/>
          </w:tcPr>
          <w:p>
            <w:pPr>
              <w:ind w:left="120"/>
              <w:spacing w:after="0"/>
              <w:rPr>
                <w:sz w:val="20"/>
                <w:szCs w:val="20"/>
                <w:color w:val="auto"/>
              </w:rPr>
            </w:pPr>
            <w:r>
              <w:rPr>
                <w:rFonts w:ascii="Arial" w:cs="Arial" w:eastAsia="Arial" w:hAnsi="Arial"/>
                <w:sz w:val="13"/>
                <w:szCs w:val="13"/>
                <w:b w:val="1"/>
                <w:bCs w:val="1"/>
                <w:color w:val="FFFFFF"/>
              </w:rPr>
              <w:t>Weight</w:t>
            </w:r>
          </w:p>
        </w:tc>
        <w:tc>
          <w:tcPr>
            <w:tcW w:w="1300" w:type="dxa"/>
            <w:vAlign w:val="bottom"/>
            <w:tcBorders>
              <w:top w:val="single" w:sz="8" w:color="001446"/>
              <w:bottom w:val="single" w:sz="8" w:color="2E90D6"/>
            </w:tcBorders>
            <w:shd w:val="clear" w:color="auto" w:fill="001446"/>
          </w:tcPr>
          <w:p>
            <w:pPr>
              <w:spacing w:after="0"/>
              <w:rPr>
                <w:sz w:val="18"/>
                <w:szCs w:val="18"/>
                <w:color w:val="auto"/>
              </w:rPr>
            </w:pPr>
          </w:p>
        </w:tc>
        <w:tc>
          <w:tcPr>
            <w:tcW w:w="40" w:type="dxa"/>
            <w:vAlign w:val="bottom"/>
            <w:tcBorders>
              <w:top w:val="single" w:sz="8" w:color="001446"/>
              <w:bottom w:val="single" w:sz="8" w:color="2E90D6"/>
            </w:tcBorders>
            <w:shd w:val="clear" w:color="auto" w:fill="001446"/>
          </w:tcPr>
          <w:p>
            <w:pPr>
              <w:spacing w:after="0"/>
              <w:rPr>
                <w:sz w:val="18"/>
                <w:szCs w:val="18"/>
                <w:color w:val="auto"/>
              </w:rPr>
            </w:pPr>
          </w:p>
        </w:tc>
        <w:tc>
          <w:tcPr>
            <w:tcW w:w="140" w:type="dxa"/>
            <w:vAlign w:val="bottom"/>
            <w:tcBorders>
              <w:top w:val="single" w:sz="8" w:color="001446"/>
              <w:bottom w:val="single" w:sz="8" w:color="2E90D6"/>
            </w:tcBorders>
            <w:shd w:val="clear" w:color="auto" w:fill="001446"/>
          </w:tcPr>
          <w:p>
            <w:pPr>
              <w:spacing w:after="0"/>
              <w:rPr>
                <w:sz w:val="18"/>
                <w:szCs w:val="18"/>
                <w:color w:val="auto"/>
              </w:rPr>
            </w:pPr>
          </w:p>
        </w:tc>
        <w:tc>
          <w:tcPr>
            <w:tcW w:w="80" w:type="dxa"/>
            <w:vAlign w:val="bottom"/>
            <w:tcBorders>
              <w:top w:val="single" w:sz="8" w:color="001446"/>
              <w:bottom w:val="single" w:sz="8" w:color="2E90D6"/>
            </w:tcBorders>
            <w:shd w:val="clear" w:color="auto" w:fill="001446"/>
          </w:tcPr>
          <w:p>
            <w:pPr>
              <w:spacing w:after="0"/>
              <w:rPr>
                <w:sz w:val="18"/>
                <w:szCs w:val="18"/>
                <w:color w:val="auto"/>
              </w:rPr>
            </w:pPr>
          </w:p>
        </w:tc>
        <w:tc>
          <w:tcPr>
            <w:tcW w:w="1420" w:type="dxa"/>
            <w:vAlign w:val="bottom"/>
            <w:tcBorders>
              <w:top w:val="single" w:sz="8" w:color="001446"/>
              <w:bottom w:val="single" w:sz="8" w:color="2E90D6"/>
            </w:tcBorders>
            <w:gridSpan w:val="2"/>
            <w:shd w:val="clear" w:color="auto" w:fill="001446"/>
          </w:tcPr>
          <w:p>
            <w:pPr>
              <w:ind w:left="80"/>
              <w:spacing w:after="0"/>
              <w:rPr>
                <w:sz w:val="20"/>
                <w:szCs w:val="20"/>
                <w:color w:val="auto"/>
              </w:rPr>
            </w:pPr>
            <w:r>
              <w:rPr>
                <w:rFonts w:ascii="Arial" w:cs="Arial" w:eastAsia="Arial" w:hAnsi="Arial"/>
                <w:sz w:val="13"/>
                <w:szCs w:val="13"/>
                <w:b w:val="1"/>
                <w:bCs w:val="1"/>
                <w:color w:val="FFFFFF"/>
              </w:rPr>
              <w:t>Achievement Range</w:t>
            </w:r>
          </w:p>
        </w:tc>
        <w:tc>
          <w:tcPr>
            <w:tcW w:w="1540" w:type="dxa"/>
            <w:vAlign w:val="bottom"/>
            <w:tcBorders>
              <w:top w:val="single" w:sz="8" w:color="001446"/>
              <w:bottom w:val="single" w:sz="8" w:color="2E90D6"/>
            </w:tcBorders>
            <w:shd w:val="clear" w:color="auto" w:fill="001446"/>
          </w:tcPr>
          <w:p>
            <w:pPr>
              <w:spacing w:after="0"/>
              <w:rPr>
                <w:sz w:val="18"/>
                <w:szCs w:val="18"/>
                <w:color w:val="auto"/>
              </w:rPr>
            </w:pPr>
          </w:p>
        </w:tc>
        <w:tc>
          <w:tcPr>
            <w:tcW w:w="280" w:type="dxa"/>
            <w:vAlign w:val="bottom"/>
            <w:tcBorders>
              <w:top w:val="single" w:sz="8" w:color="001446"/>
              <w:bottom w:val="single" w:sz="8" w:color="001446"/>
            </w:tcBorders>
            <w:shd w:val="clear" w:color="auto" w:fill="001446"/>
          </w:tcPr>
          <w:p>
            <w:pPr>
              <w:spacing w:after="0"/>
              <w:rPr>
                <w:sz w:val="18"/>
                <w:szCs w:val="18"/>
                <w:color w:val="auto"/>
              </w:rPr>
            </w:pPr>
          </w:p>
        </w:tc>
        <w:tc>
          <w:tcPr>
            <w:tcW w:w="60" w:type="dxa"/>
            <w:vAlign w:val="bottom"/>
            <w:tcBorders>
              <w:top w:val="single" w:sz="8" w:color="001446"/>
              <w:bottom w:val="single" w:sz="8" w:color="001446"/>
            </w:tcBorders>
            <w:shd w:val="clear" w:color="auto" w:fill="001446"/>
          </w:tcPr>
          <w:p>
            <w:pPr>
              <w:spacing w:after="0"/>
              <w:rPr>
                <w:sz w:val="18"/>
                <w:szCs w:val="18"/>
                <w:color w:val="auto"/>
              </w:rPr>
            </w:pPr>
          </w:p>
        </w:tc>
        <w:tc>
          <w:tcPr>
            <w:tcW w:w="1100" w:type="dxa"/>
            <w:vAlign w:val="bottom"/>
            <w:tcBorders>
              <w:top w:val="single" w:sz="8" w:color="001446"/>
              <w:bottom w:val="single" w:sz="8" w:color="001446"/>
            </w:tcBorders>
            <w:vMerge w:val="restart"/>
            <w:shd w:val="clear" w:color="auto" w:fill="001446"/>
          </w:tcPr>
          <w:p>
            <w:pPr>
              <w:jc w:val="center"/>
              <w:ind w:right="396"/>
              <w:spacing w:after="0"/>
              <w:rPr>
                <w:sz w:val="20"/>
                <w:szCs w:val="20"/>
                <w:color w:val="auto"/>
              </w:rPr>
            </w:pPr>
            <w:r>
              <w:rPr>
                <w:rFonts w:ascii="Arial" w:cs="Arial" w:eastAsia="Arial" w:hAnsi="Arial"/>
                <w:sz w:val="13"/>
                <w:szCs w:val="13"/>
                <w:b w:val="1"/>
                <w:bCs w:val="1"/>
                <w:color w:val="FFFFFF"/>
              </w:rPr>
              <w:t>Actual</w:t>
            </w:r>
          </w:p>
        </w:tc>
        <w:tc>
          <w:tcPr>
            <w:tcW w:w="60" w:type="dxa"/>
            <w:vAlign w:val="bottom"/>
            <w:tcBorders>
              <w:top w:val="single" w:sz="8" w:color="001446"/>
              <w:bottom w:val="single" w:sz="8" w:color="001446"/>
            </w:tcBorders>
            <w:shd w:val="clear" w:color="auto" w:fill="001446"/>
          </w:tcPr>
          <w:p>
            <w:pPr>
              <w:spacing w:after="0"/>
              <w:rPr>
                <w:sz w:val="18"/>
                <w:szCs w:val="18"/>
                <w:color w:val="auto"/>
              </w:rPr>
            </w:pPr>
          </w:p>
        </w:tc>
        <w:tc>
          <w:tcPr>
            <w:tcW w:w="960" w:type="dxa"/>
            <w:vAlign w:val="bottom"/>
            <w:tcBorders>
              <w:top w:val="single" w:sz="8" w:color="001446"/>
              <w:bottom w:val="single" w:sz="8" w:color="001446"/>
            </w:tcBorders>
            <w:gridSpan w:val="2"/>
            <w:shd w:val="clear" w:color="auto" w:fill="001446"/>
          </w:tcPr>
          <w:p>
            <w:pPr>
              <w:jc w:val="center"/>
              <w:ind w:right="160"/>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Borders>
              <w:right w:val="single" w:sz="8" w:color="001446"/>
            </w:tcBorders>
          </w:tcPr>
          <w:p>
            <w:pPr>
              <w:spacing w:after="0"/>
              <w:rPr>
                <w:sz w:val="3"/>
                <w:szCs w:val="3"/>
                <w:color w:val="auto"/>
              </w:rPr>
            </w:pPr>
          </w:p>
        </w:tc>
        <w:tc>
          <w:tcPr>
            <w:tcW w:w="1340" w:type="dxa"/>
            <w:vAlign w:val="bottom"/>
            <w:tcBorders>
              <w:right w:val="single" w:sz="8" w:color="001446"/>
            </w:tcBorders>
            <w:gridSpan w:val="6"/>
            <w:vMerge w:val="continue"/>
            <w:shd w:val="clear" w:color="auto" w:fill="001446"/>
          </w:tcPr>
          <w:p>
            <w:pPr>
              <w:spacing w:after="0"/>
              <w:rPr>
                <w:sz w:val="3"/>
                <w:szCs w:val="3"/>
                <w:color w:val="auto"/>
              </w:rPr>
            </w:pPr>
          </w:p>
        </w:tc>
        <w:tc>
          <w:tcPr>
            <w:tcW w:w="40" w:type="dxa"/>
            <w:vAlign w:val="bottom"/>
            <w:shd w:val="clear" w:color="auto" w:fill="001446"/>
          </w:tcPr>
          <w:p>
            <w:pPr>
              <w:spacing w:after="0"/>
              <w:rPr>
                <w:sz w:val="3"/>
                <w:szCs w:val="3"/>
                <w:color w:val="auto"/>
              </w:rPr>
            </w:pPr>
          </w:p>
        </w:tc>
        <w:tc>
          <w:tcPr>
            <w:tcW w:w="80" w:type="dxa"/>
            <w:vAlign w:val="bottom"/>
            <w:shd w:val="clear" w:color="auto" w:fill="001446"/>
          </w:tcPr>
          <w:p>
            <w:pPr>
              <w:spacing w:after="0"/>
              <w:rPr>
                <w:sz w:val="3"/>
                <w:szCs w:val="3"/>
                <w:color w:val="auto"/>
              </w:rPr>
            </w:pPr>
          </w:p>
        </w:tc>
        <w:tc>
          <w:tcPr>
            <w:tcW w:w="800" w:type="dxa"/>
            <w:vAlign w:val="bottom"/>
            <w:vMerge w:val="continue"/>
            <w:shd w:val="clear" w:color="auto" w:fill="001446"/>
          </w:tcPr>
          <w:p>
            <w:pPr>
              <w:spacing w:after="0"/>
              <w:rPr>
                <w:sz w:val="3"/>
                <w:szCs w:val="3"/>
                <w:color w:val="auto"/>
              </w:rPr>
            </w:pPr>
          </w:p>
        </w:tc>
        <w:tc>
          <w:tcPr>
            <w:tcW w:w="13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40" w:type="dxa"/>
            <w:vAlign w:val="bottom"/>
            <w:shd w:val="clear" w:color="auto" w:fill="001446"/>
          </w:tcPr>
          <w:p>
            <w:pPr>
              <w:spacing w:after="0"/>
              <w:rPr>
                <w:sz w:val="3"/>
                <w:szCs w:val="3"/>
                <w:color w:val="auto"/>
              </w:rPr>
            </w:pPr>
          </w:p>
        </w:tc>
        <w:tc>
          <w:tcPr>
            <w:tcW w:w="140" w:type="dxa"/>
            <w:vAlign w:val="bottom"/>
            <w:shd w:val="clear" w:color="auto" w:fill="001446"/>
          </w:tcPr>
          <w:p>
            <w:pPr>
              <w:spacing w:after="0"/>
              <w:rPr>
                <w:sz w:val="3"/>
                <w:szCs w:val="3"/>
                <w:color w:val="auto"/>
              </w:rPr>
            </w:pPr>
          </w:p>
        </w:tc>
        <w:tc>
          <w:tcPr>
            <w:tcW w:w="80" w:type="dxa"/>
            <w:vAlign w:val="bottom"/>
            <w:shd w:val="clear" w:color="auto" w:fill="001446"/>
          </w:tcPr>
          <w:p>
            <w:pPr>
              <w:spacing w:after="0"/>
              <w:rPr>
                <w:sz w:val="3"/>
                <w:szCs w:val="3"/>
                <w:color w:val="auto"/>
              </w:rPr>
            </w:pPr>
          </w:p>
        </w:tc>
        <w:tc>
          <w:tcPr>
            <w:tcW w:w="1420" w:type="dxa"/>
            <w:vAlign w:val="bottom"/>
            <w:gridSpan w:val="2"/>
            <w:vMerge w:val="restart"/>
            <w:shd w:val="clear" w:color="auto" w:fill="001446"/>
          </w:tcPr>
          <w:p>
            <w:pPr>
              <w:jc w:val="center"/>
              <w:ind w:right="640"/>
              <w:spacing w:after="0"/>
              <w:rPr>
                <w:sz w:val="20"/>
                <w:szCs w:val="20"/>
                <w:color w:val="auto"/>
              </w:rPr>
            </w:pPr>
            <w:r>
              <w:rPr>
                <w:rFonts w:ascii="Arial" w:cs="Arial" w:eastAsia="Arial" w:hAnsi="Arial"/>
                <w:sz w:val="13"/>
                <w:szCs w:val="13"/>
                <w:b w:val="1"/>
                <w:bCs w:val="1"/>
                <w:color w:val="FFFFFF"/>
                <w:w w:val="95"/>
              </w:rPr>
              <w:t>Target</w:t>
            </w:r>
          </w:p>
        </w:tc>
        <w:tc>
          <w:tcPr>
            <w:tcW w:w="1820" w:type="dxa"/>
            <w:vAlign w:val="bottom"/>
            <w:gridSpan w:val="2"/>
            <w:vMerge w:val="restart"/>
            <w:shd w:val="clear" w:color="auto" w:fill="001446"/>
          </w:tcPr>
          <w:p>
            <w:pPr>
              <w:jc w:val="center"/>
              <w:ind w:right="700"/>
              <w:spacing w:after="0"/>
              <w:rPr>
                <w:sz w:val="20"/>
                <w:szCs w:val="20"/>
                <w:color w:val="auto"/>
              </w:rPr>
            </w:pPr>
            <w:r>
              <w:rPr>
                <w:rFonts w:ascii="Arial" w:cs="Arial" w:eastAsia="Arial" w:hAnsi="Arial"/>
                <w:sz w:val="13"/>
                <w:szCs w:val="13"/>
                <w:b w:val="1"/>
                <w:bCs w:val="1"/>
                <w:color w:val="FFFFFF"/>
                <w:w w:val="99"/>
              </w:rPr>
              <w:t>Maximum</w:t>
            </w:r>
          </w:p>
        </w:tc>
        <w:tc>
          <w:tcPr>
            <w:tcW w:w="60" w:type="dxa"/>
            <w:vAlign w:val="bottom"/>
            <w:shd w:val="clear" w:color="auto" w:fill="001446"/>
          </w:tcPr>
          <w:p>
            <w:pPr>
              <w:spacing w:after="0"/>
              <w:rPr>
                <w:sz w:val="3"/>
                <w:szCs w:val="3"/>
                <w:color w:val="auto"/>
              </w:rPr>
            </w:pPr>
          </w:p>
        </w:tc>
        <w:tc>
          <w:tcPr>
            <w:tcW w:w="1100" w:type="dxa"/>
            <w:vAlign w:val="bottom"/>
            <w:vMerge w:val="continue"/>
            <w:shd w:val="clear" w:color="auto" w:fill="001446"/>
          </w:tcPr>
          <w:p>
            <w:pPr>
              <w:spacing w:after="0"/>
              <w:rPr>
                <w:sz w:val="3"/>
                <w:szCs w:val="3"/>
                <w:color w:val="auto"/>
              </w:rPr>
            </w:pPr>
          </w:p>
        </w:tc>
        <w:tc>
          <w:tcPr>
            <w:tcW w:w="60" w:type="dxa"/>
            <w:vAlign w:val="bottom"/>
            <w:shd w:val="clear" w:color="auto" w:fill="001446"/>
          </w:tcPr>
          <w:p>
            <w:pPr>
              <w:spacing w:after="0"/>
              <w:rPr>
                <w:sz w:val="3"/>
                <w:szCs w:val="3"/>
                <w:color w:val="auto"/>
              </w:rPr>
            </w:pPr>
          </w:p>
        </w:tc>
        <w:tc>
          <w:tcPr>
            <w:tcW w:w="960" w:type="dxa"/>
            <w:vAlign w:val="bottom"/>
            <w:gridSpan w:val="2"/>
            <w:vMerge w:val="restart"/>
            <w:shd w:val="clear" w:color="auto" w:fill="001446"/>
          </w:tcPr>
          <w:p>
            <w:pPr>
              <w:jc w:val="center"/>
              <w:ind w:right="160"/>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right w:val="single" w:sz="8" w:color="001446"/>
            </w:tcBorders>
          </w:tcPr>
          <w:p>
            <w:pPr>
              <w:spacing w:after="0"/>
              <w:rPr>
                <w:sz w:val="11"/>
                <w:szCs w:val="11"/>
                <w:color w:val="auto"/>
              </w:rPr>
            </w:pPr>
          </w:p>
        </w:tc>
        <w:tc>
          <w:tcPr>
            <w:tcW w:w="1340" w:type="dxa"/>
            <w:vAlign w:val="bottom"/>
            <w:tcBorders>
              <w:right w:val="single" w:sz="8" w:color="001446"/>
            </w:tcBorders>
            <w:gridSpan w:val="6"/>
            <w:vMerge w:val="continue"/>
            <w:shd w:val="clear" w:color="auto" w:fill="001446"/>
          </w:tcPr>
          <w:p>
            <w:pPr>
              <w:spacing w:after="0"/>
              <w:rPr>
                <w:sz w:val="11"/>
                <w:szCs w:val="11"/>
                <w:color w:val="auto"/>
              </w:rPr>
            </w:pPr>
          </w:p>
        </w:tc>
        <w:tc>
          <w:tcPr>
            <w:tcW w:w="40" w:type="dxa"/>
            <w:vAlign w:val="bottom"/>
            <w:shd w:val="clear" w:color="auto" w:fill="001446"/>
          </w:tcPr>
          <w:p>
            <w:pPr>
              <w:spacing w:after="0"/>
              <w:rPr>
                <w:sz w:val="11"/>
                <w:szCs w:val="11"/>
                <w:color w:val="auto"/>
              </w:rPr>
            </w:pPr>
          </w:p>
        </w:tc>
        <w:tc>
          <w:tcPr>
            <w:tcW w:w="80" w:type="dxa"/>
            <w:vAlign w:val="bottom"/>
            <w:shd w:val="clear" w:color="auto" w:fill="001446"/>
          </w:tcPr>
          <w:p>
            <w:pPr>
              <w:spacing w:after="0"/>
              <w:rPr>
                <w:sz w:val="11"/>
                <w:szCs w:val="11"/>
                <w:color w:val="auto"/>
              </w:rPr>
            </w:pPr>
          </w:p>
        </w:tc>
        <w:tc>
          <w:tcPr>
            <w:tcW w:w="800" w:type="dxa"/>
            <w:vAlign w:val="bottom"/>
            <w:vMerge w:val="continue"/>
            <w:shd w:val="clear" w:color="auto" w:fill="001446"/>
          </w:tcPr>
          <w:p>
            <w:pPr>
              <w:spacing w:after="0"/>
              <w:rPr>
                <w:sz w:val="11"/>
                <w:szCs w:val="11"/>
                <w:color w:val="auto"/>
              </w:rPr>
            </w:pPr>
          </w:p>
        </w:tc>
        <w:tc>
          <w:tcPr>
            <w:tcW w:w="1300" w:type="dxa"/>
            <w:vAlign w:val="bottom"/>
            <w:vMerge w:val="continue"/>
            <w:shd w:val="clear" w:color="auto" w:fill="001446"/>
          </w:tcPr>
          <w:p>
            <w:pPr>
              <w:spacing w:after="0"/>
              <w:rPr>
                <w:sz w:val="11"/>
                <w:szCs w:val="11"/>
                <w:color w:val="auto"/>
              </w:rPr>
            </w:pPr>
          </w:p>
        </w:tc>
        <w:tc>
          <w:tcPr>
            <w:tcW w:w="40" w:type="dxa"/>
            <w:vAlign w:val="bottom"/>
            <w:shd w:val="clear" w:color="auto" w:fill="001446"/>
          </w:tcPr>
          <w:p>
            <w:pPr>
              <w:spacing w:after="0"/>
              <w:rPr>
                <w:sz w:val="11"/>
                <w:szCs w:val="11"/>
                <w:color w:val="auto"/>
              </w:rPr>
            </w:pPr>
          </w:p>
        </w:tc>
        <w:tc>
          <w:tcPr>
            <w:tcW w:w="140" w:type="dxa"/>
            <w:vAlign w:val="bottom"/>
            <w:shd w:val="clear" w:color="auto" w:fill="001446"/>
          </w:tcPr>
          <w:p>
            <w:pPr>
              <w:spacing w:after="0"/>
              <w:rPr>
                <w:sz w:val="11"/>
                <w:szCs w:val="11"/>
                <w:color w:val="auto"/>
              </w:rPr>
            </w:pPr>
          </w:p>
        </w:tc>
        <w:tc>
          <w:tcPr>
            <w:tcW w:w="80" w:type="dxa"/>
            <w:vAlign w:val="bottom"/>
            <w:shd w:val="clear" w:color="auto" w:fill="001446"/>
          </w:tcPr>
          <w:p>
            <w:pPr>
              <w:spacing w:after="0"/>
              <w:rPr>
                <w:sz w:val="11"/>
                <w:szCs w:val="11"/>
                <w:color w:val="auto"/>
              </w:rPr>
            </w:pPr>
          </w:p>
        </w:tc>
        <w:tc>
          <w:tcPr>
            <w:tcW w:w="1420" w:type="dxa"/>
            <w:vAlign w:val="bottom"/>
            <w:gridSpan w:val="2"/>
            <w:vMerge w:val="continue"/>
            <w:shd w:val="clear" w:color="auto" w:fill="001446"/>
          </w:tcPr>
          <w:p>
            <w:pPr>
              <w:spacing w:after="0"/>
              <w:rPr>
                <w:sz w:val="11"/>
                <w:szCs w:val="11"/>
                <w:color w:val="auto"/>
              </w:rPr>
            </w:pPr>
          </w:p>
        </w:tc>
        <w:tc>
          <w:tcPr>
            <w:tcW w:w="1820" w:type="dxa"/>
            <w:vAlign w:val="bottom"/>
            <w:gridSpan w:val="2"/>
            <w:vMerge w:val="continue"/>
            <w:shd w:val="clear" w:color="auto" w:fill="001446"/>
          </w:tcPr>
          <w:p>
            <w:pPr>
              <w:spacing w:after="0"/>
              <w:rPr>
                <w:sz w:val="11"/>
                <w:szCs w:val="11"/>
                <w:color w:val="auto"/>
              </w:rPr>
            </w:pPr>
          </w:p>
        </w:tc>
        <w:tc>
          <w:tcPr>
            <w:tcW w:w="1160" w:type="dxa"/>
            <w:vAlign w:val="bottom"/>
            <w:gridSpan w:val="2"/>
            <w:shd w:val="clear" w:color="auto" w:fill="001446"/>
          </w:tcPr>
          <w:p>
            <w:pPr>
              <w:jc w:val="center"/>
              <w:ind w:right="316"/>
              <w:spacing w:after="0" w:line="134" w:lineRule="exact"/>
              <w:rPr>
                <w:sz w:val="20"/>
                <w:szCs w:val="20"/>
                <w:color w:val="auto"/>
              </w:rPr>
            </w:pPr>
            <w:r>
              <w:rPr>
                <w:rFonts w:ascii="Arial" w:cs="Arial" w:eastAsia="Arial" w:hAnsi="Arial"/>
                <w:sz w:val="13"/>
                <w:szCs w:val="13"/>
                <w:b w:val="1"/>
                <w:bCs w:val="1"/>
                <w:color w:val="FFFFFF"/>
                <w:w w:val="98"/>
              </w:rPr>
              <w:t>Performance</w:t>
            </w:r>
          </w:p>
        </w:tc>
        <w:tc>
          <w:tcPr>
            <w:tcW w:w="60" w:type="dxa"/>
            <w:vAlign w:val="bottom"/>
            <w:shd w:val="clear" w:color="auto" w:fill="001446"/>
          </w:tcPr>
          <w:p>
            <w:pPr>
              <w:spacing w:after="0"/>
              <w:rPr>
                <w:sz w:val="11"/>
                <w:szCs w:val="11"/>
                <w:color w:val="auto"/>
              </w:rPr>
            </w:pPr>
          </w:p>
        </w:tc>
        <w:tc>
          <w:tcPr>
            <w:tcW w:w="960" w:type="dxa"/>
            <w:vAlign w:val="bottom"/>
            <w:gridSpan w:val="2"/>
            <w:vMerge w:val="continue"/>
            <w:shd w:val="clear" w:color="auto" w:fill="00144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001446"/>
            </w:tcBorders>
          </w:tcPr>
          <w:p>
            <w:pPr>
              <w:spacing w:after="0"/>
              <w:rPr>
                <w:sz w:val="15"/>
                <w:szCs w:val="15"/>
                <w:color w:val="auto"/>
              </w:rPr>
            </w:pPr>
          </w:p>
        </w:tc>
        <w:tc>
          <w:tcPr>
            <w:tcW w:w="620" w:type="dxa"/>
            <w:vAlign w:val="bottom"/>
            <w:tcBorders>
              <w:bottom w:val="single" w:sz="8" w:color="001446"/>
            </w:tcBorders>
            <w:shd w:val="clear" w:color="auto" w:fill="001446"/>
          </w:tcPr>
          <w:p>
            <w:pPr>
              <w:spacing w:after="0"/>
              <w:rPr>
                <w:sz w:val="15"/>
                <w:szCs w:val="15"/>
                <w:color w:val="auto"/>
              </w:rPr>
            </w:pPr>
          </w:p>
        </w:tc>
        <w:tc>
          <w:tcPr>
            <w:tcW w:w="140" w:type="dxa"/>
            <w:vAlign w:val="bottom"/>
            <w:tcBorders>
              <w:bottom w:val="single" w:sz="8" w:color="001446"/>
              <w:right w:val="single" w:sz="8" w:color="001446"/>
            </w:tcBorders>
            <w:shd w:val="clear" w:color="auto" w:fill="001446"/>
          </w:tcPr>
          <w:p>
            <w:pPr>
              <w:spacing w:after="0"/>
              <w:rPr>
                <w:sz w:val="15"/>
                <w:szCs w:val="15"/>
                <w:color w:val="auto"/>
              </w:rPr>
            </w:pPr>
          </w:p>
        </w:tc>
        <w:tc>
          <w:tcPr>
            <w:tcW w:w="20" w:type="dxa"/>
            <w:vAlign w:val="bottom"/>
            <w:tcBorders>
              <w:bottom w:val="single" w:sz="8" w:color="001446"/>
            </w:tcBorders>
            <w:shd w:val="clear" w:color="auto" w:fill="001446"/>
          </w:tcPr>
          <w:p>
            <w:pPr>
              <w:spacing w:after="0"/>
              <w:rPr>
                <w:sz w:val="15"/>
                <w:szCs w:val="15"/>
                <w:color w:val="auto"/>
              </w:rPr>
            </w:pPr>
          </w:p>
        </w:tc>
        <w:tc>
          <w:tcPr>
            <w:tcW w:w="200" w:type="dxa"/>
            <w:vAlign w:val="bottom"/>
            <w:tcBorders>
              <w:bottom w:val="single" w:sz="8" w:color="001446"/>
            </w:tcBorders>
            <w:shd w:val="clear" w:color="auto" w:fill="001446"/>
          </w:tcPr>
          <w:p>
            <w:pPr>
              <w:spacing w:after="0"/>
              <w:rPr>
                <w:sz w:val="15"/>
                <w:szCs w:val="15"/>
                <w:color w:val="auto"/>
              </w:rPr>
            </w:pPr>
          </w:p>
        </w:tc>
        <w:tc>
          <w:tcPr>
            <w:tcW w:w="120" w:type="dxa"/>
            <w:vAlign w:val="bottom"/>
            <w:tcBorders>
              <w:left w:val="single" w:sz="8" w:color="001446"/>
              <w:bottom w:val="single" w:sz="8" w:color="001446"/>
              <w:right w:val="single" w:sz="8" w:color="001446"/>
            </w:tcBorders>
            <w:shd w:val="clear" w:color="auto" w:fill="001446"/>
          </w:tcPr>
          <w:p>
            <w:pPr>
              <w:spacing w:after="0"/>
              <w:rPr>
                <w:sz w:val="15"/>
                <w:szCs w:val="15"/>
                <w:color w:val="auto"/>
              </w:rPr>
            </w:pPr>
          </w:p>
        </w:tc>
        <w:tc>
          <w:tcPr>
            <w:tcW w:w="240" w:type="dxa"/>
            <w:vAlign w:val="bottom"/>
            <w:tcBorders>
              <w:bottom w:val="single" w:sz="8" w:color="001446"/>
              <w:right w:val="single" w:sz="8" w:color="001446"/>
            </w:tcBorders>
            <w:shd w:val="clear" w:color="auto" w:fill="001446"/>
          </w:tcPr>
          <w:p>
            <w:pPr>
              <w:spacing w:after="0"/>
              <w:rPr>
                <w:sz w:val="15"/>
                <w:szCs w:val="15"/>
                <w:color w:val="auto"/>
              </w:rPr>
            </w:pPr>
          </w:p>
        </w:tc>
        <w:tc>
          <w:tcPr>
            <w:tcW w:w="40" w:type="dxa"/>
            <w:vAlign w:val="bottom"/>
            <w:tcBorders>
              <w:bottom w:val="single" w:sz="8" w:color="001446"/>
            </w:tcBorders>
            <w:shd w:val="clear" w:color="auto" w:fill="001446"/>
          </w:tcPr>
          <w:p>
            <w:pPr>
              <w:spacing w:after="0"/>
              <w:rPr>
                <w:sz w:val="15"/>
                <w:szCs w:val="15"/>
                <w:color w:val="auto"/>
              </w:rPr>
            </w:pPr>
          </w:p>
        </w:tc>
        <w:tc>
          <w:tcPr>
            <w:tcW w:w="80" w:type="dxa"/>
            <w:vAlign w:val="bottom"/>
            <w:tcBorders>
              <w:bottom w:val="single" w:sz="8" w:color="001446"/>
            </w:tcBorders>
            <w:shd w:val="clear" w:color="auto" w:fill="001446"/>
          </w:tcPr>
          <w:p>
            <w:pPr>
              <w:spacing w:after="0"/>
              <w:rPr>
                <w:sz w:val="15"/>
                <w:szCs w:val="15"/>
                <w:color w:val="auto"/>
              </w:rPr>
            </w:pPr>
          </w:p>
        </w:tc>
        <w:tc>
          <w:tcPr>
            <w:tcW w:w="800" w:type="dxa"/>
            <w:vAlign w:val="bottom"/>
            <w:tcBorders>
              <w:bottom w:val="single" w:sz="8" w:color="001446"/>
            </w:tcBorders>
            <w:shd w:val="clear" w:color="auto" w:fill="001446"/>
          </w:tcPr>
          <w:p>
            <w:pPr>
              <w:spacing w:after="0"/>
              <w:rPr>
                <w:sz w:val="15"/>
                <w:szCs w:val="15"/>
                <w:color w:val="auto"/>
              </w:rPr>
            </w:pPr>
          </w:p>
        </w:tc>
        <w:tc>
          <w:tcPr>
            <w:tcW w:w="130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FFFFFF"/>
                <w:w w:val="97"/>
              </w:rPr>
              <w:t>(50% Payout)</w:t>
            </w:r>
          </w:p>
        </w:tc>
        <w:tc>
          <w:tcPr>
            <w:tcW w:w="40" w:type="dxa"/>
            <w:vAlign w:val="bottom"/>
            <w:tcBorders>
              <w:bottom w:val="single" w:sz="8" w:color="001446"/>
            </w:tcBorders>
            <w:shd w:val="clear" w:color="auto" w:fill="001446"/>
          </w:tcPr>
          <w:p>
            <w:pPr>
              <w:spacing w:after="0"/>
              <w:rPr>
                <w:sz w:val="15"/>
                <w:szCs w:val="15"/>
                <w:color w:val="auto"/>
              </w:rPr>
            </w:pPr>
          </w:p>
        </w:tc>
        <w:tc>
          <w:tcPr>
            <w:tcW w:w="140" w:type="dxa"/>
            <w:vAlign w:val="bottom"/>
            <w:tcBorders>
              <w:bottom w:val="single" w:sz="8" w:color="001446"/>
            </w:tcBorders>
            <w:shd w:val="clear" w:color="auto" w:fill="001446"/>
          </w:tcPr>
          <w:p>
            <w:pPr>
              <w:spacing w:after="0"/>
              <w:rPr>
                <w:sz w:val="15"/>
                <w:szCs w:val="15"/>
                <w:color w:val="auto"/>
              </w:rPr>
            </w:pPr>
          </w:p>
        </w:tc>
        <w:tc>
          <w:tcPr>
            <w:tcW w:w="1500" w:type="dxa"/>
            <w:vAlign w:val="bottom"/>
            <w:tcBorders>
              <w:bottom w:val="single" w:sz="8" w:color="001446"/>
            </w:tcBorders>
            <w:gridSpan w:val="3"/>
            <w:shd w:val="clear" w:color="auto" w:fill="001446"/>
          </w:tcPr>
          <w:p>
            <w:pPr>
              <w:jc w:val="center"/>
              <w:ind w:right="580"/>
              <w:spacing w:after="0"/>
              <w:rPr>
                <w:sz w:val="20"/>
                <w:szCs w:val="20"/>
                <w:color w:val="auto"/>
              </w:rPr>
            </w:pPr>
            <w:r>
              <w:rPr>
                <w:rFonts w:ascii="Arial" w:cs="Arial" w:eastAsia="Arial" w:hAnsi="Arial"/>
                <w:sz w:val="13"/>
                <w:szCs w:val="13"/>
                <w:b w:val="1"/>
                <w:bCs w:val="1"/>
                <w:color w:val="FFFFFF"/>
                <w:w w:val="98"/>
              </w:rPr>
              <w:t>(100% Payout)</w:t>
            </w:r>
          </w:p>
        </w:tc>
        <w:tc>
          <w:tcPr>
            <w:tcW w:w="1820" w:type="dxa"/>
            <w:vAlign w:val="bottom"/>
            <w:tcBorders>
              <w:bottom w:val="single" w:sz="8" w:color="001446"/>
            </w:tcBorders>
            <w:gridSpan w:val="2"/>
            <w:shd w:val="clear" w:color="auto" w:fill="001446"/>
          </w:tcPr>
          <w:p>
            <w:pPr>
              <w:jc w:val="center"/>
              <w:ind w:right="700"/>
              <w:spacing w:after="0"/>
              <w:rPr>
                <w:sz w:val="20"/>
                <w:szCs w:val="20"/>
                <w:color w:val="auto"/>
              </w:rPr>
            </w:pPr>
            <w:r>
              <w:rPr>
                <w:rFonts w:ascii="Arial" w:cs="Arial" w:eastAsia="Arial" w:hAnsi="Arial"/>
                <w:sz w:val="13"/>
                <w:szCs w:val="13"/>
                <w:b w:val="1"/>
                <w:bCs w:val="1"/>
                <w:color w:val="FFFFFF"/>
                <w:w w:val="98"/>
              </w:rPr>
              <w:t>(150% Payout)</w:t>
            </w:r>
          </w:p>
        </w:tc>
        <w:tc>
          <w:tcPr>
            <w:tcW w:w="60" w:type="dxa"/>
            <w:vAlign w:val="bottom"/>
            <w:tcBorders>
              <w:bottom w:val="single" w:sz="8" w:color="001446"/>
            </w:tcBorders>
            <w:shd w:val="clear" w:color="auto" w:fill="001446"/>
          </w:tcPr>
          <w:p>
            <w:pPr>
              <w:spacing w:after="0"/>
              <w:rPr>
                <w:sz w:val="15"/>
                <w:szCs w:val="15"/>
                <w:color w:val="auto"/>
              </w:rPr>
            </w:pPr>
          </w:p>
        </w:tc>
        <w:tc>
          <w:tcPr>
            <w:tcW w:w="1100" w:type="dxa"/>
            <w:vAlign w:val="bottom"/>
            <w:tcBorders>
              <w:bottom w:val="single" w:sz="8" w:color="001446"/>
            </w:tcBorders>
            <w:shd w:val="clear" w:color="auto" w:fill="001446"/>
          </w:tcPr>
          <w:p>
            <w:pPr>
              <w:spacing w:after="0"/>
              <w:rPr>
                <w:sz w:val="15"/>
                <w:szCs w:val="15"/>
                <w:color w:val="auto"/>
              </w:rPr>
            </w:pPr>
          </w:p>
        </w:tc>
        <w:tc>
          <w:tcPr>
            <w:tcW w:w="60" w:type="dxa"/>
            <w:vAlign w:val="bottom"/>
            <w:tcBorders>
              <w:bottom w:val="single" w:sz="8" w:color="001446"/>
            </w:tcBorders>
            <w:shd w:val="clear" w:color="auto" w:fill="001446"/>
          </w:tcPr>
          <w:p>
            <w:pPr>
              <w:spacing w:after="0"/>
              <w:rPr>
                <w:sz w:val="15"/>
                <w:szCs w:val="15"/>
                <w:color w:val="auto"/>
              </w:rPr>
            </w:pPr>
          </w:p>
        </w:tc>
        <w:tc>
          <w:tcPr>
            <w:tcW w:w="960" w:type="dxa"/>
            <w:vAlign w:val="bottom"/>
            <w:tcBorders>
              <w:bottom w:val="single" w:sz="8" w:color="001446"/>
            </w:tcBorders>
            <w:gridSpan w:val="2"/>
            <w:shd w:val="clear" w:color="auto" w:fill="001446"/>
          </w:tcPr>
          <w:p>
            <w:pPr>
              <w:jc w:val="center"/>
              <w:ind w:right="160"/>
              <w:spacing w:after="0"/>
              <w:rPr>
                <w:sz w:val="20"/>
                <w:szCs w:val="20"/>
                <w:color w:val="auto"/>
              </w:rPr>
            </w:pPr>
            <w:r>
              <w:rPr>
                <w:rFonts w:ascii="Arial" w:cs="Arial" w:eastAsia="Arial" w:hAnsi="Arial"/>
                <w:sz w:val="13"/>
                <w:szCs w:val="13"/>
                <w:b w:val="1"/>
                <w:bCs w:val="1"/>
                <w:color w:val="FFFFFF"/>
                <w:w w:val="96"/>
              </w:rPr>
              <w:t>Percentage</w:t>
            </w:r>
          </w:p>
        </w:tc>
        <w:tc>
          <w:tcPr>
            <w:tcW w:w="0" w:type="dxa"/>
            <w:vAlign w:val="bottom"/>
          </w:tcPr>
          <w:p>
            <w:pPr>
              <w:spacing w:after="0"/>
              <w:rPr>
                <w:sz w:val="1"/>
                <w:szCs w:val="1"/>
                <w:color w:val="auto"/>
              </w:rPr>
            </w:pPr>
          </w:p>
        </w:tc>
      </w:tr>
      <w:tr>
        <w:trPr>
          <w:trHeight w:val="172"/>
        </w:trPr>
        <w:tc>
          <w:tcPr>
            <w:tcW w:w="1040" w:type="dxa"/>
            <w:vAlign w:val="bottom"/>
            <w:gridSpan w:val="6"/>
          </w:tcPr>
          <w:p>
            <w:pPr>
              <w:ind w:left="100"/>
              <w:spacing w:after="0"/>
              <w:rPr>
                <w:sz w:val="20"/>
                <w:szCs w:val="20"/>
                <w:color w:val="auto"/>
              </w:rPr>
            </w:pPr>
            <w:r>
              <w:rPr>
                <w:rFonts w:ascii="Arial" w:cs="Arial" w:eastAsia="Arial" w:hAnsi="Arial"/>
                <w:sz w:val="13"/>
                <w:szCs w:val="13"/>
                <w:b w:val="1"/>
                <w:bCs w:val="1"/>
                <w:color w:val="001446"/>
              </w:rPr>
              <w:t>Financials (1)</w:t>
            </w: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Revenues</w:t>
            </w:r>
          </w:p>
        </w:tc>
        <w:tc>
          <w:tcPr>
            <w:tcW w:w="920" w:type="dxa"/>
            <w:vAlign w:val="bottom"/>
            <w:gridSpan w:val="3"/>
          </w:tcPr>
          <w:p>
            <w:pPr>
              <w:jc w:val="center"/>
              <w:spacing w:after="0"/>
              <w:rPr>
                <w:sz w:val="20"/>
                <w:szCs w:val="20"/>
                <w:color w:val="auto"/>
              </w:rPr>
            </w:pPr>
            <w:r>
              <w:rPr>
                <w:rFonts w:ascii="Arial" w:cs="Arial" w:eastAsia="Arial" w:hAnsi="Arial"/>
                <w:sz w:val="13"/>
                <w:szCs w:val="13"/>
                <w:color w:val="001446"/>
                <w:w w:val="99"/>
              </w:rPr>
              <w:t>30%</w:t>
            </w:r>
          </w:p>
        </w:tc>
        <w:tc>
          <w:tcPr>
            <w:tcW w:w="1300" w:type="dxa"/>
            <w:vAlign w:val="bottom"/>
          </w:tcPr>
          <w:p>
            <w:pPr>
              <w:jc w:val="center"/>
              <w:spacing w:after="0"/>
              <w:rPr>
                <w:sz w:val="20"/>
                <w:szCs w:val="20"/>
                <w:color w:val="auto"/>
              </w:rPr>
            </w:pPr>
            <w:r>
              <w:rPr>
                <w:rFonts w:ascii="Arial" w:cs="Arial" w:eastAsia="Arial" w:hAnsi="Arial"/>
                <w:sz w:val="13"/>
                <w:szCs w:val="13"/>
                <w:color w:val="001446"/>
                <w:w w:val="96"/>
              </w:rPr>
              <w:t>$1.15B</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3"/>
                <w:szCs w:val="13"/>
                <w:color w:val="001446"/>
                <w:w w:val="96"/>
              </w:rPr>
              <w:t>$1.36B</w:t>
            </w:r>
          </w:p>
        </w:tc>
        <w:tc>
          <w:tcPr>
            <w:tcW w:w="1820" w:type="dxa"/>
            <w:vAlign w:val="bottom"/>
            <w:gridSpan w:val="2"/>
          </w:tcPr>
          <w:p>
            <w:pPr>
              <w:jc w:val="center"/>
              <w:ind w:right="700"/>
              <w:spacing w:after="0"/>
              <w:rPr>
                <w:sz w:val="20"/>
                <w:szCs w:val="20"/>
                <w:color w:val="auto"/>
              </w:rPr>
            </w:pPr>
            <w:r>
              <w:rPr>
                <w:rFonts w:ascii="Arial" w:cs="Arial" w:eastAsia="Arial" w:hAnsi="Arial"/>
                <w:sz w:val="13"/>
                <w:szCs w:val="13"/>
                <w:color w:val="001446"/>
                <w:w w:val="96"/>
              </w:rPr>
              <w:t>$1.57B</w:t>
            </w:r>
          </w:p>
        </w:tc>
        <w:tc>
          <w:tcPr>
            <w:tcW w:w="60" w:type="dxa"/>
            <w:vAlign w:val="bottom"/>
          </w:tcPr>
          <w:p>
            <w:pPr>
              <w:spacing w:after="0"/>
              <w:rPr>
                <w:sz w:val="14"/>
                <w:szCs w:val="14"/>
                <w:color w:val="auto"/>
              </w:rPr>
            </w:pPr>
          </w:p>
        </w:tc>
        <w:tc>
          <w:tcPr>
            <w:tcW w:w="1100" w:type="dxa"/>
            <w:vAlign w:val="bottom"/>
          </w:tcPr>
          <w:p>
            <w:pPr>
              <w:jc w:val="center"/>
              <w:ind w:right="396"/>
              <w:spacing w:after="0"/>
              <w:rPr>
                <w:sz w:val="20"/>
                <w:szCs w:val="20"/>
                <w:color w:val="auto"/>
              </w:rPr>
            </w:pPr>
            <w:r>
              <w:rPr>
                <w:rFonts w:ascii="Arial" w:cs="Arial" w:eastAsia="Arial" w:hAnsi="Arial"/>
                <w:sz w:val="13"/>
                <w:szCs w:val="13"/>
                <w:color w:val="001446"/>
                <w:w w:val="96"/>
              </w:rPr>
              <w:t>$1.16B</w:t>
            </w:r>
          </w:p>
        </w:tc>
        <w:tc>
          <w:tcPr>
            <w:tcW w:w="680" w:type="dxa"/>
            <w:vAlign w:val="bottom"/>
            <w:gridSpan w:val="2"/>
          </w:tcPr>
          <w:p>
            <w:pPr>
              <w:jc w:val="center"/>
              <w:ind w:left="176"/>
              <w:spacing w:after="0"/>
              <w:rPr>
                <w:sz w:val="20"/>
                <w:szCs w:val="20"/>
                <w:color w:val="auto"/>
              </w:rPr>
            </w:pPr>
            <w:r>
              <w:rPr>
                <w:rFonts w:ascii="Arial" w:cs="Arial" w:eastAsia="Arial" w:hAnsi="Arial"/>
                <w:sz w:val="13"/>
                <w:szCs w:val="13"/>
                <w:color w:val="001446"/>
                <w:w w:val="97"/>
              </w:rPr>
              <w:t>15.5%</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Non-GAAP Gross</w:t>
            </w: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color w:val="001446"/>
                <w:w w:val="99"/>
              </w:rPr>
              <w:t>10%</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001446"/>
                <w:w w:val="99"/>
              </w:rPr>
              <w:t>12%</w:t>
            </w:r>
          </w:p>
        </w:tc>
        <w:tc>
          <w:tcPr>
            <w:tcW w:w="860" w:type="dxa"/>
            <w:vAlign w:val="bottom"/>
            <w:gridSpan w:val="4"/>
            <w:vMerge w:val="restart"/>
          </w:tcPr>
          <w:p>
            <w:pPr>
              <w:jc w:val="center"/>
              <w:ind w:left="376"/>
              <w:spacing w:after="0"/>
              <w:rPr>
                <w:sz w:val="20"/>
                <w:szCs w:val="20"/>
                <w:color w:val="auto"/>
              </w:rPr>
            </w:pPr>
            <w:r>
              <w:rPr>
                <w:rFonts w:ascii="Arial" w:cs="Arial" w:eastAsia="Arial" w:hAnsi="Arial"/>
                <w:sz w:val="13"/>
                <w:szCs w:val="13"/>
                <w:color w:val="001446"/>
                <w:w w:val="99"/>
              </w:rPr>
              <w:t>16%</w:t>
            </w:r>
          </w:p>
        </w:tc>
        <w:tc>
          <w:tcPr>
            <w:tcW w:w="820" w:type="dxa"/>
            <w:vAlign w:val="bottom"/>
          </w:tcPr>
          <w:p>
            <w:pPr>
              <w:spacing w:after="0"/>
              <w:rPr>
                <w:sz w:val="16"/>
                <w:szCs w:val="16"/>
                <w:color w:val="auto"/>
              </w:rPr>
            </w:pPr>
          </w:p>
        </w:tc>
        <w:tc>
          <w:tcPr>
            <w:tcW w:w="1540" w:type="dxa"/>
            <w:vAlign w:val="bottom"/>
            <w:vMerge w:val="restart"/>
          </w:tcPr>
          <w:p>
            <w:pPr>
              <w:jc w:val="center"/>
              <w:ind w:right="356"/>
              <w:spacing w:after="0"/>
              <w:rPr>
                <w:sz w:val="20"/>
                <w:szCs w:val="20"/>
                <w:color w:val="auto"/>
              </w:rPr>
            </w:pPr>
            <w:r>
              <w:rPr>
                <w:rFonts w:ascii="Arial" w:cs="Arial" w:eastAsia="Arial" w:hAnsi="Arial"/>
                <w:sz w:val="13"/>
                <w:szCs w:val="13"/>
                <w:color w:val="001446"/>
                <w:w w:val="92"/>
              </w:rPr>
              <w:t>19%</w:t>
            </w:r>
          </w:p>
        </w:tc>
        <w:tc>
          <w:tcPr>
            <w:tcW w:w="280" w:type="dxa"/>
            <w:vAlign w:val="bottom"/>
          </w:tcPr>
          <w:p>
            <w:pPr>
              <w:spacing w:after="0"/>
              <w:rPr>
                <w:sz w:val="16"/>
                <w:szCs w:val="16"/>
                <w:color w:val="auto"/>
              </w:rPr>
            </w:pPr>
          </w:p>
        </w:tc>
        <w:tc>
          <w:tcPr>
            <w:tcW w:w="1160" w:type="dxa"/>
            <w:vAlign w:val="bottom"/>
            <w:gridSpan w:val="2"/>
            <w:vMerge w:val="restart"/>
          </w:tcPr>
          <w:p>
            <w:pPr>
              <w:jc w:val="center"/>
              <w:ind w:right="336"/>
              <w:spacing w:after="0"/>
              <w:rPr>
                <w:sz w:val="20"/>
                <w:szCs w:val="20"/>
                <w:color w:val="auto"/>
              </w:rPr>
            </w:pPr>
            <w:r>
              <w:rPr>
                <w:rFonts w:ascii="Arial" w:cs="Arial" w:eastAsia="Arial" w:hAnsi="Arial"/>
                <w:sz w:val="13"/>
                <w:szCs w:val="13"/>
                <w:color w:val="001446"/>
                <w:w w:val="97"/>
              </w:rPr>
              <w:t>16.7%</w:t>
            </w:r>
          </w:p>
        </w:tc>
        <w:tc>
          <w:tcPr>
            <w:tcW w:w="680" w:type="dxa"/>
            <w:vAlign w:val="bottom"/>
            <w:gridSpan w:val="2"/>
            <w:vMerge w:val="restart"/>
          </w:tcPr>
          <w:p>
            <w:pPr>
              <w:jc w:val="center"/>
              <w:ind w:left="176"/>
              <w:spacing w:after="0"/>
              <w:rPr>
                <w:sz w:val="20"/>
                <w:szCs w:val="20"/>
                <w:color w:val="auto"/>
              </w:rPr>
            </w:pPr>
            <w:r>
              <w:rPr>
                <w:rFonts w:ascii="Arial" w:cs="Arial" w:eastAsia="Arial" w:hAnsi="Arial"/>
                <w:sz w:val="13"/>
                <w:szCs w:val="13"/>
                <w:color w:val="001446"/>
                <w:w w:val="97"/>
              </w:rPr>
              <w:t>11.2%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001446"/>
              </w:rPr>
              <w:t>Margin</w:t>
            </w:r>
          </w:p>
        </w:tc>
        <w:tc>
          <w:tcPr>
            <w:tcW w:w="920" w:type="dxa"/>
            <w:vAlign w:val="bottom"/>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Non-GAAP</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6"/>
          </w:tcPr>
          <w:p>
            <w:pPr>
              <w:ind w:left="80"/>
              <w:spacing w:after="0" w:line="144" w:lineRule="exact"/>
              <w:rPr>
                <w:sz w:val="20"/>
                <w:szCs w:val="20"/>
                <w:color w:val="auto"/>
              </w:rPr>
            </w:pPr>
            <w:r>
              <w:rPr>
                <w:rFonts w:ascii="Arial" w:cs="Arial" w:eastAsia="Arial" w:hAnsi="Arial"/>
                <w:sz w:val="13"/>
                <w:szCs w:val="13"/>
                <w:b w:val="1"/>
                <w:bCs w:val="1"/>
                <w:color w:val="001446"/>
              </w:rPr>
              <w:t>Operating Income</w:t>
            </w:r>
          </w:p>
        </w:tc>
        <w:tc>
          <w:tcPr>
            <w:tcW w:w="920" w:type="dxa"/>
            <w:vAlign w:val="bottom"/>
            <w:gridSpan w:val="3"/>
          </w:tcPr>
          <w:p>
            <w:pPr>
              <w:jc w:val="center"/>
              <w:spacing w:after="0" w:line="144" w:lineRule="exact"/>
              <w:rPr>
                <w:sz w:val="20"/>
                <w:szCs w:val="20"/>
                <w:color w:val="auto"/>
              </w:rPr>
            </w:pPr>
            <w:r>
              <w:rPr>
                <w:rFonts w:ascii="Arial" w:cs="Arial" w:eastAsia="Arial" w:hAnsi="Arial"/>
                <w:sz w:val="13"/>
                <w:szCs w:val="13"/>
                <w:color w:val="001446"/>
                <w:w w:val="99"/>
              </w:rPr>
              <w:t>10%</w:t>
            </w:r>
          </w:p>
        </w:tc>
        <w:tc>
          <w:tcPr>
            <w:tcW w:w="1300" w:type="dxa"/>
            <w:vAlign w:val="bottom"/>
          </w:tcPr>
          <w:p>
            <w:pPr>
              <w:jc w:val="center"/>
              <w:spacing w:after="0" w:line="144" w:lineRule="exact"/>
              <w:rPr>
                <w:sz w:val="20"/>
                <w:szCs w:val="20"/>
                <w:color w:val="auto"/>
              </w:rPr>
            </w:pPr>
            <w:r>
              <w:rPr>
                <w:rFonts w:ascii="Arial" w:cs="Arial" w:eastAsia="Arial" w:hAnsi="Arial"/>
                <w:sz w:val="13"/>
                <w:szCs w:val="13"/>
                <w:color w:val="001446"/>
                <w:w w:val="99"/>
              </w:rPr>
              <w:t>$(208M)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60"/>
              <w:spacing w:after="0" w:line="144" w:lineRule="exact"/>
              <w:rPr>
                <w:sz w:val="20"/>
                <w:szCs w:val="20"/>
                <w:color w:val="auto"/>
              </w:rPr>
            </w:pPr>
            <w:r>
              <w:rPr>
                <w:rFonts w:ascii="Arial" w:cs="Arial" w:eastAsia="Arial" w:hAnsi="Arial"/>
                <w:sz w:val="13"/>
                <w:szCs w:val="13"/>
                <w:color w:val="001446"/>
                <w:w w:val="99"/>
              </w:rPr>
              <w:t>$(142M)</w:t>
            </w:r>
          </w:p>
        </w:tc>
        <w:tc>
          <w:tcPr>
            <w:tcW w:w="1820" w:type="dxa"/>
            <w:vAlign w:val="bottom"/>
            <w:gridSpan w:val="2"/>
          </w:tcPr>
          <w:p>
            <w:pPr>
              <w:jc w:val="center"/>
              <w:ind w:right="700"/>
              <w:spacing w:after="0" w:line="144" w:lineRule="exact"/>
              <w:rPr>
                <w:sz w:val="20"/>
                <w:szCs w:val="20"/>
                <w:color w:val="auto"/>
              </w:rPr>
            </w:pPr>
            <w:r>
              <w:rPr>
                <w:rFonts w:ascii="Arial" w:cs="Arial" w:eastAsia="Arial" w:hAnsi="Arial"/>
                <w:sz w:val="13"/>
                <w:szCs w:val="13"/>
                <w:color w:val="001446"/>
                <w:w w:val="97"/>
              </w:rPr>
              <w:t>$(73M)</w:t>
            </w:r>
          </w:p>
        </w:tc>
        <w:tc>
          <w:tcPr>
            <w:tcW w:w="60" w:type="dxa"/>
            <w:vAlign w:val="bottom"/>
          </w:tcPr>
          <w:p>
            <w:pPr>
              <w:spacing w:after="0"/>
              <w:rPr>
                <w:sz w:val="12"/>
                <w:szCs w:val="12"/>
                <w:color w:val="auto"/>
              </w:rPr>
            </w:pPr>
          </w:p>
        </w:tc>
        <w:tc>
          <w:tcPr>
            <w:tcW w:w="1100" w:type="dxa"/>
            <w:vAlign w:val="bottom"/>
          </w:tcPr>
          <w:p>
            <w:pPr>
              <w:jc w:val="center"/>
              <w:ind w:right="396"/>
              <w:spacing w:after="0" w:line="144" w:lineRule="exact"/>
              <w:rPr>
                <w:sz w:val="20"/>
                <w:szCs w:val="20"/>
                <w:color w:val="auto"/>
              </w:rPr>
            </w:pPr>
            <w:r>
              <w:rPr>
                <w:rFonts w:ascii="Arial" w:cs="Arial" w:eastAsia="Arial" w:hAnsi="Arial"/>
                <w:sz w:val="13"/>
                <w:szCs w:val="13"/>
                <w:color w:val="001446"/>
                <w:w w:val="99"/>
              </w:rPr>
              <w:t>$(156M)</w:t>
            </w:r>
          </w:p>
        </w:tc>
        <w:tc>
          <w:tcPr>
            <w:tcW w:w="680" w:type="dxa"/>
            <w:vAlign w:val="bottom"/>
            <w:gridSpan w:val="2"/>
          </w:tcPr>
          <w:p>
            <w:pPr>
              <w:jc w:val="center"/>
              <w:ind w:left="176"/>
              <w:spacing w:after="0" w:line="144" w:lineRule="exact"/>
              <w:rPr>
                <w:sz w:val="20"/>
                <w:szCs w:val="20"/>
                <w:color w:val="auto"/>
              </w:rPr>
            </w:pPr>
            <w:r>
              <w:rPr>
                <w:rFonts w:ascii="Arial" w:cs="Arial" w:eastAsia="Arial" w:hAnsi="Arial"/>
                <w:sz w:val="13"/>
                <w:szCs w:val="13"/>
                <w:color w:val="001446"/>
                <w:w w:val="94"/>
              </w:rPr>
              <w:t>8.9%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(Loss)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Free Cash Flow</w:t>
            </w:r>
          </w:p>
        </w:tc>
        <w:tc>
          <w:tcPr>
            <w:tcW w:w="920" w:type="dxa"/>
            <w:vAlign w:val="bottom"/>
            <w:gridSpan w:val="3"/>
          </w:tcPr>
          <w:p>
            <w:pPr>
              <w:jc w:val="center"/>
              <w:spacing w:after="0"/>
              <w:rPr>
                <w:sz w:val="20"/>
                <w:szCs w:val="20"/>
                <w:color w:val="auto"/>
              </w:rPr>
            </w:pPr>
            <w:r>
              <w:rPr>
                <w:rFonts w:ascii="Arial" w:cs="Arial" w:eastAsia="Arial" w:hAnsi="Arial"/>
                <w:sz w:val="13"/>
                <w:szCs w:val="13"/>
                <w:color w:val="001446"/>
                <w:w w:val="99"/>
              </w:rPr>
              <w:t>10%</w:t>
            </w:r>
          </w:p>
        </w:tc>
        <w:tc>
          <w:tcPr>
            <w:tcW w:w="1300" w:type="dxa"/>
            <w:vAlign w:val="bottom"/>
          </w:tcPr>
          <w:p>
            <w:pPr>
              <w:jc w:val="center"/>
              <w:spacing w:after="0"/>
              <w:rPr>
                <w:sz w:val="20"/>
                <w:szCs w:val="20"/>
                <w:color w:val="auto"/>
              </w:rPr>
            </w:pPr>
            <w:r>
              <w:rPr>
                <w:rFonts w:ascii="Arial" w:cs="Arial" w:eastAsia="Arial" w:hAnsi="Arial"/>
                <w:sz w:val="13"/>
                <w:szCs w:val="13"/>
                <w:color w:val="001446"/>
                <w:w w:val="98"/>
              </w:rPr>
              <w:t>$57.3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3"/>
                <w:szCs w:val="13"/>
                <w:color w:val="001446"/>
                <w:w w:val="95"/>
              </w:rPr>
              <w:t>$157M</w:t>
            </w:r>
          </w:p>
        </w:tc>
        <w:tc>
          <w:tcPr>
            <w:tcW w:w="1820" w:type="dxa"/>
            <w:vAlign w:val="bottom"/>
            <w:gridSpan w:val="2"/>
          </w:tcPr>
          <w:p>
            <w:pPr>
              <w:jc w:val="center"/>
              <w:ind w:right="700"/>
              <w:spacing w:after="0"/>
              <w:rPr>
                <w:sz w:val="20"/>
                <w:szCs w:val="20"/>
                <w:color w:val="auto"/>
              </w:rPr>
            </w:pPr>
            <w:r>
              <w:rPr>
                <w:rFonts w:ascii="Arial" w:cs="Arial" w:eastAsia="Arial" w:hAnsi="Arial"/>
                <w:sz w:val="13"/>
                <w:szCs w:val="13"/>
                <w:color w:val="001446"/>
              </w:rPr>
              <w:t>$271M</w:t>
            </w:r>
          </w:p>
        </w:tc>
        <w:tc>
          <w:tcPr>
            <w:tcW w:w="60" w:type="dxa"/>
            <w:vAlign w:val="bottom"/>
          </w:tcPr>
          <w:p>
            <w:pPr>
              <w:spacing w:after="0"/>
              <w:rPr>
                <w:sz w:val="19"/>
                <w:szCs w:val="19"/>
                <w:color w:val="auto"/>
              </w:rPr>
            </w:pPr>
          </w:p>
        </w:tc>
        <w:tc>
          <w:tcPr>
            <w:tcW w:w="1100" w:type="dxa"/>
            <w:vAlign w:val="bottom"/>
          </w:tcPr>
          <w:p>
            <w:pPr>
              <w:jc w:val="center"/>
              <w:ind w:right="396"/>
              <w:spacing w:after="0"/>
              <w:rPr>
                <w:sz w:val="20"/>
                <w:szCs w:val="20"/>
                <w:color w:val="auto"/>
              </w:rPr>
            </w:pPr>
            <w:r>
              <w:rPr>
                <w:rFonts w:ascii="Arial" w:cs="Arial" w:eastAsia="Arial" w:hAnsi="Arial"/>
                <w:sz w:val="13"/>
                <w:szCs w:val="13"/>
                <w:color w:val="001446"/>
                <w:w w:val="98"/>
              </w:rPr>
              <w:t>$77M</w:t>
            </w:r>
          </w:p>
        </w:tc>
        <w:tc>
          <w:tcPr>
            <w:tcW w:w="680" w:type="dxa"/>
            <w:vAlign w:val="bottom"/>
            <w:gridSpan w:val="2"/>
          </w:tcPr>
          <w:p>
            <w:pPr>
              <w:jc w:val="center"/>
              <w:ind w:left="176"/>
              <w:spacing w:after="0"/>
              <w:rPr>
                <w:sz w:val="20"/>
                <w:szCs w:val="20"/>
                <w:color w:val="auto"/>
              </w:rPr>
            </w:pPr>
            <w:r>
              <w:rPr>
                <w:rFonts w:ascii="Arial" w:cs="Arial" w:eastAsia="Arial" w:hAnsi="Arial"/>
                <w:sz w:val="13"/>
                <w:szCs w:val="13"/>
                <w:color w:val="001446"/>
                <w:w w:val="94"/>
              </w:rPr>
              <w:t>6.0%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040" w:type="dxa"/>
            <w:vAlign w:val="bottom"/>
            <w:gridSpan w:val="6"/>
          </w:tcPr>
          <w:p>
            <w:pPr>
              <w:ind w:left="100"/>
              <w:spacing w:after="0"/>
              <w:rPr>
                <w:sz w:val="20"/>
                <w:szCs w:val="20"/>
                <w:color w:val="auto"/>
              </w:rPr>
            </w:pPr>
            <w:r>
              <w:rPr>
                <w:rFonts w:ascii="Arial" w:cs="Arial" w:eastAsia="Arial" w:hAnsi="Arial"/>
                <w:sz w:val="13"/>
                <w:szCs w:val="13"/>
                <w:b w:val="1"/>
                <w:bCs w:val="1"/>
                <w:color w:val="001446"/>
              </w:rPr>
              <w:t>Business</w:t>
            </w: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Quality of</w:t>
            </w: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color w:val="001446"/>
                <w:w w:val="99"/>
              </w:rPr>
              <w:t>10%</w:t>
            </w:r>
          </w:p>
        </w:tc>
        <w:tc>
          <w:tcPr>
            <w:tcW w:w="5960" w:type="dxa"/>
            <w:vAlign w:val="bottom"/>
            <w:gridSpan w:val="10"/>
            <w:vMerge w:val="restart"/>
          </w:tcPr>
          <w:p>
            <w:pPr>
              <w:jc w:val="center"/>
              <w:ind w:right="56"/>
              <w:spacing w:after="0"/>
              <w:rPr>
                <w:sz w:val="20"/>
                <w:szCs w:val="20"/>
                <w:color w:val="auto"/>
              </w:rPr>
            </w:pPr>
            <w:r>
              <w:rPr>
                <w:rFonts w:ascii="Arial" w:cs="Arial" w:eastAsia="Arial" w:hAnsi="Arial"/>
                <w:sz w:val="13"/>
                <w:szCs w:val="13"/>
                <w:color w:val="001446"/>
                <w:w w:val="98"/>
              </w:rPr>
              <w:t>Goals which include annual failure rate of the Company’s products</w:t>
            </w:r>
          </w:p>
        </w:tc>
        <w:tc>
          <w:tcPr>
            <w:tcW w:w="680" w:type="dxa"/>
            <w:vAlign w:val="bottom"/>
            <w:gridSpan w:val="2"/>
            <w:vMerge w:val="restart"/>
          </w:tcPr>
          <w:p>
            <w:pPr>
              <w:jc w:val="center"/>
              <w:ind w:left="176"/>
              <w:spacing w:after="0"/>
              <w:rPr>
                <w:sz w:val="20"/>
                <w:szCs w:val="20"/>
                <w:color w:val="auto"/>
              </w:rPr>
            </w:pPr>
            <w:r>
              <w:rPr>
                <w:rFonts w:ascii="Arial" w:cs="Arial" w:eastAsia="Arial" w:hAnsi="Arial"/>
                <w:sz w:val="13"/>
                <w:szCs w:val="13"/>
                <w:color w:val="001446"/>
                <w:w w:val="97"/>
              </w:rPr>
              <w:t>10.0%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40" w:type="dxa"/>
            <w:vAlign w:val="bottom"/>
            <w:gridSpan w:val="6"/>
            <w:vMerge w:val="restart"/>
          </w:tcPr>
          <w:p>
            <w:pPr>
              <w:ind w:left="100"/>
              <w:spacing w:after="0" w:line="144" w:lineRule="exact"/>
              <w:rPr>
                <w:sz w:val="20"/>
                <w:szCs w:val="20"/>
                <w:color w:val="auto"/>
              </w:rPr>
            </w:pPr>
            <w:r>
              <w:rPr>
                <w:rFonts w:ascii="Arial" w:cs="Arial" w:eastAsia="Arial" w:hAnsi="Arial"/>
                <w:sz w:val="13"/>
                <w:szCs w:val="13"/>
                <w:b w:val="1"/>
                <w:bCs w:val="1"/>
                <w:color w:val="001446"/>
              </w:rPr>
              <w:t>strategic</w:t>
            </w:r>
          </w:p>
        </w:tc>
        <w:tc>
          <w:tcPr>
            <w:tcW w:w="1340" w:type="dxa"/>
            <w:vAlign w:val="bottom"/>
            <w:gridSpan w:val="6"/>
            <w:vMerge w:val="restart"/>
          </w:tcPr>
          <w:p>
            <w:pPr>
              <w:ind w:left="80"/>
              <w:spacing w:after="0" w:line="144" w:lineRule="exact"/>
              <w:rPr>
                <w:sz w:val="20"/>
                <w:szCs w:val="20"/>
                <w:color w:val="auto"/>
              </w:rPr>
            </w:pPr>
            <w:r>
              <w:rPr>
                <w:rFonts w:ascii="Arial" w:cs="Arial" w:eastAsia="Arial" w:hAnsi="Arial"/>
                <w:sz w:val="13"/>
                <w:szCs w:val="13"/>
                <w:b w:val="1"/>
                <w:bCs w:val="1"/>
                <w:color w:val="001446"/>
              </w:rPr>
              <w:t>products</w:t>
            </w:r>
          </w:p>
        </w:tc>
        <w:tc>
          <w:tcPr>
            <w:tcW w:w="920" w:type="dxa"/>
            <w:vAlign w:val="bottom"/>
            <w:gridSpan w:val="3"/>
            <w:vMerge w:val="continue"/>
          </w:tcPr>
          <w:p>
            <w:pPr>
              <w:spacing w:after="0"/>
              <w:rPr>
                <w:sz w:val="8"/>
                <w:szCs w:val="8"/>
                <w:color w:val="auto"/>
              </w:rPr>
            </w:pPr>
          </w:p>
        </w:tc>
        <w:tc>
          <w:tcPr>
            <w:tcW w:w="5960" w:type="dxa"/>
            <w:vAlign w:val="bottom"/>
            <w:gridSpan w:val="10"/>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040" w:type="dxa"/>
            <w:vAlign w:val="bottom"/>
            <w:gridSpan w:val="6"/>
            <w:vMerge w:val="continue"/>
          </w:tcPr>
          <w:p>
            <w:pPr>
              <w:spacing w:after="0"/>
              <w:rPr>
                <w:sz w:val="3"/>
                <w:szCs w:val="3"/>
                <w:color w:val="auto"/>
              </w:rPr>
            </w:pPr>
          </w:p>
        </w:tc>
        <w:tc>
          <w:tcPr>
            <w:tcW w:w="1340" w:type="dxa"/>
            <w:vAlign w:val="bottom"/>
            <w:gridSpan w:val="6"/>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040" w:type="dxa"/>
            <w:vAlign w:val="bottom"/>
            <w:gridSpan w:val="6"/>
          </w:tcPr>
          <w:p>
            <w:pPr>
              <w:ind w:left="100"/>
              <w:spacing w:after="0"/>
              <w:rPr>
                <w:sz w:val="20"/>
                <w:szCs w:val="20"/>
                <w:color w:val="auto"/>
              </w:rPr>
            </w:pPr>
            <w:r>
              <w:rPr>
                <w:rFonts w:ascii="Arial" w:cs="Arial" w:eastAsia="Arial" w:hAnsi="Arial"/>
                <w:sz w:val="13"/>
                <w:szCs w:val="13"/>
                <w:b w:val="1"/>
                <w:bCs w:val="1"/>
                <w:color w:val="001446"/>
              </w:rPr>
              <w:t>goals(2)</w:t>
            </w:r>
          </w:p>
        </w:tc>
        <w:tc>
          <w:tcPr>
            <w:tcW w:w="134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001446"/>
              </w:rPr>
              <w:t>New product</w:t>
            </w: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color w:val="001446"/>
                <w:w w:val="99"/>
              </w:rPr>
              <w:t>20%</w:t>
            </w: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gridSpan w:val="6"/>
            <w:vMerge w:val="restart"/>
          </w:tcPr>
          <w:p>
            <w:pPr>
              <w:jc w:val="center"/>
              <w:ind w:right="300"/>
              <w:spacing w:after="0"/>
              <w:rPr>
                <w:sz w:val="20"/>
                <w:szCs w:val="20"/>
                <w:color w:val="auto"/>
              </w:rPr>
            </w:pPr>
            <w:r>
              <w:rPr>
                <w:rFonts w:ascii="Arial" w:cs="Arial" w:eastAsia="Arial" w:hAnsi="Arial"/>
                <w:sz w:val="13"/>
                <w:szCs w:val="13"/>
                <w:color w:val="001446"/>
                <w:w w:val="98"/>
              </w:rPr>
              <w:t>Goals which include the installation of new products</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gridSpan w:val="2"/>
            <w:vMerge w:val="restart"/>
          </w:tcPr>
          <w:p>
            <w:pPr>
              <w:jc w:val="center"/>
              <w:ind w:left="176"/>
              <w:spacing w:after="0"/>
              <w:rPr>
                <w:sz w:val="20"/>
                <w:szCs w:val="20"/>
                <w:color w:val="auto"/>
              </w:rPr>
            </w:pPr>
            <w:r>
              <w:rPr>
                <w:rFonts w:ascii="Arial" w:cs="Arial" w:eastAsia="Arial" w:hAnsi="Arial"/>
                <w:sz w:val="13"/>
                <w:szCs w:val="13"/>
                <w:color w:val="001446"/>
                <w:w w:val="97"/>
              </w:rPr>
              <w:t>25.0%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gridSpan w:val="6"/>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6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001446"/>
              </w:rPr>
              <w:t>introduction</w:t>
            </w:r>
          </w:p>
        </w:tc>
        <w:tc>
          <w:tcPr>
            <w:tcW w:w="92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6"/>
          </w:tcPr>
          <w:p>
            <w:pPr>
              <w:ind w:left="80"/>
              <w:spacing w:after="0"/>
              <w:rPr>
                <w:sz w:val="20"/>
                <w:szCs w:val="20"/>
                <w:color w:val="auto"/>
              </w:rPr>
            </w:pPr>
            <w:r>
              <w:rPr>
                <w:rFonts w:ascii="Arial" w:cs="Arial" w:eastAsia="Arial" w:hAnsi="Arial"/>
                <w:sz w:val="13"/>
                <w:szCs w:val="13"/>
                <w:b w:val="1"/>
                <w:bCs w:val="1"/>
                <w:color w:val="001446"/>
              </w:rPr>
              <w:t>Manufacturing</w:t>
            </w: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color w:val="001446"/>
                <w:w w:val="99"/>
              </w:rPr>
              <w:t>10%</w:t>
            </w:r>
          </w:p>
        </w:tc>
        <w:tc>
          <w:tcPr>
            <w:tcW w:w="4800" w:type="dxa"/>
            <w:vAlign w:val="bottom"/>
            <w:gridSpan w:val="8"/>
            <w:vMerge w:val="restart"/>
          </w:tcPr>
          <w:p>
            <w:pPr>
              <w:jc w:val="center"/>
              <w:ind w:left="996"/>
              <w:spacing w:after="0"/>
              <w:rPr>
                <w:sz w:val="20"/>
                <w:szCs w:val="20"/>
                <w:color w:val="auto"/>
              </w:rPr>
            </w:pPr>
            <w:r>
              <w:rPr>
                <w:rFonts w:ascii="Arial" w:cs="Arial" w:eastAsia="Arial" w:hAnsi="Arial"/>
                <w:sz w:val="13"/>
                <w:szCs w:val="13"/>
                <w:color w:val="001446"/>
                <w:w w:val="98"/>
              </w:rPr>
              <w:t>Goals which include increasing manufacturing capacity in the U.S.</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gridSpan w:val="2"/>
            <w:vMerge w:val="restart"/>
          </w:tcPr>
          <w:p>
            <w:pPr>
              <w:jc w:val="center"/>
              <w:ind w:left="176"/>
              <w:spacing w:after="0"/>
              <w:rPr>
                <w:sz w:val="20"/>
                <w:szCs w:val="20"/>
                <w:color w:val="auto"/>
              </w:rPr>
            </w:pPr>
            <w:r>
              <w:rPr>
                <w:rFonts w:ascii="Arial" w:cs="Arial" w:eastAsia="Arial" w:hAnsi="Arial"/>
                <w:sz w:val="13"/>
                <w:szCs w:val="13"/>
                <w:color w:val="001446"/>
                <w:w w:val="94"/>
              </w:rPr>
              <w:t>9.6%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001446"/>
              </w:rPr>
              <w:t>KPI’s</w:t>
            </w:r>
          </w:p>
        </w:tc>
        <w:tc>
          <w:tcPr>
            <w:tcW w:w="920" w:type="dxa"/>
            <w:vAlign w:val="bottom"/>
            <w:gridSpan w:val="3"/>
            <w:vMerge w:val="continue"/>
          </w:tcPr>
          <w:p>
            <w:pPr>
              <w:spacing w:after="0"/>
              <w:rPr>
                <w:sz w:val="8"/>
                <w:szCs w:val="8"/>
                <w:color w:val="auto"/>
              </w:rPr>
            </w:pPr>
          </w:p>
        </w:tc>
        <w:tc>
          <w:tcPr>
            <w:tcW w:w="480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5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001446"/>
              </w:rPr>
              <w:t>Total</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001446"/>
                <w:w w:val="96"/>
              </w:rPr>
              <w:t>100%</w:t>
            </w: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3"/>
                <w:szCs w:val="13"/>
                <w:color w:val="001446"/>
                <w:w w:val="97"/>
              </w:rPr>
              <w:t>86.2%</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520" w:type="dxa"/>
            <w:vAlign w:val="bottom"/>
            <w:gridSpan w:val="3"/>
          </w:tcPr>
          <w:p>
            <w:pPr>
              <w:ind w:left="280"/>
              <w:spacing w:after="0"/>
              <w:rPr>
                <w:sz w:val="20"/>
                <w:szCs w:val="20"/>
                <w:color w:val="auto"/>
              </w:rPr>
            </w:pPr>
            <w:r>
              <w:rPr>
                <w:rFonts w:ascii="Arial" w:cs="Arial" w:eastAsia="Arial" w:hAnsi="Arial"/>
                <w:sz w:val="14"/>
                <w:szCs w:val="14"/>
                <w:color w:val="001446"/>
              </w:rPr>
              <w:t>(1)</w:t>
            </w:r>
          </w:p>
        </w:tc>
        <w:tc>
          <w:tcPr>
            <w:tcW w:w="8740" w:type="dxa"/>
            <w:vAlign w:val="bottom"/>
            <w:gridSpan w:val="22"/>
          </w:tcPr>
          <w:p>
            <w:pPr>
              <w:ind w:left="60"/>
              <w:spacing w:after="0"/>
              <w:rPr>
                <w:sz w:val="20"/>
                <w:szCs w:val="20"/>
                <w:color w:val="auto"/>
              </w:rPr>
            </w:pPr>
            <w:r>
              <w:rPr>
                <w:rFonts w:ascii="Arial" w:cs="Arial" w:eastAsia="Arial" w:hAnsi="Arial"/>
                <w:sz w:val="14"/>
                <w:szCs w:val="14"/>
                <w:color w:val="001446"/>
              </w:rPr>
              <w:t>Please see Appendix A to this proxy statement for a reconciliation of non-GAAP measures to the nearest GAAP measure.</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144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0" w:type="dxa"/>
            <w:vAlign w:val="bottom"/>
            <w:gridSpan w:val="3"/>
          </w:tcPr>
          <w:p>
            <w:pPr>
              <w:ind w:left="280"/>
              <w:spacing w:after="0"/>
              <w:rPr>
                <w:sz w:val="20"/>
                <w:szCs w:val="20"/>
                <w:color w:val="auto"/>
              </w:rPr>
            </w:pPr>
            <w:r>
              <w:rPr>
                <w:rFonts w:ascii="Arial" w:cs="Arial" w:eastAsia="Arial" w:hAnsi="Arial"/>
                <w:sz w:val="14"/>
                <w:szCs w:val="14"/>
                <w:color w:val="001446"/>
              </w:rPr>
              <w:t>(2)</w:t>
            </w:r>
          </w:p>
        </w:tc>
        <w:tc>
          <w:tcPr>
            <w:tcW w:w="60" w:type="dxa"/>
            <w:vAlign w:val="bottom"/>
          </w:tcPr>
          <w:p>
            <w:pPr>
              <w:spacing w:after="0"/>
              <w:rPr>
                <w:sz w:val="24"/>
                <w:szCs w:val="24"/>
                <w:color w:val="auto"/>
              </w:rPr>
            </w:pPr>
          </w:p>
        </w:tc>
        <w:tc>
          <w:tcPr>
            <w:tcW w:w="9700" w:type="dxa"/>
            <w:vAlign w:val="bottom"/>
            <w:gridSpan w:val="24"/>
          </w:tcPr>
          <w:p>
            <w:pPr>
              <w:spacing w:after="0"/>
              <w:rPr>
                <w:sz w:val="20"/>
                <w:szCs w:val="20"/>
                <w:color w:val="auto"/>
              </w:rPr>
            </w:pPr>
            <w:r>
              <w:rPr>
                <w:rFonts w:ascii="Arial" w:cs="Arial" w:eastAsia="Arial" w:hAnsi="Arial"/>
                <w:sz w:val="14"/>
                <w:szCs w:val="14"/>
                <w:color w:val="001446"/>
              </w:rPr>
              <w:t>Further details regarding the goals included in the Business Strategic Goals are not disclosed due to their confidentiality and commercially sensitive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144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shd w:val="clear" w:color="auto" w:fill="001446"/>
          </w:tcPr>
          <w:p>
            <w:pPr>
              <w:spacing w:after="0" w:line="20" w:lineRule="exact"/>
              <w:rPr>
                <w:sz w:val="1"/>
                <w:szCs w:val="1"/>
                <w:color w:val="auto"/>
              </w:rPr>
            </w:pPr>
          </w:p>
        </w:tc>
        <w:tc>
          <w:tcPr>
            <w:tcW w:w="60" w:type="dxa"/>
            <w:vAlign w:val="bottom"/>
            <w:tcBorders>
              <w:right w:val="single" w:sz="8" w:color="001446"/>
            </w:tcBorders>
            <w:shd w:val="clear" w:color="auto" w:fill="001446"/>
          </w:tcPr>
          <w:p>
            <w:pPr>
              <w:spacing w:after="0" w:line="20" w:lineRule="exact"/>
              <w:rPr>
                <w:sz w:val="1"/>
                <w:szCs w:val="1"/>
                <w:color w:val="auto"/>
              </w:rPr>
            </w:pPr>
          </w:p>
        </w:tc>
        <w:tc>
          <w:tcPr>
            <w:tcW w:w="620" w:type="dxa"/>
            <w:vAlign w:val="bottom"/>
            <w:shd w:val="clear" w:color="auto" w:fill="001446"/>
          </w:tcPr>
          <w:p>
            <w:pPr>
              <w:spacing w:after="0" w:line="20" w:lineRule="exact"/>
              <w:rPr>
                <w:sz w:val="1"/>
                <w:szCs w:val="1"/>
                <w:color w:val="auto"/>
              </w:rPr>
            </w:pPr>
          </w:p>
        </w:tc>
        <w:tc>
          <w:tcPr>
            <w:tcW w:w="140" w:type="dxa"/>
            <w:vAlign w:val="bottom"/>
            <w:tcBorders>
              <w:right w:val="single" w:sz="8" w:color="001446"/>
            </w:tcBorders>
          </w:tcPr>
          <w:p>
            <w:pPr>
              <w:spacing w:after="0" w:line="20" w:lineRule="exact"/>
              <w:rPr>
                <w:sz w:val="1"/>
                <w:szCs w:val="1"/>
                <w:color w:val="auto"/>
              </w:rPr>
            </w:pPr>
          </w:p>
        </w:tc>
        <w:tc>
          <w:tcPr>
            <w:tcW w:w="20" w:type="dxa"/>
            <w:vAlign w:val="bottom"/>
            <w:shd w:val="clear" w:color="auto" w:fill="001446"/>
          </w:tcPr>
          <w:p>
            <w:pPr>
              <w:spacing w:after="0" w:line="20" w:lineRule="exact"/>
              <w:rPr>
                <w:sz w:val="1"/>
                <w:szCs w:val="1"/>
                <w:color w:val="auto"/>
              </w:rPr>
            </w:pPr>
          </w:p>
        </w:tc>
        <w:tc>
          <w:tcPr>
            <w:tcW w:w="200" w:type="dxa"/>
            <w:vAlign w:val="bottom"/>
            <w:shd w:val="clear" w:color="auto" w:fill="001446"/>
          </w:tcPr>
          <w:p>
            <w:pPr>
              <w:spacing w:after="0" w:line="20" w:lineRule="exact"/>
              <w:rPr>
                <w:sz w:val="1"/>
                <w:szCs w:val="1"/>
                <w:color w:val="auto"/>
              </w:rPr>
            </w:pPr>
          </w:p>
        </w:tc>
        <w:tc>
          <w:tcPr>
            <w:tcW w:w="120" w:type="dxa"/>
            <w:vAlign w:val="bottom"/>
            <w:tcBorders>
              <w:left w:val="single" w:sz="8" w:color="001446"/>
            </w:tcBorders>
          </w:tcPr>
          <w:p>
            <w:pPr>
              <w:spacing w:after="0" w:line="20" w:lineRule="exact"/>
              <w:rPr>
                <w:sz w:val="1"/>
                <w:szCs w:val="1"/>
                <w:color w:val="auto"/>
              </w:rPr>
            </w:pPr>
          </w:p>
        </w:tc>
        <w:tc>
          <w:tcPr>
            <w:tcW w:w="280" w:type="dxa"/>
            <w:vAlign w:val="bottom"/>
            <w:gridSpan w:val="2"/>
            <w:shd w:val="clear" w:color="auto" w:fill="00144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3"/>
            <w:shd w:val="clear" w:color="auto" w:fill="001446"/>
          </w:tcPr>
          <w:p>
            <w:pPr>
              <w:spacing w:after="0" w:line="20" w:lineRule="exact"/>
              <w:rPr>
                <w:sz w:val="1"/>
                <w:szCs w:val="1"/>
                <w:color w:val="auto"/>
              </w:rPr>
            </w:pPr>
          </w:p>
        </w:tc>
        <w:tc>
          <w:tcPr>
            <w:tcW w:w="140" w:type="dxa"/>
            <w:vAlign w:val="bottom"/>
            <w:shd w:val="clear" w:color="auto" w:fill="00144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1446"/>
          </w:tcPr>
          <w:p>
            <w:pPr>
              <w:spacing w:after="0" w:line="20" w:lineRule="exact"/>
              <w:rPr>
                <w:sz w:val="1"/>
                <w:szCs w:val="1"/>
                <w:color w:val="auto"/>
              </w:rPr>
            </w:pPr>
          </w:p>
        </w:tc>
        <w:tc>
          <w:tcPr>
            <w:tcW w:w="820" w:type="dxa"/>
            <w:vAlign w:val="bottom"/>
            <w:shd w:val="clear" w:color="auto" w:fill="001446"/>
          </w:tcPr>
          <w:p>
            <w:pPr>
              <w:spacing w:after="0" w:line="20" w:lineRule="exact"/>
              <w:rPr>
                <w:sz w:val="1"/>
                <w:szCs w:val="1"/>
                <w:color w:val="auto"/>
              </w:rPr>
            </w:pPr>
          </w:p>
        </w:tc>
        <w:tc>
          <w:tcPr>
            <w:tcW w:w="1540" w:type="dxa"/>
            <w:vAlign w:val="bottom"/>
            <w:shd w:val="clear" w:color="auto" w:fill="001446"/>
          </w:tcPr>
          <w:p>
            <w:pPr>
              <w:spacing w:after="0" w:line="20" w:lineRule="exact"/>
              <w:rPr>
                <w:sz w:val="1"/>
                <w:szCs w:val="1"/>
                <w:color w:val="auto"/>
              </w:rPr>
            </w:pPr>
          </w:p>
        </w:tc>
        <w:tc>
          <w:tcPr>
            <w:tcW w:w="280" w:type="dxa"/>
            <w:vAlign w:val="bottom"/>
            <w:shd w:val="clear" w:color="auto" w:fill="00144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144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144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5700" w:type="dxa"/>
            <w:vAlign w:val="bottom"/>
            <w:gridSpan w:val="17"/>
          </w:tcPr>
          <w:p>
            <w:pPr>
              <w:spacing w:after="0" w:line="148" w:lineRule="exact"/>
              <w:rPr>
                <w:sz w:val="20"/>
                <w:szCs w:val="20"/>
                <w:color w:val="auto"/>
              </w:rPr>
            </w:pPr>
            <w:r>
              <w:rPr>
                <w:rFonts w:ascii="Arial" w:cs="Arial" w:eastAsia="Arial" w:hAnsi="Arial"/>
                <w:sz w:val="14"/>
                <w:szCs w:val="14"/>
                <w:color w:val="001446"/>
              </w:rPr>
              <w:t>nature, as the Company believes disclosure could result in competitive harm.</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1446"/>
          </w:tcPr>
          <w:p>
            <w:pPr>
              <w:spacing w:after="0" w:line="20" w:lineRule="exact"/>
              <w:rPr>
                <w:sz w:val="1"/>
                <w:szCs w:val="1"/>
                <w:color w:val="auto"/>
              </w:rPr>
            </w:pPr>
          </w:p>
        </w:tc>
        <w:tc>
          <w:tcPr>
            <w:tcW w:w="60" w:type="dxa"/>
            <w:vAlign w:val="bottom"/>
            <w:tcBorders>
              <w:right w:val="single" w:sz="8" w:color="001446"/>
            </w:tcBorders>
          </w:tcPr>
          <w:p>
            <w:pPr>
              <w:spacing w:after="0" w:line="20" w:lineRule="exact"/>
              <w:rPr>
                <w:sz w:val="1"/>
                <w:szCs w:val="1"/>
                <w:color w:val="auto"/>
              </w:rPr>
            </w:pPr>
          </w:p>
        </w:tc>
        <w:tc>
          <w:tcPr>
            <w:tcW w:w="620" w:type="dxa"/>
            <w:vAlign w:val="bottom"/>
            <w:shd w:val="clear" w:color="auto" w:fill="001446"/>
          </w:tcPr>
          <w:p>
            <w:pPr>
              <w:spacing w:after="0" w:line="20" w:lineRule="exact"/>
              <w:rPr>
                <w:sz w:val="1"/>
                <w:szCs w:val="1"/>
                <w:color w:val="auto"/>
              </w:rPr>
            </w:pPr>
          </w:p>
        </w:tc>
        <w:tc>
          <w:tcPr>
            <w:tcW w:w="140" w:type="dxa"/>
            <w:vAlign w:val="bottom"/>
            <w:tcBorders>
              <w:right w:val="single" w:sz="8" w:color="001446"/>
            </w:tcBorders>
            <w:shd w:val="clear" w:color="auto" w:fill="00144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1446"/>
          </w:tcPr>
          <w:p>
            <w:pPr>
              <w:spacing w:after="0" w:line="20" w:lineRule="exact"/>
              <w:rPr>
                <w:sz w:val="1"/>
                <w:szCs w:val="1"/>
                <w:color w:val="auto"/>
              </w:rPr>
            </w:pPr>
          </w:p>
        </w:tc>
        <w:tc>
          <w:tcPr>
            <w:tcW w:w="120" w:type="dxa"/>
            <w:vAlign w:val="bottom"/>
            <w:tcBorders>
              <w:right w:val="single" w:sz="8" w:color="001446"/>
            </w:tcBorders>
          </w:tcPr>
          <w:p>
            <w:pPr>
              <w:spacing w:after="0" w:line="20" w:lineRule="exact"/>
              <w:rPr>
                <w:sz w:val="1"/>
                <w:szCs w:val="1"/>
                <w:color w:val="auto"/>
              </w:rPr>
            </w:pPr>
          </w:p>
        </w:tc>
        <w:tc>
          <w:tcPr>
            <w:tcW w:w="240" w:type="dxa"/>
            <w:vAlign w:val="bottom"/>
            <w:tcBorders>
              <w:right w:val="single" w:sz="8" w:color="001446"/>
            </w:tcBorders>
            <w:shd w:val="clear" w:color="auto" w:fill="001446"/>
          </w:tcPr>
          <w:p>
            <w:pPr>
              <w:spacing w:after="0" w:line="20" w:lineRule="exact"/>
              <w:rPr>
                <w:sz w:val="1"/>
                <w:szCs w:val="1"/>
                <w:color w:val="auto"/>
              </w:rPr>
            </w:pPr>
          </w:p>
        </w:tc>
        <w:tc>
          <w:tcPr>
            <w:tcW w:w="40" w:type="dxa"/>
            <w:vAlign w:val="bottom"/>
            <w:shd w:val="clear" w:color="auto" w:fill="001446"/>
          </w:tcPr>
          <w:p>
            <w:pPr>
              <w:spacing w:after="0" w:line="20" w:lineRule="exact"/>
              <w:rPr>
                <w:sz w:val="1"/>
                <w:szCs w:val="1"/>
                <w:color w:val="auto"/>
              </w:rPr>
            </w:pPr>
          </w:p>
        </w:tc>
        <w:tc>
          <w:tcPr>
            <w:tcW w:w="80" w:type="dxa"/>
            <w:vAlign w:val="bottom"/>
            <w:shd w:val="clear" w:color="auto" w:fill="001446"/>
          </w:tcPr>
          <w:p>
            <w:pPr>
              <w:spacing w:after="0" w:line="20" w:lineRule="exact"/>
              <w:rPr>
                <w:sz w:val="1"/>
                <w:szCs w:val="1"/>
                <w:color w:val="auto"/>
              </w:rPr>
            </w:pPr>
          </w:p>
        </w:tc>
        <w:tc>
          <w:tcPr>
            <w:tcW w:w="800" w:type="dxa"/>
            <w:vAlign w:val="bottom"/>
            <w:shd w:val="clear" w:color="auto" w:fill="001446"/>
          </w:tcPr>
          <w:p>
            <w:pPr>
              <w:spacing w:after="0" w:line="20" w:lineRule="exact"/>
              <w:rPr>
                <w:sz w:val="1"/>
                <w:szCs w:val="1"/>
                <w:color w:val="auto"/>
              </w:rPr>
            </w:pPr>
          </w:p>
        </w:tc>
        <w:tc>
          <w:tcPr>
            <w:tcW w:w="1300" w:type="dxa"/>
            <w:vAlign w:val="bottom"/>
            <w:shd w:val="clear" w:color="auto" w:fill="00144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1446"/>
          </w:tcPr>
          <w:p>
            <w:pPr>
              <w:spacing w:after="0" w:line="20" w:lineRule="exact"/>
              <w:rPr>
                <w:sz w:val="1"/>
                <w:szCs w:val="1"/>
                <w:color w:val="auto"/>
              </w:rPr>
            </w:pPr>
          </w:p>
        </w:tc>
        <w:tc>
          <w:tcPr>
            <w:tcW w:w="80" w:type="dxa"/>
            <w:vAlign w:val="bottom"/>
            <w:shd w:val="clear" w:color="auto" w:fill="001446"/>
          </w:tcPr>
          <w:p>
            <w:pPr>
              <w:spacing w:after="0" w:line="20" w:lineRule="exact"/>
              <w:rPr>
                <w:sz w:val="1"/>
                <w:szCs w:val="1"/>
                <w:color w:val="auto"/>
              </w:rPr>
            </w:pPr>
          </w:p>
        </w:tc>
        <w:tc>
          <w:tcPr>
            <w:tcW w:w="600" w:type="dxa"/>
            <w:vAlign w:val="bottom"/>
            <w:shd w:val="clear" w:color="auto" w:fill="00144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180340</wp:posOffset>
                </wp:positionH>
                <wp:positionV relativeFrom="paragraph">
                  <wp:posOffset>-321945</wp:posOffset>
                </wp:positionV>
                <wp:extent cx="4445"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4572">
                          <a:solidFill>
                            <a:srgbClr val="001446"/>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pt,-25.3499pt" to="14.55pt,-25.3499pt" o:allowincell="f" strokecolor="#001446" strokeweight="0.36pt"/>
            </w:pict>
          </mc:Fallback>
        </mc:AlternateContent>
        <mc:AlternateContent>
          <mc:Choice Requires="wps">
            <w:drawing>
              <wp:anchor simplePos="0" relativeHeight="251657728" behindDoc="1" locked="0" layoutInCell="0" allowOverlap="1">
                <wp:simplePos x="0" y="0"/>
                <wp:positionH relativeFrom="column">
                  <wp:posOffset>180340</wp:posOffset>
                </wp:positionH>
                <wp:positionV relativeFrom="paragraph">
                  <wp:posOffset>-108585</wp:posOffset>
                </wp:positionV>
                <wp:extent cx="444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4572">
                          <a:solidFill>
                            <a:srgbClr val="001446"/>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pt,-8.5499pt" to="14.55pt,-8.5499pt" o:allowincell="f" strokecolor="#001446" strokeweight="0.36pt"/>
            </w:pict>
          </mc:Fallback>
        </mc:AlternateContent>
      </w:r>
    </w:p>
    <w:p>
      <w:pPr>
        <w:spacing w:after="0" w:line="148" w:lineRule="exact"/>
        <w:rPr>
          <w:sz w:val="20"/>
          <w:szCs w:val="20"/>
          <w:color w:val="auto"/>
        </w:rPr>
      </w:pPr>
    </w:p>
    <w:p>
      <w:pPr>
        <w:jc w:val="both"/>
        <w:ind w:right="600"/>
        <w:spacing w:after="0" w:line="292" w:lineRule="auto"/>
        <w:rPr>
          <w:sz w:val="20"/>
          <w:szCs w:val="20"/>
          <w:color w:val="auto"/>
        </w:rPr>
      </w:pPr>
      <w:r>
        <w:rPr>
          <w:rFonts w:ascii="Arial" w:cs="Arial" w:eastAsia="Arial" w:hAnsi="Arial"/>
          <w:sz w:val="14"/>
          <w:szCs w:val="14"/>
          <w:color w:val="auto"/>
        </w:rPr>
        <w:t>The Company exceeded the minimum financial goals required for bonus payments by achieving annual revenue of over $1 billion and a 86.2% of Target Corporate Performance Achieved. The earned bonus amounts were calculated based on 2025 salaries without giving effect to the temporary 10% salary reductions that were put in place at the beginning of the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81915</wp:posOffset>
                </wp:positionV>
                <wp:extent cx="6532245" cy="584835"/>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378" o:spid="_x0000_s1403" style="position:absolute;margin-left:-0.1499pt;margin-top:6.45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prstDash val="dash"/>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2pt">
                <v:stroke dashstyle="dash"/>
              </v:line>
            </w:pict>
          </mc:Fallback>
        </mc:AlternateContent>
      </w:r>
    </w:p>
    <w:p>
      <w:pPr>
        <w:sectPr>
          <w:pgSz w:w="11900" w:h="16840" w:orient="portrait"/>
          <w:cols w:equalWidth="0" w:num="1">
            <w:col w:w="10280"/>
          </w:cols>
          <w:pgMar w:left="820" w:top="1139" w:right="804"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001446"/>
        </w:rPr>
        <w:t>Equity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2025 Annual Equity Awards</w:t>
      </w:r>
    </w:p>
    <w:p>
      <w:pPr>
        <w:spacing w:after="0" w:line="15" w:lineRule="exact"/>
        <w:rPr>
          <w:sz w:val="20"/>
          <w:szCs w:val="20"/>
          <w:color w:val="auto"/>
        </w:rPr>
      </w:pPr>
    </w:p>
    <w:p>
      <w:pPr>
        <w:jc w:val="both"/>
        <w:ind w:right="160"/>
        <w:spacing w:after="0" w:line="261" w:lineRule="auto"/>
        <w:rPr>
          <w:sz w:val="20"/>
          <w:szCs w:val="20"/>
          <w:color w:val="auto"/>
        </w:rPr>
      </w:pPr>
      <w:r>
        <w:rPr>
          <w:rFonts w:ascii="Arial" w:cs="Arial" w:eastAsia="Arial" w:hAnsi="Arial"/>
          <w:sz w:val="14"/>
          <w:szCs w:val="14"/>
          <w:color w:val="001446"/>
        </w:rPr>
        <w:t>The 2025 NEO equity awards granted at the beginning of the year other than to Mr. Alperovitz, who joined the Company on March 3, 2025, were targeted to be 50% in PSUs and 50% in RSUs, each, with potential to upside of up to 150% of the target PSUs. The Company believes that this ratio supports a performance-based compensation program that aligns the NEOs’ interests with the interests of stockholders, and provides a balance between maximizing stockholder value and retention (with RSUs vesting quarterly for continued employment over four years and with PSUs tied to the 30-day successive average trading price of the Company’s common stock and contingent on a minimum employment period of two years).</w:t>
      </w:r>
    </w:p>
    <w:p>
      <w:pPr>
        <w:spacing w:after="0" w:line="129"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color w:val="001446"/>
        </w:rPr>
        <w:t>The following table sets forth the target annual equity award value for each NEO employed in January 2025 (or, for Mr. Alperovitz, in connection with his appointment in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62230</wp:posOffset>
            </wp:positionV>
            <wp:extent cx="6558280" cy="280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4">
                      <a:extLst>
                        <a:ext uri="{28A0092B-C50C-407E-A947-70E740481C1C}"/>
                      </a:extLst>
                    </a:blip>
                    <a:srcRect/>
                    <a:stretch>
                      <a:fillRect/>
                    </a:stretch>
                  </pic:blipFill>
                  <pic:spPr bwMode="auto">
                    <a:xfrm>
                      <a:off x="0" y="0"/>
                      <a:ext cx="6558280" cy="28003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Borders>
              <w:top w:val="single" w:sz="8" w:color="auto"/>
              <w:right w:val="single" w:sz="8" w:color="auto"/>
            </w:tcBorders>
            <w:vMerge w:val="restart"/>
            <w:shd w:val="clear" w:color="auto" w:fill="001446"/>
          </w:tcPr>
          <w:p>
            <w:pPr>
              <w:ind w:left="100"/>
              <w:spacing w:after="0"/>
              <w:rPr>
                <w:sz w:val="20"/>
                <w:szCs w:val="20"/>
                <w:color w:val="auto"/>
              </w:rPr>
            </w:pPr>
            <w:r>
              <w:rPr>
                <w:rFonts w:ascii="Arial" w:cs="Arial" w:eastAsia="Arial" w:hAnsi="Arial"/>
                <w:sz w:val="14"/>
                <w:szCs w:val="14"/>
                <w:b w:val="1"/>
                <w:bCs w:val="1"/>
                <w:color w:val="F0F0F0"/>
              </w:rPr>
              <w:t>Name</w:t>
            </w:r>
          </w:p>
        </w:tc>
        <w:tc>
          <w:tcPr>
            <w:tcW w:w="2060" w:type="dxa"/>
            <w:vAlign w:val="bottom"/>
            <w:tcBorders>
              <w:top w:val="single" w:sz="8" w:color="auto"/>
              <w:right w:val="single" w:sz="8" w:color="auto"/>
            </w:tcBorders>
            <w:shd w:val="clear" w:color="auto" w:fill="001446"/>
          </w:tcPr>
          <w:p>
            <w:pPr>
              <w:jc w:val="center"/>
              <w:spacing w:after="0"/>
              <w:rPr>
                <w:sz w:val="20"/>
                <w:szCs w:val="20"/>
                <w:color w:val="auto"/>
              </w:rPr>
            </w:pPr>
            <w:r>
              <w:rPr>
                <w:rFonts w:ascii="Arial" w:cs="Arial" w:eastAsia="Arial" w:hAnsi="Arial"/>
                <w:sz w:val="14"/>
                <w:szCs w:val="14"/>
                <w:b w:val="1"/>
                <w:bCs w:val="1"/>
                <w:color w:val="F0F0F0"/>
              </w:rPr>
              <w:t>RSU</w:t>
            </w:r>
          </w:p>
        </w:tc>
        <w:tc>
          <w:tcPr>
            <w:tcW w:w="2060" w:type="dxa"/>
            <w:vAlign w:val="bottom"/>
            <w:tcBorders>
              <w:top w:val="single" w:sz="8" w:color="auto"/>
              <w:right w:val="single" w:sz="8" w:color="auto"/>
            </w:tcBorders>
            <w:shd w:val="clear" w:color="auto" w:fill="001446"/>
          </w:tcPr>
          <w:p>
            <w:pPr>
              <w:jc w:val="center"/>
              <w:spacing w:after="0"/>
              <w:rPr>
                <w:sz w:val="20"/>
                <w:szCs w:val="20"/>
                <w:color w:val="auto"/>
              </w:rPr>
            </w:pPr>
            <w:r>
              <w:rPr>
                <w:rFonts w:ascii="Arial" w:cs="Arial" w:eastAsia="Arial" w:hAnsi="Arial"/>
                <w:sz w:val="14"/>
                <w:szCs w:val="14"/>
                <w:b w:val="1"/>
                <w:bCs w:val="1"/>
                <w:color w:val="F0F0F0"/>
              </w:rPr>
              <w:t>Target PSU</w:t>
            </w:r>
          </w:p>
        </w:tc>
        <w:tc>
          <w:tcPr>
            <w:tcW w:w="4200" w:type="dxa"/>
            <w:vAlign w:val="bottom"/>
            <w:tcBorders>
              <w:top w:val="single" w:sz="8" w:color="001446"/>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rPr>
              <w:t>Total Target Annual Equity Value ($)</w:t>
            </w: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continue"/>
            <w:shd w:val="clear" w:color="auto" w:fill="001446"/>
          </w:tcPr>
          <w:p>
            <w:pPr>
              <w:spacing w:after="0"/>
              <w:rPr>
                <w:sz w:val="10"/>
                <w:szCs w:val="10"/>
                <w:color w:val="auto"/>
              </w:rPr>
            </w:pPr>
          </w:p>
        </w:tc>
        <w:tc>
          <w:tcPr>
            <w:tcW w:w="206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rPr>
              <w:t>Value ($)</w:t>
            </w:r>
          </w:p>
        </w:tc>
        <w:tc>
          <w:tcPr>
            <w:tcW w:w="206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rPr>
              <w:t>Value ($)</w:t>
            </w:r>
          </w:p>
        </w:tc>
        <w:tc>
          <w:tcPr>
            <w:tcW w:w="4200" w:type="dxa"/>
            <w:vAlign w:val="bottom"/>
            <w:vMerge w:val="continue"/>
            <w:shd w:val="clear" w:color="auto" w:fill="001446"/>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960" w:type="dxa"/>
            <w:vAlign w:val="bottom"/>
            <w:tcBorders>
              <w:right w:val="single" w:sz="8" w:color="auto"/>
            </w:tcBorders>
            <w:shd w:val="clear" w:color="auto" w:fill="001446"/>
          </w:tcPr>
          <w:p>
            <w:pPr>
              <w:spacing w:after="0"/>
              <w:rPr>
                <w:sz w:val="7"/>
                <w:szCs w:val="7"/>
                <w:color w:val="auto"/>
              </w:rPr>
            </w:pPr>
          </w:p>
        </w:tc>
        <w:tc>
          <w:tcPr>
            <w:tcW w:w="2060" w:type="dxa"/>
            <w:vAlign w:val="bottom"/>
            <w:tcBorders>
              <w:right w:val="single" w:sz="8" w:color="auto"/>
            </w:tcBorders>
            <w:vMerge w:val="continue"/>
            <w:shd w:val="clear" w:color="auto" w:fill="001446"/>
          </w:tcPr>
          <w:p>
            <w:pPr>
              <w:spacing w:after="0"/>
              <w:rPr>
                <w:sz w:val="7"/>
                <w:szCs w:val="7"/>
                <w:color w:val="auto"/>
              </w:rPr>
            </w:pPr>
          </w:p>
        </w:tc>
        <w:tc>
          <w:tcPr>
            <w:tcW w:w="2060" w:type="dxa"/>
            <w:vAlign w:val="bottom"/>
            <w:tcBorders>
              <w:right w:val="single" w:sz="8" w:color="auto"/>
            </w:tcBorders>
            <w:vMerge w:val="continue"/>
            <w:shd w:val="clear" w:color="auto" w:fill="001446"/>
          </w:tcPr>
          <w:p>
            <w:pPr>
              <w:spacing w:after="0"/>
              <w:rPr>
                <w:sz w:val="7"/>
                <w:szCs w:val="7"/>
                <w:color w:val="auto"/>
              </w:rPr>
            </w:pPr>
          </w:p>
        </w:tc>
        <w:tc>
          <w:tcPr>
            <w:tcW w:w="4200" w:type="dxa"/>
            <w:vAlign w:val="bottom"/>
            <w:shd w:val="clear" w:color="auto" w:fill="001446"/>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right w:val="single" w:sz="8" w:color="F2F2F2"/>
            </w:tcBorders>
            <w:shd w:val="clear" w:color="auto" w:fill="F2F2F2"/>
          </w:tcPr>
          <w:p>
            <w:pPr>
              <w:ind w:left="100"/>
              <w:spacing w:after="0"/>
              <w:rPr>
                <w:sz w:val="20"/>
                <w:szCs w:val="20"/>
                <w:color w:val="auto"/>
              </w:rPr>
            </w:pPr>
            <w:r>
              <w:rPr>
                <w:rFonts w:ascii="Arial" w:cs="Arial" w:eastAsia="Arial" w:hAnsi="Arial"/>
                <w:sz w:val="14"/>
                <w:szCs w:val="14"/>
                <w:b w:val="1"/>
                <w:bCs w:val="1"/>
                <w:color w:val="001446"/>
              </w:rPr>
              <w:t>Shuki Nir</w:t>
            </w:r>
          </w:p>
        </w:tc>
        <w:tc>
          <w:tcPr>
            <w:tcW w:w="20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$2,100,000</w:t>
            </w:r>
          </w:p>
        </w:tc>
        <w:tc>
          <w:tcPr>
            <w:tcW w:w="20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$2,100,000</w:t>
            </w:r>
          </w:p>
        </w:tc>
        <w:tc>
          <w:tcPr>
            <w:tcW w:w="42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$4,200,000</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right w:val="single" w:sz="8" w:color="F2F2F2"/>
            </w:tcBorders>
            <w:shd w:val="clear" w:color="auto" w:fill="F2F2F2"/>
          </w:tcPr>
          <w:p>
            <w:pPr>
              <w:ind w:left="100"/>
              <w:spacing w:after="0"/>
              <w:rPr>
                <w:sz w:val="20"/>
                <w:szCs w:val="20"/>
                <w:color w:val="auto"/>
              </w:rPr>
            </w:pPr>
            <w:r>
              <w:rPr>
                <w:rFonts w:ascii="Arial" w:cs="Arial" w:eastAsia="Arial" w:hAnsi="Arial"/>
                <w:sz w:val="14"/>
                <w:szCs w:val="14"/>
                <w:b w:val="1"/>
                <w:bCs w:val="1"/>
                <w:color w:val="001446"/>
              </w:rPr>
              <w:t>Asaf Alperovitz</w:t>
            </w:r>
          </w:p>
        </w:tc>
        <w:tc>
          <w:tcPr>
            <w:tcW w:w="20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20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42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$1,200,000</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1446"/>
              </w:rPr>
              <w:t>Ariel Porat</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$600,000</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$600,000</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$1,200,000</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right w:val="single" w:sz="8" w:color="F2F2F2"/>
            </w:tcBorders>
            <w:shd w:val="clear" w:color="auto" w:fill="F2F2F2"/>
          </w:tcPr>
          <w:p>
            <w:pPr>
              <w:ind w:left="100"/>
              <w:spacing w:after="0"/>
              <w:rPr>
                <w:sz w:val="20"/>
                <w:szCs w:val="20"/>
                <w:color w:val="auto"/>
              </w:rPr>
            </w:pPr>
            <w:r>
              <w:rPr>
                <w:rFonts w:ascii="Arial" w:cs="Arial" w:eastAsia="Arial" w:hAnsi="Arial"/>
                <w:sz w:val="14"/>
                <w:szCs w:val="14"/>
                <w:b w:val="1"/>
                <w:bCs w:val="1"/>
                <w:color w:val="001446"/>
              </w:rPr>
              <w:t>Uri Bechor</w:t>
            </w:r>
          </w:p>
        </w:tc>
        <w:tc>
          <w:tcPr>
            <w:tcW w:w="20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20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42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$1,200,000</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1446"/>
              </w:rPr>
              <w:t>Daniel Huber</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$500,000</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$500,000</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$1,000,000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001446"/>
        </w:rPr>
        <w:t>The 2025 RSUs vest in equal quarterly installments over a four- year period commencing on February 28, 2025 and ending February 28, 2029 (or, for Mr. Alperovitz, as of 25% on May 31, 2026, and quarterly thereafter through May 31, 2029). At grant, the 2025 PSU grant targets represented substantial upside. Mr. Alperovitz’s PSUs were granted when the stock price was ~$17.32, making the $40 target a ~131% increase, while Mr. Porat, Mr. Nir and Mr. Bechor were granted PSUs at ~ $14.00, making the $40 target a ~186% increase, underscoring the rigor of the award at the time of grant. With respect to the 2025 PSUs, 50% of the target PSUs would be earned upon achievement of a $40 stock price hurdle, 100% of the target PSUs would be earned upon achievement of a $70 price hurdle, and 150% of the target PSUs would be earned upon achievement of a $100 price hurdle. Achievement is defined as a 30-day successive average trading price of the Company’s common stock. The stock price hurdles may be achieved over the three years after grant, and any PSUs that are earned during the first two years after grant are subject to a two-year time-vesting requirement from the date of grant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Performance of 2023 and 2024 PSUs</w:t>
      </w:r>
    </w:p>
    <w:p>
      <w:pPr>
        <w:spacing w:after="0" w:line="21"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The PSUs granted in 2023 were eligible to vest based on the Company’s TSR for the period measured from January 1, 2023 to December 31, 2025 relative to the TSR of the companies in the S&amp;P 500 Index. The Company’s TSR was below the threshold performance level, which required at least 25th percentile performance. As a result, no PSUs were earned.</w:t>
      </w:r>
    </w:p>
    <w:p>
      <w:pPr>
        <w:spacing w:after="0" w:line="122" w:lineRule="exact"/>
        <w:rPr>
          <w:sz w:val="20"/>
          <w:szCs w:val="20"/>
          <w:color w:val="auto"/>
        </w:rPr>
      </w:pPr>
    </w:p>
    <w:p>
      <w:pPr>
        <w:ind w:right="340"/>
        <w:spacing w:after="0" w:line="292" w:lineRule="auto"/>
        <w:rPr>
          <w:sz w:val="20"/>
          <w:szCs w:val="20"/>
          <w:color w:val="auto"/>
        </w:rPr>
      </w:pPr>
      <w:r>
        <w:rPr>
          <w:rFonts w:ascii="Arial" w:cs="Arial" w:eastAsia="Arial" w:hAnsi="Arial"/>
          <w:sz w:val="14"/>
          <w:szCs w:val="14"/>
          <w:color w:val="001446"/>
        </w:rPr>
        <w:t>With respect to the 2024 PSUs, tied to the Company’s TSR for the period measured from January 1, 2024 to December 31, 2026 relative to the TSR of the companies in the S&amp;P 500 Index, the measurement will occur at the end of the performance period on December 31, 2026. These PSUs were tracking to be earned at 0% of target as of December 31, 2025.</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2025 Other Equity Awards</w:t>
      </w:r>
    </w:p>
    <w:p>
      <w:pPr>
        <w:spacing w:after="0" w:line="15"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001446"/>
        </w:rPr>
        <w:t>Mr. Huber received an additional 20,000 RSUs that vest in equal quarterly installments over a four-year period commencing on August 31, 2025. This award was granted to our Chief Revenue Officer to recognize his key contributions toward driving successful progress in the Company’s turnaround, including executing increased product adoption through a combination of organic growth and strategic partnerships.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86995</wp:posOffset>
                </wp:positionV>
                <wp:extent cx="6532245" cy="58420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381" o:spid="_x0000_s1406" style="position:absolute;margin-left:-0.1499pt;margin-top:6.8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80"/>
          </w:cols>
          <w:pgMar w:left="820" w:top="1139" w:right="804"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001446"/>
        </w:rPr>
        <w:t>Other Compensation</w:t>
      </w:r>
    </w:p>
    <w:p>
      <w:pPr>
        <w:spacing w:after="0" w:line="184"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001446"/>
        </w:rPr>
        <w:t>Our NEOs receive benefits that we generally make available to all salaried employees in Israel, where the NEOs are located. These include contributions to an education fund and to a fund known as Manager’s Insurance, which provides for a combination of retirement plan, insurance, and severance pay benefits to Israeli employees. See the section below entitled “Executive Compensation Table Narrative-Employment Agreements” for more information. Executives do not receive any special perquisites not extended to other employees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1446"/>
        </w:rPr>
        <w:t>Tax Deductibility of Compensation</w:t>
      </w:r>
    </w:p>
    <w:p>
      <w:pPr>
        <w:spacing w:after="0" w:line="183"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color w:val="001446"/>
        </w:rPr>
        <w:t>Section 162(m) of the Internal Revenue Code (the Code) limits the deductibility of compensation to $1 million per year per person for certain of our executive officers, including our NEOs.</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001446"/>
        </w:rPr>
        <w:t>While our Compensation Committee considers the impact of this tax treatment, the primary factor influencing program design is the support of our business objectives. Generally, whether compensation will be deductible under Section 162(m) of the Code will be a consideration, but not the decisive consideration, with respect to our Compensation Committee’s compensation determinations. Accordingly, our Compensation Committee retains flexibility to structure our compensation programs in a manner that is not tax deductible in order to achieve a strategic result that our Compensation Committee determines to be more appropriate.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205105</wp:posOffset>
                </wp:positionV>
                <wp:extent cx="653224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6">
                          <a:solidFill>
                            <a:srgbClr val="FF3131"/>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15pt" to="514.15pt,16.15pt" o:allowincell="f" strokecolor="#FF3131" strokeweight="0.78pt"/>
            </w:pict>
          </mc:Fallback>
        </mc:AlternateContent>
      </w:r>
    </w:p>
    <w:p>
      <w:pPr>
        <w:spacing w:after="0" w:line="380"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Committee Report</w:t>
      </w:r>
    </w:p>
    <w:p>
      <w:pPr>
        <w:spacing w:after="0" w:line="207" w:lineRule="exact"/>
        <w:rPr>
          <w:sz w:val="20"/>
          <w:szCs w:val="20"/>
          <w:color w:val="auto"/>
        </w:rPr>
      </w:pPr>
    </w:p>
    <w:p>
      <w:pPr>
        <w:spacing w:after="0" w:line="299" w:lineRule="auto"/>
        <w:rPr>
          <w:sz w:val="20"/>
          <w:szCs w:val="20"/>
          <w:color w:val="auto"/>
        </w:rPr>
      </w:pPr>
      <w:r>
        <w:rPr>
          <w:rFonts w:ascii="Arial" w:cs="Arial" w:eastAsia="Arial" w:hAnsi="Arial"/>
          <w:sz w:val="14"/>
          <w:szCs w:val="14"/>
          <w:color w:val="001446"/>
        </w:rPr>
        <w:t>The Compensation Committee has reviewed and discussed with management and its independent consultant the Compensation Discussion and Analysis above, and based on such reviews and discussions, recommended to our Board that the Compensation Discussion and Analysis be included in this Proxy Statement.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001446"/>
        </w:rPr>
        <w:t>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Dana Gross,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Yoram Tietz</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Betsy Atkins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118745</wp:posOffset>
                </wp:positionV>
                <wp:extent cx="6532245" cy="583565"/>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384" o:spid="_x0000_s1409" style="position:absolute;margin-left:-0.1499pt;margin-top:9.3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40"/>
          </w:cols>
          <w:pgMar w:left="820" w:top="1139" w:right="844" w:bottom="1440" w:gutter="0" w:footer="0" w:header="0"/>
        </w:sectPr>
      </w:pPr>
    </w:p>
    <w:bookmarkStart w:id="202" w:name="page203"/>
    <w:bookmarkEnd w:id="202"/>
    <w:p>
      <w:pPr>
        <w:ind w:left="4"/>
        <w:spacing w:after="0"/>
        <w:rPr>
          <w:sz w:val="20"/>
          <w:szCs w:val="20"/>
          <w:color w:val="auto"/>
        </w:rPr>
      </w:pPr>
      <w:r>
        <w:rPr>
          <w:rFonts w:ascii="Arial" w:cs="Arial" w:eastAsia="Arial" w:hAnsi="Arial"/>
          <w:sz w:val="38"/>
          <w:szCs w:val="38"/>
          <w:b w:val="1"/>
          <w:bCs w:val="1"/>
          <w:color w:val="001446"/>
        </w:rPr>
        <w:t>Compensation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-246380</wp:posOffset>
                </wp:positionV>
                <wp:extent cx="6532245"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5333">
                          <a:solidFill>
                            <a:srgbClr val="FF3232"/>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3999pt" to="514.35pt,-19.3999pt" o:allowincell="f" strokecolor="#FF3232" strokeweight="0.4199pt"/>
            </w:pict>
          </mc:Fallback>
        </mc:AlternateContent>
      </w:r>
    </w:p>
    <w:p>
      <w:pPr>
        <w:spacing w:after="0" w:line="188" w:lineRule="exact"/>
        <w:rPr>
          <w:sz w:val="20"/>
          <w:szCs w:val="20"/>
          <w:color w:val="auto"/>
        </w:rPr>
      </w:pPr>
    </w:p>
    <w:p>
      <w:pPr>
        <w:ind w:left="4" w:right="20"/>
        <w:spacing w:after="0" w:line="266" w:lineRule="auto"/>
        <w:rPr>
          <w:sz w:val="20"/>
          <w:szCs w:val="20"/>
          <w:color w:val="auto"/>
        </w:rPr>
      </w:pPr>
      <w:r>
        <w:rPr>
          <w:rFonts w:ascii="Arial" w:cs="Arial" w:eastAsia="Arial" w:hAnsi="Arial"/>
          <w:sz w:val="14"/>
          <w:szCs w:val="14"/>
          <w:color w:val="001446"/>
        </w:rPr>
        <w:t>Our compensation programs are designed to balance risk and reward in relation to the Company’s overall business strategy. Management assessed, and the Compensation Committee reviewed, our senior executive and broad-based compensation and benefits programs. Based on this assessment, we have concluded that our compensation policies and practices do not create risks that are reasonably likely to have a material adverse effect on us. Among the program attributes that discourage inappropriate risk-taking are:</w:t>
      </w:r>
    </w:p>
    <w:p>
      <w:pPr>
        <w:spacing w:after="0" w:line="142" w:lineRule="exact"/>
        <w:rPr>
          <w:sz w:val="20"/>
          <w:szCs w:val="20"/>
          <w:color w:val="auto"/>
        </w:rPr>
      </w:pPr>
    </w:p>
    <w:p>
      <w:pPr>
        <w:ind w:left="424" w:right="260" w:hanging="280"/>
        <w:spacing w:after="0" w:line="253" w:lineRule="auto"/>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The balance between annual and long-term compensation, including the fact that a significant portion of compensation is delivered in the form of equity incentives that vest over several years;</w:t>
      </w:r>
    </w:p>
    <w:p>
      <w:pPr>
        <w:ind w:left="424" w:right="140" w:hanging="280"/>
        <w:spacing w:after="0" w:line="254" w:lineRule="auto"/>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PSUs are measured against the 30-day successive average trading price of the Company’s common stock, and are subject to at least a two-year vesting period;</w:t>
      </w:r>
    </w:p>
    <w:p>
      <w:pPr>
        <w:spacing w:after="0" w:line="1" w:lineRule="exact"/>
        <w:rPr>
          <w:rFonts w:ascii="Arial" w:cs="Arial" w:eastAsia="Arial" w:hAnsi="Arial"/>
          <w:sz w:val="14"/>
          <w:szCs w:val="14"/>
          <w:color w:val="FF0000"/>
        </w:rPr>
      </w:pPr>
    </w:p>
    <w:p>
      <w:pPr>
        <w:ind w:left="424" w:hanging="280"/>
        <w:spacing w:after="0"/>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Certain NEOs also have PSUs that are measured against the Company’s TSR relative to the TSR of companies in the S&amp;P 500 index;</w:t>
      </w:r>
    </w:p>
    <w:p>
      <w:pPr>
        <w:spacing w:after="0" w:line="13" w:lineRule="exact"/>
        <w:rPr>
          <w:rFonts w:ascii="Arial" w:cs="Arial" w:eastAsia="Arial" w:hAnsi="Arial"/>
          <w:sz w:val="14"/>
          <w:szCs w:val="14"/>
          <w:color w:val="FF0000"/>
        </w:rPr>
      </w:pPr>
    </w:p>
    <w:p>
      <w:pPr>
        <w:ind w:left="424" w:right="580" w:hanging="280"/>
        <w:spacing w:after="0" w:line="254" w:lineRule="auto"/>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The use of multiple financial and business strategic metrics for performance-based annual cash incentive awards under our annual cash incentive program;</w:t>
      </w:r>
    </w:p>
    <w:p>
      <w:pPr>
        <w:spacing w:after="0" w:line="1" w:lineRule="exact"/>
        <w:rPr>
          <w:rFonts w:ascii="Arial" w:cs="Arial" w:eastAsia="Arial" w:hAnsi="Arial"/>
          <w:sz w:val="14"/>
          <w:szCs w:val="14"/>
          <w:color w:val="FF0000"/>
        </w:rPr>
      </w:pPr>
    </w:p>
    <w:p>
      <w:pPr>
        <w:ind w:left="424" w:right="160" w:hanging="280"/>
        <w:spacing w:after="0" w:line="263" w:lineRule="auto"/>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The Compensation Committee’s ability to modify annual cash incentives to reflect the quality of earnings, individual performance, and other factors that it believes should influence compensation;</w:t>
      </w:r>
    </w:p>
    <w:p>
      <w:pPr>
        <w:spacing w:after="0" w:line="1" w:lineRule="exact"/>
        <w:rPr>
          <w:rFonts w:ascii="Arial" w:cs="Arial" w:eastAsia="Arial" w:hAnsi="Arial"/>
          <w:sz w:val="14"/>
          <w:szCs w:val="14"/>
          <w:color w:val="FF0000"/>
        </w:rPr>
      </w:pPr>
    </w:p>
    <w:p>
      <w:pPr>
        <w:ind w:left="424" w:right="120" w:hanging="280"/>
        <w:spacing w:after="0" w:line="250" w:lineRule="auto"/>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Our management stock-selling restrictions encourage a longer-term perspective and align the interests of senior executives and the board, as applicable, with other stockholders; and</w:t>
      </w:r>
    </w:p>
    <w:p>
      <w:pPr>
        <w:ind w:left="424" w:right="340" w:hanging="280"/>
        <w:spacing w:after="0" w:line="293" w:lineRule="auto"/>
        <w:tabs>
          <w:tab w:leader="none" w:pos="424" w:val="left"/>
        </w:tabs>
        <w:numPr>
          <w:ilvl w:val="0"/>
          <w:numId w:val="113"/>
        </w:numPr>
        <w:rPr>
          <w:rFonts w:ascii="Arial" w:cs="Arial" w:eastAsia="Arial" w:hAnsi="Arial"/>
          <w:sz w:val="14"/>
          <w:szCs w:val="14"/>
          <w:color w:val="FF0000"/>
        </w:rPr>
      </w:pPr>
      <w:r>
        <w:rPr>
          <w:rFonts w:ascii="Arial" w:cs="Arial" w:eastAsia="Arial" w:hAnsi="Arial"/>
          <w:sz w:val="14"/>
          <w:szCs w:val="14"/>
          <w:color w:val="001446"/>
        </w:rPr>
        <w:t>We maintain a clawback policy applicable to our executive team which provides for the recoupment of incentive-based compensation in the event of a financial restatement.</w:t>
      </w:r>
    </w:p>
    <w:p>
      <w:pPr>
        <w:spacing w:after="0" w:line="94" w:lineRule="exact"/>
        <w:rPr>
          <w:sz w:val="20"/>
          <w:szCs w:val="20"/>
          <w:color w:val="auto"/>
        </w:rPr>
      </w:pPr>
    </w:p>
    <w:p>
      <w:pPr>
        <w:ind w:left="4"/>
        <w:spacing w:after="0"/>
        <w:rPr>
          <w:sz w:val="20"/>
          <w:szCs w:val="20"/>
          <w:color w:val="auto"/>
        </w:rPr>
      </w:pPr>
      <w:r>
        <w:rPr>
          <w:rFonts w:ascii="Arial" w:cs="Arial" w:eastAsia="Arial" w:hAnsi="Arial"/>
          <w:sz w:val="22"/>
          <w:szCs w:val="22"/>
          <w:color w:val="001446"/>
        </w:rPr>
        <w:t>Summary Compensation Table</w:t>
      </w:r>
    </w:p>
    <w:p>
      <w:pPr>
        <w:spacing w:after="0" w:line="183" w:lineRule="exact"/>
        <w:rPr>
          <w:sz w:val="20"/>
          <w:szCs w:val="20"/>
          <w:color w:val="auto"/>
        </w:rPr>
      </w:pPr>
    </w:p>
    <w:p>
      <w:pPr>
        <w:ind w:left="4" w:right="80"/>
        <w:spacing w:after="0" w:line="299" w:lineRule="auto"/>
        <w:rPr>
          <w:sz w:val="20"/>
          <w:szCs w:val="20"/>
          <w:color w:val="auto"/>
        </w:rPr>
      </w:pPr>
      <w:r>
        <w:rPr>
          <w:rFonts w:ascii="Arial" w:cs="Arial" w:eastAsia="Arial" w:hAnsi="Arial"/>
          <w:sz w:val="14"/>
          <w:szCs w:val="14"/>
          <w:color w:val="001446"/>
        </w:rPr>
        <w:t>The following table summarizes the compensation of our NEOs for the year ended December 31, 2025, the year ended December 31, 2024, and the year ended December 31, 2023.</w:t>
      </w:r>
    </w:p>
    <w:p>
      <w:pPr>
        <w:spacing w:after="0" w:line="95"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180" w:type="dxa"/>
            <w:vAlign w:val="bottom"/>
            <w:shd w:val="clear" w:color="auto" w:fill="000F47"/>
          </w:tcPr>
          <w:p>
            <w:pPr>
              <w:spacing w:after="0"/>
              <w:rPr>
                <w:sz w:val="13"/>
                <w:szCs w:val="13"/>
                <w:color w:val="auto"/>
              </w:rPr>
            </w:pPr>
          </w:p>
        </w:tc>
        <w:tc>
          <w:tcPr>
            <w:tcW w:w="940" w:type="dxa"/>
            <w:vAlign w:val="bottom"/>
            <w:shd w:val="clear" w:color="auto" w:fill="001446"/>
          </w:tcPr>
          <w:p>
            <w:pPr>
              <w:spacing w:after="0"/>
              <w:rPr>
                <w:sz w:val="13"/>
                <w:szCs w:val="13"/>
                <w:color w:val="auto"/>
              </w:rPr>
            </w:pPr>
          </w:p>
        </w:tc>
        <w:tc>
          <w:tcPr>
            <w:tcW w:w="1200" w:type="dxa"/>
            <w:vAlign w:val="bottom"/>
            <w:shd w:val="clear" w:color="auto" w:fill="000F47"/>
          </w:tcPr>
          <w:p>
            <w:pPr>
              <w:spacing w:after="0"/>
              <w:rPr>
                <w:sz w:val="13"/>
                <w:szCs w:val="13"/>
                <w:color w:val="auto"/>
              </w:rPr>
            </w:pPr>
          </w:p>
        </w:tc>
        <w:tc>
          <w:tcPr>
            <w:tcW w:w="1480" w:type="dxa"/>
            <w:vAlign w:val="bottom"/>
            <w:shd w:val="clear" w:color="auto" w:fill="000F47"/>
          </w:tcPr>
          <w:p>
            <w:pPr>
              <w:spacing w:after="0"/>
              <w:rPr>
                <w:sz w:val="13"/>
                <w:szCs w:val="13"/>
                <w:color w:val="auto"/>
              </w:rPr>
            </w:pPr>
          </w:p>
        </w:tc>
        <w:tc>
          <w:tcPr>
            <w:tcW w:w="1320" w:type="dxa"/>
            <w:vAlign w:val="bottom"/>
            <w:shd w:val="clear" w:color="auto" w:fill="000F47"/>
          </w:tcPr>
          <w:p>
            <w:pPr>
              <w:jc w:val="center"/>
              <w:ind w:left="16"/>
              <w:spacing w:after="0"/>
              <w:rPr>
                <w:sz w:val="20"/>
                <w:szCs w:val="20"/>
                <w:color w:val="auto"/>
              </w:rPr>
            </w:pPr>
            <w:r>
              <w:rPr>
                <w:rFonts w:ascii="Arial" w:cs="Arial" w:eastAsia="Arial" w:hAnsi="Arial"/>
                <w:sz w:val="13"/>
                <w:szCs w:val="13"/>
                <w:b w:val="1"/>
                <w:bCs w:val="1"/>
                <w:color w:val="FFFFFF"/>
                <w:w w:val="98"/>
              </w:rPr>
              <w:t>Non-Equity</w:t>
            </w:r>
          </w:p>
        </w:tc>
        <w:tc>
          <w:tcPr>
            <w:tcW w:w="1240" w:type="dxa"/>
            <w:vAlign w:val="bottom"/>
            <w:vMerge w:val="restart"/>
            <w:shd w:val="clear" w:color="auto" w:fill="000F47"/>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920" w:type="dxa"/>
            <w:vAlign w:val="bottom"/>
            <w:shd w:val="clear" w:color="auto" w:fill="000F47"/>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3180" w:type="dxa"/>
            <w:vAlign w:val="bottom"/>
            <w:shd w:val="clear" w:color="auto" w:fill="000F47"/>
          </w:tcPr>
          <w:p>
            <w:pPr>
              <w:spacing w:after="0"/>
              <w:rPr>
                <w:sz w:val="6"/>
                <w:szCs w:val="6"/>
                <w:color w:val="auto"/>
              </w:rPr>
            </w:pPr>
          </w:p>
        </w:tc>
        <w:tc>
          <w:tcPr>
            <w:tcW w:w="940" w:type="dxa"/>
            <w:vAlign w:val="bottom"/>
            <w:shd w:val="clear" w:color="auto" w:fill="001446"/>
          </w:tcPr>
          <w:p>
            <w:pPr>
              <w:spacing w:after="0"/>
              <w:rPr>
                <w:sz w:val="6"/>
                <w:szCs w:val="6"/>
                <w:color w:val="auto"/>
              </w:rPr>
            </w:pPr>
          </w:p>
        </w:tc>
        <w:tc>
          <w:tcPr>
            <w:tcW w:w="1200" w:type="dxa"/>
            <w:vAlign w:val="bottom"/>
            <w:vMerge w:val="restart"/>
            <w:shd w:val="clear" w:color="auto" w:fill="000F47"/>
          </w:tcPr>
          <w:p>
            <w:pPr>
              <w:jc w:val="right"/>
              <w:ind w:right="296"/>
              <w:spacing w:after="0" w:line="144" w:lineRule="exact"/>
              <w:rPr>
                <w:sz w:val="20"/>
                <w:szCs w:val="20"/>
                <w:color w:val="auto"/>
              </w:rPr>
            </w:pPr>
            <w:r>
              <w:rPr>
                <w:rFonts w:ascii="Arial" w:cs="Arial" w:eastAsia="Arial" w:hAnsi="Arial"/>
                <w:sz w:val="13"/>
                <w:szCs w:val="13"/>
                <w:b w:val="1"/>
                <w:bCs w:val="1"/>
                <w:color w:val="FFFFFF"/>
              </w:rPr>
              <w:t>Salary</w:t>
            </w:r>
          </w:p>
        </w:tc>
        <w:tc>
          <w:tcPr>
            <w:tcW w:w="1480" w:type="dxa"/>
            <w:vAlign w:val="bottom"/>
            <w:vMerge w:val="restart"/>
            <w:shd w:val="clear" w:color="auto" w:fill="000F47"/>
          </w:tcPr>
          <w:p>
            <w:pPr>
              <w:ind w:left="380"/>
              <w:spacing w:after="0" w:line="144" w:lineRule="exact"/>
              <w:rPr>
                <w:sz w:val="20"/>
                <w:szCs w:val="20"/>
                <w:color w:val="auto"/>
              </w:rPr>
            </w:pPr>
            <w:r>
              <w:rPr>
                <w:rFonts w:ascii="Arial" w:cs="Arial" w:eastAsia="Arial" w:hAnsi="Arial"/>
                <w:sz w:val="13"/>
                <w:szCs w:val="13"/>
                <w:b w:val="1"/>
                <w:bCs w:val="1"/>
                <w:color w:val="FFFFFF"/>
              </w:rPr>
              <w:t>Stock Awards</w:t>
            </w:r>
          </w:p>
        </w:tc>
        <w:tc>
          <w:tcPr>
            <w:tcW w:w="1320" w:type="dxa"/>
            <w:vAlign w:val="bottom"/>
            <w:vMerge w:val="restart"/>
            <w:shd w:val="clear" w:color="auto" w:fill="000F47"/>
          </w:tcPr>
          <w:p>
            <w:pPr>
              <w:jc w:val="center"/>
              <w:ind w:left="36"/>
              <w:spacing w:after="0" w:line="144" w:lineRule="exact"/>
              <w:rPr>
                <w:sz w:val="20"/>
                <w:szCs w:val="20"/>
                <w:color w:val="auto"/>
              </w:rPr>
            </w:pPr>
            <w:r>
              <w:rPr>
                <w:rFonts w:ascii="Arial" w:cs="Arial" w:eastAsia="Arial" w:hAnsi="Arial"/>
                <w:sz w:val="13"/>
                <w:szCs w:val="13"/>
                <w:b w:val="1"/>
                <w:bCs w:val="1"/>
                <w:color w:val="FFFFFF"/>
                <w:w w:val="98"/>
              </w:rPr>
              <w:t>Incentive Plan</w:t>
            </w:r>
          </w:p>
        </w:tc>
        <w:tc>
          <w:tcPr>
            <w:tcW w:w="1240" w:type="dxa"/>
            <w:vAlign w:val="bottom"/>
            <w:vMerge w:val="continue"/>
            <w:shd w:val="clear" w:color="auto" w:fill="000F47"/>
          </w:tcPr>
          <w:p>
            <w:pPr>
              <w:spacing w:after="0"/>
              <w:rPr>
                <w:sz w:val="6"/>
                <w:szCs w:val="6"/>
                <w:color w:val="auto"/>
              </w:rPr>
            </w:pPr>
          </w:p>
        </w:tc>
        <w:tc>
          <w:tcPr>
            <w:tcW w:w="920" w:type="dxa"/>
            <w:vAlign w:val="bottom"/>
            <w:vMerge w:val="restart"/>
            <w:shd w:val="clear" w:color="auto" w:fill="000F47"/>
          </w:tcPr>
          <w:p>
            <w:pPr>
              <w:ind w:left="320"/>
              <w:spacing w:after="0" w:line="144"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72"/>
        </w:trPr>
        <w:tc>
          <w:tcPr>
            <w:tcW w:w="3180" w:type="dxa"/>
            <w:vAlign w:val="bottom"/>
            <w:vMerge w:val="restart"/>
            <w:shd w:val="clear" w:color="auto" w:fill="000F47"/>
          </w:tcPr>
          <w:p>
            <w:pPr>
              <w:ind w:left="80"/>
              <w:spacing w:after="0" w:line="144" w:lineRule="exact"/>
              <w:rPr>
                <w:sz w:val="20"/>
                <w:szCs w:val="20"/>
                <w:color w:val="auto"/>
              </w:rPr>
            </w:pPr>
            <w:r>
              <w:rPr>
                <w:rFonts w:ascii="Arial" w:cs="Arial" w:eastAsia="Arial" w:hAnsi="Arial"/>
                <w:sz w:val="13"/>
                <w:szCs w:val="13"/>
                <w:b w:val="1"/>
                <w:bCs w:val="1"/>
                <w:color w:val="FFFFFF"/>
              </w:rPr>
              <w:t>Name and Principal Position</w:t>
            </w:r>
          </w:p>
        </w:tc>
        <w:tc>
          <w:tcPr>
            <w:tcW w:w="940" w:type="dxa"/>
            <w:vAlign w:val="bottom"/>
            <w:vMerge w:val="restart"/>
            <w:shd w:val="clear" w:color="auto" w:fill="001446"/>
          </w:tcPr>
          <w:p>
            <w:pPr>
              <w:ind w:left="340"/>
              <w:spacing w:after="0" w:line="144" w:lineRule="exact"/>
              <w:rPr>
                <w:sz w:val="20"/>
                <w:szCs w:val="20"/>
                <w:color w:val="auto"/>
              </w:rPr>
            </w:pPr>
            <w:r>
              <w:rPr>
                <w:rFonts w:ascii="Arial" w:cs="Arial" w:eastAsia="Arial" w:hAnsi="Arial"/>
                <w:sz w:val="13"/>
                <w:szCs w:val="13"/>
                <w:b w:val="1"/>
                <w:bCs w:val="1"/>
                <w:color w:val="FFFFFF"/>
              </w:rPr>
              <w:t>Year</w:t>
            </w:r>
          </w:p>
        </w:tc>
        <w:tc>
          <w:tcPr>
            <w:tcW w:w="1200" w:type="dxa"/>
            <w:vAlign w:val="bottom"/>
            <w:vMerge w:val="continue"/>
            <w:shd w:val="clear" w:color="auto" w:fill="000F47"/>
          </w:tcPr>
          <w:p>
            <w:pPr>
              <w:spacing w:after="0"/>
              <w:rPr>
                <w:sz w:val="6"/>
                <w:szCs w:val="6"/>
                <w:color w:val="auto"/>
              </w:rPr>
            </w:pPr>
          </w:p>
        </w:tc>
        <w:tc>
          <w:tcPr>
            <w:tcW w:w="1480" w:type="dxa"/>
            <w:vAlign w:val="bottom"/>
            <w:vMerge w:val="continue"/>
            <w:shd w:val="clear" w:color="auto" w:fill="000F47"/>
          </w:tcPr>
          <w:p>
            <w:pPr>
              <w:spacing w:after="0"/>
              <w:rPr>
                <w:sz w:val="6"/>
                <w:szCs w:val="6"/>
                <w:color w:val="auto"/>
              </w:rPr>
            </w:pPr>
          </w:p>
        </w:tc>
        <w:tc>
          <w:tcPr>
            <w:tcW w:w="1320" w:type="dxa"/>
            <w:vAlign w:val="bottom"/>
            <w:vMerge w:val="continue"/>
            <w:shd w:val="clear" w:color="auto" w:fill="000F47"/>
          </w:tcPr>
          <w:p>
            <w:pPr>
              <w:spacing w:after="0"/>
              <w:rPr>
                <w:sz w:val="6"/>
                <w:szCs w:val="6"/>
                <w:color w:val="auto"/>
              </w:rPr>
            </w:pPr>
          </w:p>
        </w:tc>
        <w:tc>
          <w:tcPr>
            <w:tcW w:w="1240" w:type="dxa"/>
            <w:vAlign w:val="bottom"/>
            <w:vMerge w:val="restart"/>
            <w:shd w:val="clear" w:color="auto" w:fill="000F47"/>
          </w:tcPr>
          <w:p>
            <w:pPr>
              <w:jc w:val="center"/>
              <w:spacing w:after="0" w:line="144" w:lineRule="exact"/>
              <w:rPr>
                <w:sz w:val="20"/>
                <w:szCs w:val="20"/>
                <w:color w:val="auto"/>
              </w:rPr>
            </w:pPr>
            <w:r>
              <w:rPr>
                <w:rFonts w:ascii="Arial" w:cs="Arial" w:eastAsia="Arial" w:hAnsi="Arial"/>
                <w:sz w:val="13"/>
                <w:szCs w:val="13"/>
                <w:b w:val="1"/>
                <w:bCs w:val="1"/>
                <w:color w:val="FFFFFF"/>
                <w:w w:val="97"/>
              </w:rPr>
              <w:t>Compensation</w:t>
            </w:r>
          </w:p>
        </w:tc>
        <w:tc>
          <w:tcPr>
            <w:tcW w:w="920" w:type="dxa"/>
            <w:vAlign w:val="bottom"/>
            <w:vMerge w:val="continue"/>
            <w:shd w:val="clear" w:color="auto" w:fill="000F47"/>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180" w:type="dxa"/>
            <w:vAlign w:val="bottom"/>
            <w:vMerge w:val="continue"/>
            <w:shd w:val="clear" w:color="auto" w:fill="000F47"/>
          </w:tcPr>
          <w:p>
            <w:pPr>
              <w:spacing w:after="0"/>
              <w:rPr>
                <w:sz w:val="6"/>
                <w:szCs w:val="6"/>
                <w:color w:val="auto"/>
              </w:rPr>
            </w:pPr>
          </w:p>
        </w:tc>
        <w:tc>
          <w:tcPr>
            <w:tcW w:w="940" w:type="dxa"/>
            <w:vAlign w:val="bottom"/>
            <w:vMerge w:val="continue"/>
            <w:shd w:val="clear" w:color="auto" w:fill="001446"/>
          </w:tcPr>
          <w:p>
            <w:pPr>
              <w:spacing w:after="0"/>
              <w:rPr>
                <w:sz w:val="6"/>
                <w:szCs w:val="6"/>
                <w:color w:val="auto"/>
              </w:rPr>
            </w:pPr>
          </w:p>
        </w:tc>
        <w:tc>
          <w:tcPr>
            <w:tcW w:w="1200" w:type="dxa"/>
            <w:vAlign w:val="bottom"/>
            <w:vMerge w:val="restart"/>
            <w:shd w:val="clear" w:color="auto" w:fill="000F47"/>
          </w:tcPr>
          <w:p>
            <w:pPr>
              <w:jc w:val="right"/>
              <w:ind w:right="336"/>
              <w:spacing w:after="0" w:line="144" w:lineRule="exact"/>
              <w:rPr>
                <w:sz w:val="20"/>
                <w:szCs w:val="20"/>
                <w:color w:val="auto"/>
              </w:rPr>
            </w:pPr>
            <w:r>
              <w:rPr>
                <w:rFonts w:ascii="Arial" w:cs="Arial" w:eastAsia="Arial" w:hAnsi="Arial"/>
                <w:sz w:val="13"/>
                <w:szCs w:val="13"/>
                <w:b w:val="1"/>
                <w:bCs w:val="1"/>
                <w:color w:val="FFFFFF"/>
              </w:rPr>
              <w:t>($)(1)</w:t>
            </w:r>
          </w:p>
        </w:tc>
        <w:tc>
          <w:tcPr>
            <w:tcW w:w="1480" w:type="dxa"/>
            <w:vAlign w:val="bottom"/>
            <w:vMerge w:val="restart"/>
            <w:shd w:val="clear" w:color="auto" w:fill="000F47"/>
          </w:tcPr>
          <w:p>
            <w:pPr>
              <w:jc w:val="center"/>
              <w:ind w:left="56"/>
              <w:spacing w:after="0" w:line="144" w:lineRule="exact"/>
              <w:rPr>
                <w:sz w:val="20"/>
                <w:szCs w:val="20"/>
                <w:color w:val="auto"/>
              </w:rPr>
            </w:pPr>
            <w:r>
              <w:rPr>
                <w:rFonts w:ascii="Arial" w:cs="Arial" w:eastAsia="Arial" w:hAnsi="Arial"/>
                <w:sz w:val="13"/>
                <w:szCs w:val="13"/>
                <w:b w:val="1"/>
                <w:bCs w:val="1"/>
                <w:color w:val="FFFFFF"/>
              </w:rPr>
              <w:t>($)(2)(3)</w:t>
            </w:r>
          </w:p>
        </w:tc>
        <w:tc>
          <w:tcPr>
            <w:tcW w:w="1320" w:type="dxa"/>
            <w:vAlign w:val="bottom"/>
            <w:vMerge w:val="restart"/>
            <w:shd w:val="clear" w:color="auto" w:fill="000F47"/>
          </w:tcPr>
          <w:p>
            <w:pPr>
              <w:jc w:val="center"/>
              <w:ind w:left="36"/>
              <w:spacing w:after="0" w:line="144" w:lineRule="exact"/>
              <w:rPr>
                <w:sz w:val="20"/>
                <w:szCs w:val="20"/>
                <w:color w:val="auto"/>
              </w:rPr>
            </w:pPr>
            <w:r>
              <w:rPr>
                <w:rFonts w:ascii="Arial" w:cs="Arial" w:eastAsia="Arial" w:hAnsi="Arial"/>
                <w:sz w:val="13"/>
                <w:szCs w:val="13"/>
                <w:b w:val="1"/>
                <w:bCs w:val="1"/>
                <w:color w:val="FFFFFF"/>
                <w:w w:val="99"/>
              </w:rPr>
              <w:t>Compensation</w:t>
            </w:r>
          </w:p>
        </w:tc>
        <w:tc>
          <w:tcPr>
            <w:tcW w:w="1240" w:type="dxa"/>
            <w:vAlign w:val="bottom"/>
            <w:vMerge w:val="continue"/>
            <w:shd w:val="clear" w:color="auto" w:fill="000F47"/>
          </w:tcPr>
          <w:p>
            <w:pPr>
              <w:spacing w:after="0"/>
              <w:rPr>
                <w:sz w:val="6"/>
                <w:szCs w:val="6"/>
                <w:color w:val="auto"/>
              </w:rPr>
            </w:pPr>
          </w:p>
        </w:tc>
        <w:tc>
          <w:tcPr>
            <w:tcW w:w="920" w:type="dxa"/>
            <w:vAlign w:val="bottom"/>
            <w:vMerge w:val="restart"/>
            <w:shd w:val="clear" w:color="auto" w:fill="000F47"/>
          </w:tcPr>
          <w:p>
            <w:pPr>
              <w:jc w:val="center"/>
              <w:spacing w:after="0" w:line="144" w:lineRule="exact"/>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72"/>
        </w:trPr>
        <w:tc>
          <w:tcPr>
            <w:tcW w:w="3180" w:type="dxa"/>
            <w:vAlign w:val="bottom"/>
            <w:shd w:val="clear" w:color="auto" w:fill="000F47"/>
          </w:tcPr>
          <w:p>
            <w:pPr>
              <w:spacing w:after="0"/>
              <w:rPr>
                <w:sz w:val="6"/>
                <w:szCs w:val="6"/>
                <w:color w:val="auto"/>
              </w:rPr>
            </w:pPr>
          </w:p>
        </w:tc>
        <w:tc>
          <w:tcPr>
            <w:tcW w:w="940" w:type="dxa"/>
            <w:vAlign w:val="bottom"/>
            <w:shd w:val="clear" w:color="auto" w:fill="001446"/>
          </w:tcPr>
          <w:p>
            <w:pPr>
              <w:spacing w:after="0"/>
              <w:rPr>
                <w:sz w:val="6"/>
                <w:szCs w:val="6"/>
                <w:color w:val="auto"/>
              </w:rPr>
            </w:pPr>
          </w:p>
        </w:tc>
        <w:tc>
          <w:tcPr>
            <w:tcW w:w="1200" w:type="dxa"/>
            <w:vAlign w:val="bottom"/>
            <w:vMerge w:val="continue"/>
            <w:shd w:val="clear" w:color="auto" w:fill="000F47"/>
          </w:tcPr>
          <w:p>
            <w:pPr>
              <w:spacing w:after="0"/>
              <w:rPr>
                <w:sz w:val="6"/>
                <w:szCs w:val="6"/>
                <w:color w:val="auto"/>
              </w:rPr>
            </w:pPr>
          </w:p>
        </w:tc>
        <w:tc>
          <w:tcPr>
            <w:tcW w:w="1480" w:type="dxa"/>
            <w:vAlign w:val="bottom"/>
            <w:vMerge w:val="continue"/>
            <w:shd w:val="clear" w:color="auto" w:fill="000F47"/>
          </w:tcPr>
          <w:p>
            <w:pPr>
              <w:spacing w:after="0"/>
              <w:rPr>
                <w:sz w:val="6"/>
                <w:szCs w:val="6"/>
                <w:color w:val="auto"/>
              </w:rPr>
            </w:pPr>
          </w:p>
        </w:tc>
        <w:tc>
          <w:tcPr>
            <w:tcW w:w="1320" w:type="dxa"/>
            <w:vAlign w:val="bottom"/>
            <w:vMerge w:val="continue"/>
            <w:shd w:val="clear" w:color="auto" w:fill="000F47"/>
          </w:tcPr>
          <w:p>
            <w:pPr>
              <w:spacing w:after="0"/>
              <w:rPr>
                <w:sz w:val="6"/>
                <w:szCs w:val="6"/>
                <w:color w:val="auto"/>
              </w:rPr>
            </w:pPr>
          </w:p>
        </w:tc>
        <w:tc>
          <w:tcPr>
            <w:tcW w:w="1240" w:type="dxa"/>
            <w:vAlign w:val="bottom"/>
            <w:vMerge w:val="restart"/>
            <w:shd w:val="clear" w:color="auto" w:fill="000F47"/>
          </w:tcPr>
          <w:p>
            <w:pPr>
              <w:jc w:val="center"/>
              <w:spacing w:after="0"/>
              <w:rPr>
                <w:sz w:val="20"/>
                <w:szCs w:val="20"/>
                <w:color w:val="auto"/>
              </w:rPr>
            </w:pPr>
            <w:r>
              <w:rPr>
                <w:rFonts w:ascii="Arial" w:cs="Arial" w:eastAsia="Arial" w:hAnsi="Arial"/>
                <w:sz w:val="13"/>
                <w:szCs w:val="13"/>
                <w:b w:val="1"/>
                <w:bCs w:val="1"/>
                <w:color w:val="FFFFFF"/>
              </w:rPr>
              <w:t>($)(1)(5)</w:t>
            </w:r>
          </w:p>
        </w:tc>
        <w:tc>
          <w:tcPr>
            <w:tcW w:w="920" w:type="dxa"/>
            <w:vAlign w:val="bottom"/>
            <w:vMerge w:val="continue"/>
            <w:shd w:val="clear" w:color="auto" w:fill="000F47"/>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000F47"/>
            </w:tcBorders>
            <w:shd w:val="clear" w:color="auto" w:fill="000F47"/>
          </w:tcPr>
          <w:p>
            <w:pPr>
              <w:spacing w:after="0"/>
              <w:rPr>
                <w:sz w:val="12"/>
                <w:szCs w:val="12"/>
                <w:color w:val="auto"/>
              </w:rPr>
            </w:pPr>
          </w:p>
        </w:tc>
        <w:tc>
          <w:tcPr>
            <w:tcW w:w="940" w:type="dxa"/>
            <w:vAlign w:val="bottom"/>
            <w:tcBorders>
              <w:bottom w:val="single" w:sz="8" w:color="001446"/>
            </w:tcBorders>
            <w:shd w:val="clear" w:color="auto" w:fill="001446"/>
          </w:tcPr>
          <w:p>
            <w:pPr>
              <w:spacing w:after="0"/>
              <w:rPr>
                <w:sz w:val="12"/>
                <w:szCs w:val="12"/>
                <w:color w:val="auto"/>
              </w:rPr>
            </w:pPr>
          </w:p>
        </w:tc>
        <w:tc>
          <w:tcPr>
            <w:tcW w:w="1200" w:type="dxa"/>
            <w:vAlign w:val="bottom"/>
            <w:tcBorders>
              <w:bottom w:val="single" w:sz="8" w:color="000F47"/>
            </w:tcBorders>
            <w:shd w:val="clear" w:color="auto" w:fill="000F47"/>
          </w:tcPr>
          <w:p>
            <w:pPr>
              <w:spacing w:after="0"/>
              <w:rPr>
                <w:sz w:val="12"/>
                <w:szCs w:val="12"/>
                <w:color w:val="auto"/>
              </w:rPr>
            </w:pPr>
          </w:p>
        </w:tc>
        <w:tc>
          <w:tcPr>
            <w:tcW w:w="1480" w:type="dxa"/>
            <w:vAlign w:val="bottom"/>
            <w:tcBorders>
              <w:bottom w:val="single" w:sz="8" w:color="000F47"/>
            </w:tcBorders>
            <w:shd w:val="clear" w:color="auto" w:fill="000F47"/>
          </w:tcPr>
          <w:p>
            <w:pPr>
              <w:spacing w:after="0"/>
              <w:rPr>
                <w:sz w:val="12"/>
                <w:szCs w:val="12"/>
                <w:color w:val="auto"/>
              </w:rPr>
            </w:pPr>
          </w:p>
        </w:tc>
        <w:tc>
          <w:tcPr>
            <w:tcW w:w="1320" w:type="dxa"/>
            <w:vAlign w:val="bottom"/>
            <w:tcBorders>
              <w:bottom w:val="single" w:sz="8" w:color="000F47"/>
            </w:tcBorders>
            <w:shd w:val="clear" w:color="auto" w:fill="000F47"/>
          </w:tcPr>
          <w:p>
            <w:pPr>
              <w:jc w:val="center"/>
              <w:ind w:left="36"/>
              <w:spacing w:after="0" w:line="142" w:lineRule="exact"/>
              <w:rPr>
                <w:sz w:val="20"/>
                <w:szCs w:val="20"/>
                <w:color w:val="auto"/>
              </w:rPr>
            </w:pPr>
            <w:r>
              <w:rPr>
                <w:rFonts w:ascii="Arial" w:cs="Arial" w:eastAsia="Arial" w:hAnsi="Arial"/>
                <w:sz w:val="13"/>
                <w:szCs w:val="13"/>
                <w:b w:val="1"/>
                <w:bCs w:val="1"/>
                <w:color w:val="FFFFFF"/>
                <w:w w:val="96"/>
              </w:rPr>
              <w:t>($)(1)(4)</w:t>
            </w:r>
          </w:p>
        </w:tc>
        <w:tc>
          <w:tcPr>
            <w:tcW w:w="1240" w:type="dxa"/>
            <w:vAlign w:val="bottom"/>
            <w:tcBorders>
              <w:bottom w:val="single" w:sz="8" w:color="000F47"/>
            </w:tcBorders>
            <w:vMerge w:val="continue"/>
            <w:shd w:val="clear" w:color="auto" w:fill="000F47"/>
          </w:tcPr>
          <w:p>
            <w:pPr>
              <w:spacing w:after="0"/>
              <w:rPr>
                <w:sz w:val="12"/>
                <w:szCs w:val="12"/>
                <w:color w:val="auto"/>
              </w:rPr>
            </w:pPr>
          </w:p>
        </w:tc>
        <w:tc>
          <w:tcPr>
            <w:tcW w:w="920" w:type="dxa"/>
            <w:vAlign w:val="bottom"/>
            <w:tcBorders>
              <w:bottom w:val="single" w:sz="8" w:color="000F47"/>
            </w:tcBorders>
            <w:shd w:val="clear" w:color="auto" w:fill="000F47"/>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80" w:type="dxa"/>
            <w:vAlign w:val="bottom"/>
          </w:tcPr>
          <w:p>
            <w:pPr>
              <w:ind w:left="80"/>
              <w:spacing w:after="0" w:line="128" w:lineRule="exact"/>
              <w:rPr>
                <w:sz w:val="20"/>
                <w:szCs w:val="20"/>
                <w:color w:val="auto"/>
              </w:rPr>
            </w:pPr>
            <w:r>
              <w:rPr>
                <w:rFonts w:ascii="Arial" w:cs="Arial" w:eastAsia="Arial" w:hAnsi="Arial"/>
                <w:sz w:val="13"/>
                <w:szCs w:val="13"/>
                <w:b w:val="1"/>
                <w:bCs w:val="1"/>
                <w:color w:val="auto"/>
              </w:rPr>
              <w:t>Shuki Nir -</w:t>
            </w:r>
          </w:p>
        </w:tc>
        <w:tc>
          <w:tcPr>
            <w:tcW w:w="940" w:type="dxa"/>
            <w:vAlign w:val="bottom"/>
            <w:shd w:val="clear" w:color="auto" w:fill="F2F2F2"/>
          </w:tcPr>
          <w:p>
            <w:pPr>
              <w:ind w:left="320"/>
              <w:spacing w:after="0" w:line="128" w:lineRule="exact"/>
              <w:rPr>
                <w:sz w:val="20"/>
                <w:szCs w:val="20"/>
                <w:color w:val="auto"/>
              </w:rPr>
            </w:pPr>
            <w:r>
              <w:rPr>
                <w:rFonts w:ascii="Arial" w:cs="Arial" w:eastAsia="Arial" w:hAnsi="Arial"/>
                <w:sz w:val="13"/>
                <w:szCs w:val="13"/>
                <w:color w:val="001446"/>
              </w:rPr>
              <w:t>2025</w:t>
            </w:r>
          </w:p>
        </w:tc>
        <w:tc>
          <w:tcPr>
            <w:tcW w:w="1200" w:type="dxa"/>
            <w:vAlign w:val="bottom"/>
            <w:shd w:val="clear" w:color="auto" w:fill="F2F2F2"/>
          </w:tcPr>
          <w:p>
            <w:pPr>
              <w:jc w:val="right"/>
              <w:ind w:right="296"/>
              <w:spacing w:after="0" w:line="128" w:lineRule="exact"/>
              <w:rPr>
                <w:sz w:val="20"/>
                <w:szCs w:val="20"/>
                <w:color w:val="auto"/>
              </w:rPr>
            </w:pPr>
            <w:r>
              <w:rPr>
                <w:rFonts w:ascii="Arial" w:cs="Arial" w:eastAsia="Arial" w:hAnsi="Arial"/>
                <w:sz w:val="13"/>
                <w:szCs w:val="13"/>
                <w:color w:val="001446"/>
              </w:rPr>
              <w:t>725,667</w:t>
            </w:r>
          </w:p>
        </w:tc>
        <w:tc>
          <w:tcPr>
            <w:tcW w:w="1480" w:type="dxa"/>
            <w:vAlign w:val="bottom"/>
            <w:shd w:val="clear" w:color="auto" w:fill="F2F2F2"/>
          </w:tcPr>
          <w:p>
            <w:pPr>
              <w:jc w:val="center"/>
              <w:ind w:left="56"/>
              <w:spacing w:after="0" w:line="128" w:lineRule="exact"/>
              <w:rPr>
                <w:sz w:val="20"/>
                <w:szCs w:val="20"/>
                <w:color w:val="auto"/>
              </w:rPr>
            </w:pPr>
            <w:r>
              <w:rPr>
                <w:rFonts w:ascii="Arial" w:cs="Arial" w:eastAsia="Arial" w:hAnsi="Arial"/>
                <w:sz w:val="13"/>
                <w:szCs w:val="13"/>
                <w:color w:val="001446"/>
                <w:w w:val="96"/>
              </w:rPr>
              <w:t>3,460,835</w:t>
            </w:r>
          </w:p>
        </w:tc>
        <w:tc>
          <w:tcPr>
            <w:tcW w:w="1320" w:type="dxa"/>
            <w:vAlign w:val="bottom"/>
            <w:shd w:val="clear" w:color="auto" w:fill="F2F2F2"/>
          </w:tcPr>
          <w:p>
            <w:pPr>
              <w:jc w:val="center"/>
              <w:ind w:left="36"/>
              <w:spacing w:after="0" w:line="128" w:lineRule="exact"/>
              <w:rPr>
                <w:sz w:val="20"/>
                <w:szCs w:val="20"/>
                <w:color w:val="auto"/>
              </w:rPr>
            </w:pPr>
            <w:r>
              <w:rPr>
                <w:rFonts w:ascii="Arial" w:cs="Arial" w:eastAsia="Arial" w:hAnsi="Arial"/>
                <w:sz w:val="13"/>
                <w:szCs w:val="13"/>
                <w:color w:val="001446"/>
                <w:w w:val="97"/>
              </w:rPr>
              <w:t>746,968</w:t>
            </w:r>
          </w:p>
        </w:tc>
        <w:tc>
          <w:tcPr>
            <w:tcW w:w="1240" w:type="dxa"/>
            <w:vAlign w:val="bottom"/>
            <w:shd w:val="clear" w:color="auto" w:fill="F2F2F2"/>
          </w:tcPr>
          <w:p>
            <w:pPr>
              <w:jc w:val="center"/>
              <w:spacing w:after="0" w:line="128" w:lineRule="exact"/>
              <w:rPr>
                <w:sz w:val="20"/>
                <w:szCs w:val="20"/>
                <w:color w:val="auto"/>
              </w:rPr>
            </w:pPr>
            <w:r>
              <w:rPr>
                <w:rFonts w:ascii="Arial" w:cs="Arial" w:eastAsia="Arial" w:hAnsi="Arial"/>
                <w:sz w:val="13"/>
                <w:szCs w:val="13"/>
                <w:color w:val="001446"/>
                <w:w w:val="96"/>
              </w:rPr>
              <w:t>127,968 (6)</w:t>
            </w:r>
          </w:p>
        </w:tc>
        <w:tc>
          <w:tcPr>
            <w:tcW w:w="920" w:type="dxa"/>
            <w:vAlign w:val="bottom"/>
            <w:shd w:val="clear" w:color="auto" w:fill="F2F2F2"/>
          </w:tcPr>
          <w:p>
            <w:pPr>
              <w:jc w:val="center"/>
              <w:spacing w:after="0" w:line="128" w:lineRule="exact"/>
              <w:rPr>
                <w:sz w:val="20"/>
                <w:szCs w:val="20"/>
                <w:color w:val="auto"/>
              </w:rPr>
            </w:pPr>
            <w:r>
              <w:rPr>
                <w:rFonts w:ascii="Arial" w:cs="Arial" w:eastAsia="Arial" w:hAnsi="Arial"/>
                <w:sz w:val="13"/>
                <w:szCs w:val="13"/>
                <w:color w:val="001446"/>
                <w:w w:val="96"/>
              </w:rPr>
              <w:t>5,061,438</w:t>
            </w:r>
          </w:p>
        </w:tc>
        <w:tc>
          <w:tcPr>
            <w:tcW w:w="0" w:type="dxa"/>
            <w:vAlign w:val="bottom"/>
          </w:tcPr>
          <w:p>
            <w:pPr>
              <w:spacing w:after="0"/>
              <w:rPr>
                <w:sz w:val="1"/>
                <w:szCs w:val="1"/>
                <w:color w:val="auto"/>
              </w:rPr>
            </w:pPr>
          </w:p>
        </w:tc>
      </w:tr>
      <w:tr>
        <w:trPr>
          <w:trHeight w:val="160"/>
        </w:trPr>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Chief Executive Officer</w:t>
            </w:r>
          </w:p>
        </w:tc>
        <w:tc>
          <w:tcPr>
            <w:tcW w:w="940" w:type="dxa"/>
            <w:vAlign w:val="bottom"/>
            <w:tcBorders>
              <w:bottom w:val="single" w:sz="8" w:color="auto"/>
            </w:tcBorders>
            <w:shd w:val="clear" w:color="auto" w:fill="F2F2F2"/>
          </w:tcPr>
          <w:p>
            <w:pPr>
              <w:ind w:left="320"/>
              <w:spacing w:after="0"/>
              <w:rPr>
                <w:sz w:val="20"/>
                <w:szCs w:val="20"/>
                <w:color w:val="auto"/>
              </w:rPr>
            </w:pPr>
            <w:r>
              <w:rPr>
                <w:rFonts w:ascii="Arial" w:cs="Arial" w:eastAsia="Arial" w:hAnsi="Arial"/>
                <w:sz w:val="13"/>
                <w:szCs w:val="13"/>
                <w:color w:val="001446"/>
              </w:rPr>
              <w:t>2024</w:t>
            </w:r>
          </w:p>
        </w:tc>
        <w:tc>
          <w:tcPr>
            <w:tcW w:w="1200" w:type="dxa"/>
            <w:vAlign w:val="bottom"/>
            <w:tcBorders>
              <w:bottom w:val="single" w:sz="8" w:color="auto"/>
            </w:tcBorders>
            <w:shd w:val="clear" w:color="auto" w:fill="F2F2F2"/>
          </w:tcPr>
          <w:p>
            <w:pPr>
              <w:jc w:val="right"/>
              <w:ind w:right="296"/>
              <w:spacing w:after="0"/>
              <w:rPr>
                <w:sz w:val="20"/>
                <w:szCs w:val="20"/>
                <w:color w:val="auto"/>
              </w:rPr>
            </w:pPr>
            <w:r>
              <w:rPr>
                <w:rFonts w:ascii="Arial" w:cs="Arial" w:eastAsia="Arial" w:hAnsi="Arial"/>
                <w:sz w:val="13"/>
                <w:szCs w:val="13"/>
                <w:color w:val="001446"/>
              </w:rPr>
              <w:t>276,926</w:t>
            </w:r>
          </w:p>
        </w:tc>
        <w:tc>
          <w:tcPr>
            <w:tcW w:w="1480" w:type="dxa"/>
            <w:vAlign w:val="bottom"/>
            <w:tcBorders>
              <w:bottom w:val="single" w:sz="8" w:color="auto"/>
            </w:tcBorders>
            <w:shd w:val="clear" w:color="auto" w:fill="F2F2F2"/>
          </w:tcPr>
          <w:p>
            <w:pPr>
              <w:jc w:val="center"/>
              <w:ind w:left="56"/>
              <w:spacing w:after="0"/>
              <w:rPr>
                <w:sz w:val="20"/>
                <w:szCs w:val="20"/>
                <w:color w:val="auto"/>
              </w:rPr>
            </w:pPr>
            <w:r>
              <w:rPr>
                <w:rFonts w:ascii="Arial" w:cs="Arial" w:eastAsia="Arial" w:hAnsi="Arial"/>
                <w:sz w:val="13"/>
                <w:szCs w:val="13"/>
                <w:color w:val="001446"/>
                <w:w w:val="96"/>
              </w:rPr>
              <w:t>3,021,768</w:t>
            </w:r>
          </w:p>
        </w:tc>
        <w:tc>
          <w:tcPr>
            <w:tcW w:w="1320" w:type="dxa"/>
            <w:vAlign w:val="bottom"/>
            <w:tcBorders>
              <w:bottom w:val="single" w:sz="8" w:color="auto"/>
            </w:tcBorders>
            <w:shd w:val="clear" w:color="auto" w:fill="F2F2F2"/>
          </w:tcPr>
          <w:p>
            <w:pPr>
              <w:spacing w:after="0"/>
              <w:rPr>
                <w:sz w:val="13"/>
                <w:szCs w:val="13"/>
                <w:color w:val="auto"/>
              </w:rPr>
            </w:pP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001446"/>
              </w:rPr>
              <w:t>41,348</w:t>
            </w:r>
          </w:p>
        </w:tc>
        <w:tc>
          <w:tcPr>
            <w:tcW w:w="9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001446"/>
                <w:w w:val="96"/>
              </w:rPr>
              <w:t>3,340,042</w:t>
            </w:r>
          </w:p>
        </w:tc>
        <w:tc>
          <w:tcPr>
            <w:tcW w:w="0" w:type="dxa"/>
            <w:vAlign w:val="bottom"/>
          </w:tcPr>
          <w:p>
            <w:pPr>
              <w:spacing w:after="0"/>
              <w:rPr>
                <w:sz w:val="1"/>
                <w:szCs w:val="1"/>
                <w:color w:val="auto"/>
              </w:rPr>
            </w:pPr>
          </w:p>
        </w:tc>
      </w:tr>
      <w:tr>
        <w:trPr>
          <w:trHeight w:val="124"/>
        </w:trPr>
        <w:tc>
          <w:tcPr>
            <w:tcW w:w="3180" w:type="dxa"/>
            <w:vAlign w:val="bottom"/>
          </w:tcPr>
          <w:p>
            <w:pPr>
              <w:ind w:left="80"/>
              <w:spacing w:after="0" w:line="124" w:lineRule="exact"/>
              <w:rPr>
                <w:sz w:val="20"/>
                <w:szCs w:val="20"/>
                <w:color w:val="auto"/>
              </w:rPr>
            </w:pPr>
            <w:r>
              <w:rPr>
                <w:rFonts w:ascii="Arial" w:cs="Arial" w:eastAsia="Arial" w:hAnsi="Arial"/>
                <w:sz w:val="13"/>
                <w:szCs w:val="13"/>
                <w:b w:val="1"/>
                <w:bCs w:val="1"/>
                <w:color w:val="auto"/>
              </w:rPr>
              <w:t>Asaf Alperovitz -</w:t>
            </w:r>
          </w:p>
        </w:tc>
        <w:tc>
          <w:tcPr>
            <w:tcW w:w="940" w:type="dxa"/>
            <w:vAlign w:val="bottom"/>
            <w:vMerge w:val="restart"/>
          </w:tcPr>
          <w:p>
            <w:pPr>
              <w:ind w:left="320"/>
              <w:spacing w:after="0"/>
              <w:rPr>
                <w:sz w:val="20"/>
                <w:szCs w:val="20"/>
                <w:color w:val="auto"/>
              </w:rPr>
            </w:pPr>
            <w:r>
              <w:rPr>
                <w:rFonts w:ascii="Arial" w:cs="Arial" w:eastAsia="Arial" w:hAnsi="Arial"/>
                <w:sz w:val="13"/>
                <w:szCs w:val="13"/>
                <w:color w:val="auto"/>
              </w:rPr>
              <w:t>2025</w:t>
            </w:r>
          </w:p>
        </w:tc>
        <w:tc>
          <w:tcPr>
            <w:tcW w:w="1200" w:type="dxa"/>
            <w:vAlign w:val="bottom"/>
            <w:vMerge w:val="restart"/>
          </w:tcPr>
          <w:p>
            <w:pPr>
              <w:jc w:val="right"/>
              <w:ind w:right="296"/>
              <w:spacing w:after="0"/>
              <w:rPr>
                <w:sz w:val="20"/>
                <w:szCs w:val="20"/>
                <w:color w:val="auto"/>
              </w:rPr>
            </w:pPr>
            <w:r>
              <w:rPr>
                <w:rFonts w:ascii="Arial" w:cs="Arial" w:eastAsia="Arial" w:hAnsi="Arial"/>
                <w:sz w:val="13"/>
                <w:szCs w:val="13"/>
                <w:color w:val="001446"/>
              </w:rPr>
              <w:t>411,635</w:t>
            </w:r>
          </w:p>
        </w:tc>
        <w:tc>
          <w:tcPr>
            <w:tcW w:w="1480" w:type="dxa"/>
            <w:vAlign w:val="bottom"/>
            <w:vMerge w:val="restart"/>
          </w:tcPr>
          <w:p>
            <w:pPr>
              <w:jc w:val="center"/>
              <w:ind w:left="56"/>
              <w:spacing w:after="0"/>
              <w:rPr>
                <w:sz w:val="20"/>
                <w:szCs w:val="20"/>
                <w:color w:val="auto"/>
              </w:rPr>
            </w:pPr>
            <w:r>
              <w:rPr>
                <w:rFonts w:ascii="Arial" w:cs="Arial" w:eastAsia="Arial" w:hAnsi="Arial"/>
                <w:sz w:val="13"/>
                <w:szCs w:val="13"/>
                <w:color w:val="001446"/>
                <w:w w:val="96"/>
              </w:rPr>
              <w:t>1,000,907</w:t>
            </w:r>
          </w:p>
        </w:tc>
        <w:tc>
          <w:tcPr>
            <w:tcW w:w="1320" w:type="dxa"/>
            <w:vAlign w:val="bottom"/>
            <w:vMerge w:val="restart"/>
          </w:tcPr>
          <w:p>
            <w:pPr>
              <w:jc w:val="center"/>
              <w:ind w:left="36"/>
              <w:spacing w:after="0"/>
              <w:rPr>
                <w:sz w:val="20"/>
                <w:szCs w:val="20"/>
                <w:color w:val="auto"/>
              </w:rPr>
            </w:pPr>
            <w:r>
              <w:rPr>
                <w:rFonts w:ascii="Arial" w:cs="Arial" w:eastAsia="Arial" w:hAnsi="Arial"/>
                <w:sz w:val="13"/>
                <w:szCs w:val="13"/>
                <w:color w:val="001446"/>
                <w:w w:val="97"/>
              </w:rPr>
              <w:t>314,913</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001446"/>
              </w:rPr>
              <w:t>77,895 (7)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1446"/>
                <w:w w:val="96"/>
              </w:rPr>
              <w:t>1,805,350</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80"/>
              <w:spacing w:after="0"/>
              <w:rPr>
                <w:sz w:val="20"/>
                <w:szCs w:val="20"/>
                <w:color w:val="auto"/>
              </w:rPr>
            </w:pPr>
            <w:r>
              <w:rPr>
                <w:rFonts w:ascii="Arial" w:cs="Arial" w:eastAsia="Arial" w:hAnsi="Arial"/>
                <w:sz w:val="13"/>
                <w:szCs w:val="13"/>
                <w:color w:val="auto"/>
              </w:rPr>
              <w:t>Chief Financial Officer</w:t>
            </w:r>
          </w:p>
        </w:tc>
        <w:tc>
          <w:tcPr>
            <w:tcW w:w="9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18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80"/>
              <w:spacing w:after="0" w:line="125" w:lineRule="exact"/>
              <w:rPr>
                <w:sz w:val="20"/>
                <w:szCs w:val="20"/>
                <w:color w:val="auto"/>
              </w:rPr>
            </w:pPr>
            <w:r>
              <w:rPr>
                <w:rFonts w:ascii="Arial" w:cs="Arial" w:eastAsia="Arial" w:hAnsi="Arial"/>
                <w:sz w:val="13"/>
                <w:szCs w:val="13"/>
                <w:b w:val="1"/>
                <w:bCs w:val="1"/>
                <w:color w:val="auto"/>
              </w:rPr>
              <w:t>Ariel Porat -</w:t>
            </w:r>
          </w:p>
        </w:tc>
        <w:tc>
          <w:tcPr>
            <w:tcW w:w="940" w:type="dxa"/>
            <w:vAlign w:val="bottom"/>
            <w:shd w:val="clear" w:color="auto" w:fill="F2F2F2"/>
          </w:tcPr>
          <w:p>
            <w:pPr>
              <w:ind w:left="320"/>
              <w:spacing w:after="0" w:line="125" w:lineRule="exact"/>
              <w:rPr>
                <w:sz w:val="20"/>
                <w:szCs w:val="20"/>
                <w:color w:val="auto"/>
              </w:rPr>
            </w:pPr>
            <w:r>
              <w:rPr>
                <w:rFonts w:ascii="Arial" w:cs="Arial" w:eastAsia="Arial" w:hAnsi="Arial"/>
                <w:sz w:val="13"/>
                <w:szCs w:val="13"/>
                <w:color w:val="auto"/>
              </w:rPr>
              <w:t>2025</w:t>
            </w:r>
          </w:p>
        </w:tc>
        <w:tc>
          <w:tcPr>
            <w:tcW w:w="1200" w:type="dxa"/>
            <w:vAlign w:val="bottom"/>
            <w:shd w:val="clear" w:color="auto" w:fill="F2F2F2"/>
          </w:tcPr>
          <w:p>
            <w:pPr>
              <w:jc w:val="right"/>
              <w:ind w:right="296"/>
              <w:spacing w:after="0" w:line="125" w:lineRule="exact"/>
              <w:rPr>
                <w:sz w:val="20"/>
                <w:szCs w:val="20"/>
                <w:color w:val="auto"/>
              </w:rPr>
            </w:pPr>
            <w:r>
              <w:rPr>
                <w:rFonts w:ascii="Arial" w:cs="Arial" w:eastAsia="Arial" w:hAnsi="Arial"/>
                <w:sz w:val="13"/>
                <w:szCs w:val="13"/>
                <w:color w:val="auto"/>
              </w:rPr>
              <w:t>364,370</w:t>
            </w:r>
          </w:p>
        </w:tc>
        <w:tc>
          <w:tcPr>
            <w:tcW w:w="1480" w:type="dxa"/>
            <w:vAlign w:val="bottom"/>
            <w:shd w:val="clear" w:color="auto" w:fill="F2F2F2"/>
          </w:tcPr>
          <w:p>
            <w:pPr>
              <w:jc w:val="center"/>
              <w:ind w:left="36"/>
              <w:spacing w:after="0" w:line="125" w:lineRule="exact"/>
              <w:rPr>
                <w:sz w:val="20"/>
                <w:szCs w:val="20"/>
                <w:color w:val="auto"/>
              </w:rPr>
            </w:pPr>
            <w:r>
              <w:rPr>
                <w:rFonts w:ascii="Arial" w:cs="Arial" w:eastAsia="Arial" w:hAnsi="Arial"/>
                <w:sz w:val="13"/>
                <w:szCs w:val="13"/>
                <w:color w:val="auto"/>
                <w:w w:val="97"/>
              </w:rPr>
              <w:t>988,806</w:t>
            </w:r>
          </w:p>
        </w:tc>
        <w:tc>
          <w:tcPr>
            <w:tcW w:w="1320" w:type="dxa"/>
            <w:vAlign w:val="bottom"/>
            <w:shd w:val="clear" w:color="auto" w:fill="F2F2F2"/>
          </w:tcPr>
          <w:p>
            <w:pPr>
              <w:jc w:val="center"/>
              <w:ind w:left="16"/>
              <w:spacing w:after="0" w:line="125" w:lineRule="exact"/>
              <w:rPr>
                <w:sz w:val="20"/>
                <w:szCs w:val="20"/>
                <w:color w:val="auto"/>
              </w:rPr>
            </w:pPr>
            <w:r>
              <w:rPr>
                <w:rFonts w:ascii="Arial" w:cs="Arial" w:eastAsia="Arial" w:hAnsi="Arial"/>
                <w:sz w:val="13"/>
                <w:szCs w:val="13"/>
                <w:color w:val="auto"/>
                <w:w w:val="91"/>
              </w:rPr>
              <w:t>-</w:t>
            </w:r>
          </w:p>
        </w:tc>
        <w:tc>
          <w:tcPr>
            <w:tcW w:w="1240" w:type="dxa"/>
            <w:vAlign w:val="bottom"/>
            <w:shd w:val="clear" w:color="auto" w:fill="F2F2F2"/>
          </w:tcPr>
          <w:p>
            <w:pPr>
              <w:jc w:val="center"/>
              <w:spacing w:after="0" w:line="125" w:lineRule="exact"/>
              <w:rPr>
                <w:sz w:val="20"/>
                <w:szCs w:val="20"/>
                <w:color w:val="auto"/>
              </w:rPr>
            </w:pPr>
            <w:r>
              <w:rPr>
                <w:rFonts w:ascii="Arial" w:cs="Arial" w:eastAsia="Arial" w:hAnsi="Arial"/>
                <w:sz w:val="13"/>
                <w:szCs w:val="13"/>
                <w:color w:val="auto"/>
                <w:w w:val="96"/>
              </w:rPr>
              <w:t>124,479 (8)</w:t>
            </w:r>
          </w:p>
        </w:tc>
        <w:tc>
          <w:tcPr>
            <w:tcW w:w="920" w:type="dxa"/>
            <w:vAlign w:val="bottom"/>
            <w:shd w:val="clear" w:color="auto" w:fill="F2F2F2"/>
          </w:tcPr>
          <w:p>
            <w:pPr>
              <w:jc w:val="center"/>
              <w:spacing w:after="0" w:line="125" w:lineRule="exact"/>
              <w:rPr>
                <w:sz w:val="20"/>
                <w:szCs w:val="20"/>
                <w:color w:val="auto"/>
              </w:rPr>
            </w:pPr>
            <w:r>
              <w:rPr>
                <w:rFonts w:ascii="Arial" w:cs="Arial" w:eastAsia="Arial" w:hAnsi="Arial"/>
                <w:sz w:val="13"/>
                <w:szCs w:val="13"/>
                <w:color w:val="auto"/>
                <w:w w:val="96"/>
              </w:rPr>
              <w:t>1,477,655</w:t>
            </w:r>
          </w:p>
        </w:tc>
        <w:tc>
          <w:tcPr>
            <w:tcW w:w="0" w:type="dxa"/>
            <w:vAlign w:val="bottom"/>
          </w:tcPr>
          <w:p>
            <w:pPr>
              <w:spacing w:after="0"/>
              <w:rPr>
                <w:sz w:val="1"/>
                <w:szCs w:val="1"/>
                <w:color w:val="auto"/>
              </w:rPr>
            </w:pPr>
          </w:p>
        </w:tc>
      </w:tr>
      <w:tr>
        <w:trPr>
          <w:trHeight w:val="160"/>
        </w:trPr>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Former Chief Financial Officer</w:t>
            </w:r>
          </w:p>
        </w:tc>
        <w:tc>
          <w:tcPr>
            <w:tcW w:w="940" w:type="dxa"/>
            <w:vAlign w:val="bottom"/>
            <w:tcBorders>
              <w:bottom w:val="single" w:sz="8" w:color="auto"/>
            </w:tcBorders>
            <w:shd w:val="clear" w:color="auto" w:fill="F2F2F2"/>
          </w:tcPr>
          <w:p>
            <w:pPr>
              <w:ind w:left="320"/>
              <w:spacing w:after="0"/>
              <w:rPr>
                <w:sz w:val="20"/>
                <w:szCs w:val="20"/>
                <w:color w:val="auto"/>
              </w:rPr>
            </w:pPr>
            <w:r>
              <w:rPr>
                <w:rFonts w:ascii="Arial" w:cs="Arial" w:eastAsia="Arial" w:hAnsi="Arial"/>
                <w:sz w:val="13"/>
                <w:szCs w:val="13"/>
                <w:color w:val="auto"/>
              </w:rPr>
              <w:t>2024</w:t>
            </w:r>
          </w:p>
        </w:tc>
        <w:tc>
          <w:tcPr>
            <w:tcW w:w="1200" w:type="dxa"/>
            <w:vAlign w:val="bottom"/>
            <w:tcBorders>
              <w:bottom w:val="single" w:sz="8" w:color="auto"/>
            </w:tcBorders>
            <w:shd w:val="clear" w:color="auto" w:fill="F2F2F2"/>
          </w:tcPr>
          <w:p>
            <w:pPr>
              <w:jc w:val="right"/>
              <w:ind w:right="296"/>
              <w:spacing w:after="0"/>
              <w:rPr>
                <w:sz w:val="20"/>
                <w:szCs w:val="20"/>
                <w:color w:val="auto"/>
              </w:rPr>
            </w:pPr>
            <w:r>
              <w:rPr>
                <w:rFonts w:ascii="Arial" w:cs="Arial" w:eastAsia="Arial" w:hAnsi="Arial"/>
                <w:sz w:val="13"/>
                <w:szCs w:val="13"/>
                <w:color w:val="auto"/>
              </w:rPr>
              <w:t>268,128</w:t>
            </w:r>
          </w:p>
        </w:tc>
        <w:tc>
          <w:tcPr>
            <w:tcW w:w="1480" w:type="dxa"/>
            <w:vAlign w:val="bottom"/>
            <w:tcBorders>
              <w:bottom w:val="single" w:sz="8" w:color="auto"/>
            </w:tcBorders>
            <w:shd w:val="clear" w:color="auto" w:fill="F2F2F2"/>
          </w:tcPr>
          <w:p>
            <w:pPr>
              <w:jc w:val="center"/>
              <w:ind w:left="56"/>
              <w:spacing w:after="0"/>
              <w:rPr>
                <w:sz w:val="20"/>
                <w:szCs w:val="20"/>
                <w:color w:val="auto"/>
              </w:rPr>
            </w:pPr>
            <w:r>
              <w:rPr>
                <w:rFonts w:ascii="Arial" w:cs="Arial" w:eastAsia="Arial" w:hAnsi="Arial"/>
                <w:sz w:val="13"/>
                <w:szCs w:val="13"/>
                <w:color w:val="auto"/>
                <w:w w:val="96"/>
              </w:rPr>
              <w:t>1,373,550</w:t>
            </w:r>
          </w:p>
        </w:tc>
        <w:tc>
          <w:tcPr>
            <w:tcW w:w="1320" w:type="dxa"/>
            <w:vAlign w:val="bottom"/>
            <w:tcBorders>
              <w:bottom w:val="single" w:sz="8" w:color="auto"/>
            </w:tcBorders>
            <w:shd w:val="clear" w:color="auto" w:fill="F2F2F2"/>
          </w:tcPr>
          <w:p>
            <w:pPr>
              <w:jc w:val="center"/>
              <w:ind w:left="16"/>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rPr>
              <w:t>34,001</w:t>
            </w:r>
          </w:p>
        </w:tc>
        <w:tc>
          <w:tcPr>
            <w:tcW w:w="9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6"/>
              </w:rPr>
              <w:t>1,675,679</w:t>
            </w:r>
          </w:p>
        </w:tc>
        <w:tc>
          <w:tcPr>
            <w:tcW w:w="0" w:type="dxa"/>
            <w:vAlign w:val="bottom"/>
          </w:tcPr>
          <w:p>
            <w:pPr>
              <w:spacing w:after="0"/>
              <w:rPr>
                <w:sz w:val="1"/>
                <w:szCs w:val="1"/>
                <w:color w:val="auto"/>
              </w:rPr>
            </w:pPr>
          </w:p>
        </w:tc>
      </w:tr>
      <w:tr>
        <w:trPr>
          <w:trHeight w:val="124"/>
        </w:trPr>
        <w:tc>
          <w:tcPr>
            <w:tcW w:w="31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 xml:space="preserve">Uri Bechor - </w:t>
            </w:r>
            <w:r>
              <w:rPr>
                <w:rFonts w:ascii="Arial" w:cs="Arial" w:eastAsia="Arial" w:hAnsi="Arial"/>
                <w:sz w:val="13"/>
                <w:szCs w:val="13"/>
                <w:color w:val="auto"/>
              </w:rPr>
              <w:t>Chief Operating Officer</w:t>
            </w:r>
          </w:p>
        </w:tc>
        <w:tc>
          <w:tcPr>
            <w:tcW w:w="940" w:type="dxa"/>
            <w:vAlign w:val="bottom"/>
          </w:tcPr>
          <w:p>
            <w:pPr>
              <w:ind w:left="320"/>
              <w:spacing w:after="0" w:line="124" w:lineRule="exact"/>
              <w:rPr>
                <w:sz w:val="20"/>
                <w:szCs w:val="20"/>
                <w:color w:val="auto"/>
              </w:rPr>
            </w:pPr>
            <w:r>
              <w:rPr>
                <w:rFonts w:ascii="Arial" w:cs="Arial" w:eastAsia="Arial" w:hAnsi="Arial"/>
                <w:sz w:val="13"/>
                <w:szCs w:val="13"/>
                <w:color w:val="auto"/>
              </w:rPr>
              <w:t>2025</w:t>
            </w:r>
          </w:p>
        </w:tc>
        <w:tc>
          <w:tcPr>
            <w:tcW w:w="1200" w:type="dxa"/>
            <w:vAlign w:val="bottom"/>
          </w:tcPr>
          <w:p>
            <w:pPr>
              <w:jc w:val="right"/>
              <w:ind w:right="296"/>
              <w:spacing w:after="0" w:line="124" w:lineRule="exact"/>
              <w:rPr>
                <w:sz w:val="20"/>
                <w:szCs w:val="20"/>
                <w:color w:val="auto"/>
              </w:rPr>
            </w:pPr>
            <w:r>
              <w:rPr>
                <w:rFonts w:ascii="Arial" w:cs="Arial" w:eastAsia="Arial" w:hAnsi="Arial"/>
                <w:sz w:val="13"/>
                <w:szCs w:val="13"/>
                <w:color w:val="auto"/>
              </w:rPr>
              <w:t>468,703</w:t>
            </w:r>
          </w:p>
        </w:tc>
        <w:tc>
          <w:tcPr>
            <w:tcW w:w="1480" w:type="dxa"/>
            <w:vAlign w:val="bottom"/>
          </w:tcPr>
          <w:p>
            <w:pPr>
              <w:jc w:val="center"/>
              <w:ind w:left="36"/>
              <w:spacing w:after="0" w:line="124" w:lineRule="exact"/>
              <w:rPr>
                <w:sz w:val="20"/>
                <w:szCs w:val="20"/>
                <w:color w:val="auto"/>
              </w:rPr>
            </w:pPr>
            <w:r>
              <w:rPr>
                <w:rFonts w:ascii="Arial" w:cs="Arial" w:eastAsia="Arial" w:hAnsi="Arial"/>
                <w:sz w:val="13"/>
                <w:szCs w:val="13"/>
                <w:color w:val="auto"/>
                <w:w w:val="97"/>
              </w:rPr>
              <w:t>988,806</w:t>
            </w:r>
          </w:p>
        </w:tc>
        <w:tc>
          <w:tcPr>
            <w:tcW w:w="1320" w:type="dxa"/>
            <w:vAlign w:val="bottom"/>
          </w:tcPr>
          <w:p>
            <w:pPr>
              <w:jc w:val="center"/>
              <w:ind w:left="36"/>
              <w:spacing w:after="0" w:line="124" w:lineRule="exact"/>
              <w:rPr>
                <w:sz w:val="20"/>
                <w:szCs w:val="20"/>
                <w:color w:val="auto"/>
              </w:rPr>
            </w:pPr>
            <w:r>
              <w:rPr>
                <w:rFonts w:ascii="Arial" w:cs="Arial" w:eastAsia="Arial" w:hAnsi="Arial"/>
                <w:sz w:val="13"/>
                <w:szCs w:val="13"/>
                <w:color w:val="auto"/>
                <w:w w:val="97"/>
              </w:rPr>
              <w:t>385,968</w:t>
            </w:r>
          </w:p>
        </w:tc>
        <w:tc>
          <w:tcPr>
            <w:tcW w:w="1240" w:type="dxa"/>
            <w:vAlign w:val="bottom"/>
          </w:tcPr>
          <w:p>
            <w:pPr>
              <w:jc w:val="center"/>
              <w:spacing w:after="0" w:line="124" w:lineRule="exact"/>
              <w:rPr>
                <w:sz w:val="20"/>
                <w:szCs w:val="20"/>
                <w:color w:val="auto"/>
              </w:rPr>
            </w:pPr>
            <w:r>
              <w:rPr>
                <w:rFonts w:ascii="Arial" w:cs="Arial" w:eastAsia="Arial" w:hAnsi="Arial"/>
                <w:sz w:val="13"/>
                <w:szCs w:val="13"/>
                <w:color w:val="auto"/>
              </w:rPr>
              <w:t>86,765 (9)</w:t>
            </w:r>
          </w:p>
        </w:tc>
        <w:tc>
          <w:tcPr>
            <w:tcW w:w="920" w:type="dxa"/>
            <w:vAlign w:val="bottom"/>
          </w:tcPr>
          <w:p>
            <w:pPr>
              <w:jc w:val="center"/>
              <w:spacing w:after="0" w:line="124" w:lineRule="exact"/>
              <w:rPr>
                <w:sz w:val="20"/>
                <w:szCs w:val="20"/>
                <w:color w:val="auto"/>
              </w:rPr>
            </w:pPr>
            <w:r>
              <w:rPr>
                <w:rFonts w:ascii="Arial" w:cs="Arial" w:eastAsia="Arial" w:hAnsi="Arial"/>
                <w:sz w:val="13"/>
                <w:szCs w:val="13"/>
                <w:color w:val="auto"/>
                <w:w w:val="96"/>
              </w:rPr>
              <w:t>1,930,242</w:t>
            </w:r>
          </w:p>
        </w:tc>
        <w:tc>
          <w:tcPr>
            <w:tcW w:w="0" w:type="dxa"/>
            <w:vAlign w:val="bottom"/>
          </w:tcPr>
          <w:p>
            <w:pPr>
              <w:spacing w:after="0"/>
              <w:rPr>
                <w:sz w:val="1"/>
                <w:szCs w:val="1"/>
                <w:color w:val="auto"/>
              </w:rPr>
            </w:pPr>
          </w:p>
        </w:tc>
      </w:tr>
      <w:tr>
        <w:trPr>
          <w:trHeight w:val="144"/>
        </w:trPr>
        <w:tc>
          <w:tcPr>
            <w:tcW w:w="3180" w:type="dxa"/>
            <w:vAlign w:val="bottom"/>
            <w:vMerge w:val="continue"/>
          </w:tcPr>
          <w:p>
            <w:pPr>
              <w:spacing w:after="0"/>
              <w:rPr>
                <w:sz w:val="12"/>
                <w:szCs w:val="12"/>
                <w:color w:val="auto"/>
              </w:rPr>
            </w:pPr>
          </w:p>
        </w:tc>
        <w:tc>
          <w:tcPr>
            <w:tcW w:w="940" w:type="dxa"/>
            <w:vAlign w:val="bottom"/>
          </w:tcPr>
          <w:p>
            <w:pPr>
              <w:ind w:left="320"/>
              <w:spacing w:after="0" w:line="144" w:lineRule="exact"/>
              <w:rPr>
                <w:sz w:val="20"/>
                <w:szCs w:val="20"/>
                <w:color w:val="auto"/>
              </w:rPr>
            </w:pPr>
            <w:r>
              <w:rPr>
                <w:rFonts w:ascii="Arial" w:cs="Arial" w:eastAsia="Arial" w:hAnsi="Arial"/>
                <w:sz w:val="13"/>
                <w:szCs w:val="13"/>
                <w:color w:val="auto"/>
              </w:rPr>
              <w:t>2024</w:t>
            </w:r>
          </w:p>
        </w:tc>
        <w:tc>
          <w:tcPr>
            <w:tcW w:w="1200" w:type="dxa"/>
            <w:vAlign w:val="bottom"/>
          </w:tcPr>
          <w:p>
            <w:pPr>
              <w:jc w:val="right"/>
              <w:ind w:right="296"/>
              <w:spacing w:after="0" w:line="144" w:lineRule="exact"/>
              <w:rPr>
                <w:sz w:val="20"/>
                <w:szCs w:val="20"/>
                <w:color w:val="auto"/>
              </w:rPr>
            </w:pPr>
            <w:r>
              <w:rPr>
                <w:rFonts w:ascii="Arial" w:cs="Arial" w:eastAsia="Arial" w:hAnsi="Arial"/>
                <w:sz w:val="13"/>
                <w:szCs w:val="13"/>
                <w:color w:val="auto"/>
              </w:rPr>
              <w:t>458,856</w:t>
            </w:r>
          </w:p>
        </w:tc>
        <w:tc>
          <w:tcPr>
            <w:tcW w:w="1480" w:type="dxa"/>
            <w:vAlign w:val="bottom"/>
          </w:tcPr>
          <w:p>
            <w:pPr>
              <w:jc w:val="center"/>
              <w:ind w:left="56"/>
              <w:spacing w:after="0" w:line="144" w:lineRule="exact"/>
              <w:rPr>
                <w:sz w:val="20"/>
                <w:szCs w:val="20"/>
                <w:color w:val="auto"/>
              </w:rPr>
            </w:pPr>
            <w:r>
              <w:rPr>
                <w:rFonts w:ascii="Arial" w:cs="Arial" w:eastAsia="Arial" w:hAnsi="Arial"/>
                <w:sz w:val="13"/>
                <w:szCs w:val="13"/>
                <w:color w:val="auto"/>
                <w:w w:val="96"/>
              </w:rPr>
              <w:t>3,860,070</w:t>
            </w:r>
          </w:p>
        </w:tc>
        <w:tc>
          <w:tcPr>
            <w:tcW w:w="1320" w:type="dxa"/>
            <w:vAlign w:val="bottom"/>
          </w:tcPr>
          <w:p>
            <w:pPr>
              <w:jc w:val="center"/>
              <w:ind w:left="16"/>
              <w:spacing w:after="0" w:line="144" w:lineRule="exact"/>
              <w:rPr>
                <w:sz w:val="20"/>
                <w:szCs w:val="20"/>
                <w:color w:val="auto"/>
              </w:rPr>
            </w:pPr>
            <w:r>
              <w:rPr>
                <w:rFonts w:ascii="Arial" w:cs="Arial" w:eastAsia="Arial" w:hAnsi="Arial"/>
                <w:sz w:val="13"/>
                <w:szCs w:val="13"/>
                <w:color w:val="auto"/>
                <w:w w:val="91"/>
              </w:rPr>
              <w:t>-</w:t>
            </w: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rPr>
              <w:t>90,894</w:t>
            </w:r>
          </w:p>
        </w:tc>
        <w:tc>
          <w:tcPr>
            <w:tcW w:w="920" w:type="dxa"/>
            <w:vAlign w:val="bottom"/>
          </w:tcPr>
          <w:p>
            <w:pPr>
              <w:jc w:val="center"/>
              <w:spacing w:after="0" w:line="144" w:lineRule="exact"/>
              <w:rPr>
                <w:sz w:val="20"/>
                <w:szCs w:val="20"/>
                <w:color w:val="auto"/>
              </w:rPr>
            </w:pPr>
            <w:r>
              <w:rPr>
                <w:rFonts w:ascii="Arial" w:cs="Arial" w:eastAsia="Arial" w:hAnsi="Arial"/>
                <w:sz w:val="13"/>
                <w:szCs w:val="13"/>
                <w:color w:val="auto"/>
                <w:w w:val="96"/>
              </w:rPr>
              <w:t>4,409,820</w:t>
            </w:r>
          </w:p>
        </w:tc>
        <w:tc>
          <w:tcPr>
            <w:tcW w:w="0" w:type="dxa"/>
            <w:vAlign w:val="bottom"/>
          </w:tcPr>
          <w:p>
            <w:pPr>
              <w:spacing w:after="0"/>
              <w:rPr>
                <w:sz w:val="1"/>
                <w:szCs w:val="1"/>
                <w:color w:val="auto"/>
              </w:rPr>
            </w:pPr>
          </w:p>
        </w:tc>
      </w:tr>
      <w:tr>
        <w:trPr>
          <w:trHeight w:val="160"/>
        </w:trPr>
        <w:tc>
          <w:tcPr>
            <w:tcW w:w="3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2023</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480,931</w:t>
            </w:r>
          </w:p>
        </w:tc>
        <w:tc>
          <w:tcPr>
            <w:tcW w:w="1480" w:type="dxa"/>
            <w:vAlign w:val="bottom"/>
            <w:tcBorders>
              <w:bottom w:val="single" w:sz="8" w:color="auto"/>
            </w:tcBorders>
          </w:tcPr>
          <w:p>
            <w:pPr>
              <w:jc w:val="center"/>
              <w:ind w:left="56"/>
              <w:spacing w:after="0"/>
              <w:rPr>
                <w:sz w:val="20"/>
                <w:szCs w:val="20"/>
                <w:color w:val="auto"/>
              </w:rPr>
            </w:pPr>
            <w:r>
              <w:rPr>
                <w:rFonts w:ascii="Arial" w:cs="Arial" w:eastAsia="Arial" w:hAnsi="Arial"/>
                <w:sz w:val="13"/>
                <w:szCs w:val="13"/>
                <w:color w:val="auto"/>
                <w:w w:val="96"/>
              </w:rPr>
              <w:t>2,219,298</w:t>
            </w:r>
          </w:p>
        </w:tc>
        <w:tc>
          <w:tcPr>
            <w:tcW w:w="1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74,766</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2,774,995</w:t>
            </w:r>
          </w:p>
        </w:tc>
        <w:tc>
          <w:tcPr>
            <w:tcW w:w="0" w:type="dxa"/>
            <w:vAlign w:val="bottom"/>
          </w:tcPr>
          <w:p>
            <w:pPr>
              <w:spacing w:after="0"/>
              <w:rPr>
                <w:sz w:val="1"/>
                <w:szCs w:val="1"/>
                <w:color w:val="auto"/>
              </w:rPr>
            </w:pPr>
          </w:p>
        </w:tc>
      </w:tr>
      <w:tr>
        <w:trPr>
          <w:trHeight w:val="124"/>
        </w:trPr>
        <w:tc>
          <w:tcPr>
            <w:tcW w:w="3180" w:type="dxa"/>
            <w:vAlign w:val="bottom"/>
          </w:tcPr>
          <w:p>
            <w:pPr>
              <w:ind w:left="80"/>
              <w:spacing w:after="0" w:line="124" w:lineRule="exact"/>
              <w:rPr>
                <w:sz w:val="20"/>
                <w:szCs w:val="20"/>
                <w:color w:val="auto"/>
              </w:rPr>
            </w:pPr>
            <w:r>
              <w:rPr>
                <w:rFonts w:ascii="Arial" w:cs="Arial" w:eastAsia="Arial" w:hAnsi="Arial"/>
                <w:sz w:val="13"/>
                <w:szCs w:val="13"/>
                <w:b w:val="1"/>
                <w:bCs w:val="1"/>
                <w:color w:val="auto"/>
              </w:rPr>
              <w:t>Daniel Huber (11) -</w:t>
            </w:r>
          </w:p>
        </w:tc>
        <w:tc>
          <w:tcPr>
            <w:tcW w:w="940" w:type="dxa"/>
            <w:vAlign w:val="bottom"/>
            <w:shd w:val="clear" w:color="auto" w:fill="F0F0F0"/>
          </w:tcPr>
          <w:p>
            <w:pPr>
              <w:ind w:left="320"/>
              <w:spacing w:after="0" w:line="124" w:lineRule="exact"/>
              <w:rPr>
                <w:sz w:val="20"/>
                <w:szCs w:val="20"/>
                <w:color w:val="auto"/>
              </w:rPr>
            </w:pPr>
            <w:r>
              <w:rPr>
                <w:rFonts w:ascii="Arial" w:cs="Arial" w:eastAsia="Arial" w:hAnsi="Arial"/>
                <w:sz w:val="13"/>
                <w:szCs w:val="13"/>
                <w:color w:val="auto"/>
              </w:rPr>
              <w:t>2025</w:t>
            </w:r>
          </w:p>
        </w:tc>
        <w:tc>
          <w:tcPr>
            <w:tcW w:w="1200" w:type="dxa"/>
            <w:vAlign w:val="bottom"/>
            <w:shd w:val="clear" w:color="auto" w:fill="F0F0F0"/>
          </w:tcPr>
          <w:p>
            <w:pPr>
              <w:jc w:val="right"/>
              <w:ind w:right="296"/>
              <w:spacing w:after="0" w:line="124" w:lineRule="exact"/>
              <w:rPr>
                <w:sz w:val="20"/>
                <w:szCs w:val="20"/>
                <w:color w:val="auto"/>
              </w:rPr>
            </w:pPr>
            <w:r>
              <w:rPr>
                <w:rFonts w:ascii="Arial" w:cs="Arial" w:eastAsia="Arial" w:hAnsi="Arial"/>
                <w:sz w:val="13"/>
                <w:szCs w:val="13"/>
                <w:color w:val="auto"/>
              </w:rPr>
              <w:t>342,834</w:t>
            </w:r>
          </w:p>
        </w:tc>
        <w:tc>
          <w:tcPr>
            <w:tcW w:w="1480" w:type="dxa"/>
            <w:vAlign w:val="bottom"/>
            <w:shd w:val="clear" w:color="auto" w:fill="F0F0F0"/>
          </w:tcPr>
          <w:p>
            <w:pPr>
              <w:jc w:val="center"/>
              <w:ind w:left="56"/>
              <w:spacing w:after="0" w:line="124" w:lineRule="exact"/>
              <w:rPr>
                <w:sz w:val="20"/>
                <w:szCs w:val="20"/>
                <w:color w:val="auto"/>
              </w:rPr>
            </w:pPr>
            <w:r>
              <w:rPr>
                <w:rFonts w:ascii="Arial" w:cs="Arial" w:eastAsia="Arial" w:hAnsi="Arial"/>
                <w:sz w:val="13"/>
                <w:szCs w:val="13"/>
                <w:color w:val="auto"/>
                <w:w w:val="96"/>
              </w:rPr>
              <w:t>1,435,787</w:t>
            </w:r>
          </w:p>
        </w:tc>
        <w:tc>
          <w:tcPr>
            <w:tcW w:w="1320" w:type="dxa"/>
            <w:vAlign w:val="bottom"/>
            <w:shd w:val="clear" w:color="auto" w:fill="F0F0F0"/>
          </w:tcPr>
          <w:p>
            <w:pPr>
              <w:jc w:val="center"/>
              <w:ind w:left="36"/>
              <w:spacing w:after="0" w:line="124" w:lineRule="exact"/>
              <w:rPr>
                <w:sz w:val="20"/>
                <w:szCs w:val="20"/>
                <w:color w:val="auto"/>
              </w:rPr>
            </w:pPr>
            <w:r>
              <w:rPr>
                <w:rFonts w:ascii="Arial" w:cs="Arial" w:eastAsia="Arial" w:hAnsi="Arial"/>
                <w:sz w:val="13"/>
                <w:szCs w:val="13"/>
                <w:color w:val="auto"/>
                <w:w w:val="97"/>
              </w:rPr>
              <w:t>264,673</w:t>
            </w:r>
          </w:p>
        </w:tc>
        <w:tc>
          <w:tcPr>
            <w:tcW w:w="1240" w:type="dxa"/>
            <w:vAlign w:val="bottom"/>
            <w:shd w:val="clear" w:color="auto" w:fill="F0F0F0"/>
          </w:tcPr>
          <w:p>
            <w:pPr>
              <w:jc w:val="center"/>
              <w:spacing w:after="0" w:line="124" w:lineRule="exact"/>
              <w:rPr>
                <w:sz w:val="20"/>
                <w:szCs w:val="20"/>
                <w:color w:val="auto"/>
              </w:rPr>
            </w:pPr>
            <w:r>
              <w:rPr>
                <w:rFonts w:ascii="Arial" w:cs="Arial" w:eastAsia="Arial" w:hAnsi="Arial"/>
                <w:sz w:val="13"/>
                <w:szCs w:val="13"/>
                <w:color w:val="auto"/>
                <w:w w:val="97"/>
              </w:rPr>
              <w:t>122,211 (10)</w:t>
            </w:r>
          </w:p>
        </w:tc>
        <w:tc>
          <w:tcPr>
            <w:tcW w:w="920" w:type="dxa"/>
            <w:vAlign w:val="bottom"/>
            <w:shd w:val="clear" w:color="auto" w:fill="F0F0F0"/>
          </w:tcPr>
          <w:p>
            <w:pPr>
              <w:jc w:val="center"/>
              <w:spacing w:after="0" w:line="124" w:lineRule="exact"/>
              <w:rPr>
                <w:sz w:val="20"/>
                <w:szCs w:val="20"/>
                <w:color w:val="auto"/>
              </w:rPr>
            </w:pPr>
            <w:r>
              <w:rPr>
                <w:rFonts w:ascii="Arial" w:cs="Arial" w:eastAsia="Arial" w:hAnsi="Arial"/>
                <w:sz w:val="13"/>
                <w:szCs w:val="13"/>
                <w:color w:val="auto"/>
                <w:w w:val="96"/>
              </w:rPr>
              <w:t>2,165,505</w:t>
            </w:r>
          </w:p>
        </w:tc>
        <w:tc>
          <w:tcPr>
            <w:tcW w:w="0" w:type="dxa"/>
            <w:vAlign w:val="bottom"/>
          </w:tcPr>
          <w:p>
            <w:pPr>
              <w:spacing w:after="0"/>
              <w:rPr>
                <w:sz w:val="1"/>
                <w:szCs w:val="1"/>
                <w:color w:val="auto"/>
              </w:rPr>
            </w:pPr>
          </w:p>
        </w:tc>
      </w:tr>
      <w:tr>
        <w:trPr>
          <w:trHeight w:val="160"/>
        </w:trPr>
        <w:tc>
          <w:tcPr>
            <w:tcW w:w="3180" w:type="dxa"/>
            <w:vAlign w:val="bottom"/>
          </w:tcPr>
          <w:p>
            <w:pPr>
              <w:ind w:left="80"/>
              <w:spacing w:after="0"/>
              <w:rPr>
                <w:sz w:val="20"/>
                <w:szCs w:val="20"/>
                <w:color w:val="auto"/>
              </w:rPr>
            </w:pPr>
            <w:r>
              <w:rPr>
                <w:rFonts w:ascii="Arial" w:cs="Arial" w:eastAsia="Arial" w:hAnsi="Arial"/>
                <w:sz w:val="13"/>
                <w:szCs w:val="13"/>
                <w:color w:val="auto"/>
              </w:rPr>
              <w:t>Chief Revenue Officer</w:t>
            </w:r>
          </w:p>
        </w:tc>
        <w:tc>
          <w:tcPr>
            <w:tcW w:w="940" w:type="dxa"/>
            <w:vAlign w:val="bottom"/>
            <w:shd w:val="clear" w:color="auto" w:fill="F0F0F0"/>
          </w:tcPr>
          <w:p>
            <w:pPr>
              <w:spacing w:after="0"/>
              <w:rPr>
                <w:sz w:val="13"/>
                <w:szCs w:val="13"/>
                <w:color w:val="auto"/>
              </w:rPr>
            </w:pPr>
          </w:p>
        </w:tc>
        <w:tc>
          <w:tcPr>
            <w:tcW w:w="1200" w:type="dxa"/>
            <w:vAlign w:val="bottom"/>
            <w:shd w:val="clear" w:color="auto" w:fill="F0F0F0"/>
          </w:tcPr>
          <w:p>
            <w:pPr>
              <w:spacing w:after="0"/>
              <w:rPr>
                <w:sz w:val="13"/>
                <w:szCs w:val="13"/>
                <w:color w:val="auto"/>
              </w:rPr>
            </w:pPr>
          </w:p>
        </w:tc>
        <w:tc>
          <w:tcPr>
            <w:tcW w:w="1480" w:type="dxa"/>
            <w:vAlign w:val="bottom"/>
            <w:shd w:val="clear" w:color="auto" w:fill="F0F0F0"/>
          </w:tcPr>
          <w:p>
            <w:pPr>
              <w:spacing w:after="0"/>
              <w:rPr>
                <w:sz w:val="13"/>
                <w:szCs w:val="13"/>
                <w:color w:val="auto"/>
              </w:rPr>
            </w:pPr>
          </w:p>
        </w:tc>
        <w:tc>
          <w:tcPr>
            <w:tcW w:w="1320" w:type="dxa"/>
            <w:vAlign w:val="bottom"/>
            <w:shd w:val="clear" w:color="auto" w:fill="F0F0F0"/>
          </w:tcPr>
          <w:p>
            <w:pPr>
              <w:spacing w:after="0"/>
              <w:rPr>
                <w:sz w:val="13"/>
                <w:szCs w:val="13"/>
                <w:color w:val="auto"/>
              </w:rPr>
            </w:pPr>
          </w:p>
        </w:tc>
        <w:tc>
          <w:tcPr>
            <w:tcW w:w="1240" w:type="dxa"/>
            <w:vAlign w:val="bottom"/>
            <w:shd w:val="clear" w:color="auto" w:fill="F0F0F0"/>
          </w:tcPr>
          <w:p>
            <w:pPr>
              <w:spacing w:after="0"/>
              <w:rPr>
                <w:sz w:val="13"/>
                <w:szCs w:val="13"/>
                <w:color w:val="auto"/>
              </w:rPr>
            </w:pPr>
          </w:p>
        </w:tc>
        <w:tc>
          <w:tcPr>
            <w:tcW w:w="920" w:type="dxa"/>
            <w:vAlign w:val="bottom"/>
            <w:shd w:val="clear" w:color="auto" w:fill="F0F0F0"/>
          </w:tcPr>
          <w:p>
            <w:pPr>
              <w:spacing w:after="0"/>
              <w:rPr>
                <w:sz w:val="13"/>
                <w:szCs w:val="1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84" w:right="320" w:hanging="284"/>
        <w:spacing w:after="0" w:line="267" w:lineRule="auto"/>
        <w:tabs>
          <w:tab w:leader="none" w:pos="284" w:val="left"/>
        </w:tabs>
        <w:numPr>
          <w:ilvl w:val="0"/>
          <w:numId w:val="114"/>
        </w:numPr>
        <w:rPr>
          <w:rFonts w:ascii="Arial" w:cs="Arial" w:eastAsia="Arial" w:hAnsi="Arial"/>
          <w:sz w:val="13"/>
          <w:szCs w:val="13"/>
          <w:color w:val="001446"/>
        </w:rPr>
      </w:pPr>
      <w:r>
        <w:rPr>
          <w:rFonts w:ascii="Arial" w:cs="Arial" w:eastAsia="Arial" w:hAnsi="Arial"/>
          <w:sz w:val="13"/>
          <w:szCs w:val="13"/>
          <w:color w:val="001446"/>
        </w:rPr>
        <w:t>We paid the amounts reported for each NEO in New Israeli Shekels. We have translated amounts paid in New Israeli Shekels into U.S. dollars at the foreign exchange rate published by the Bank of Israel as of the date of payment.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532880" cy="58420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387" o:spid="_x0000_s1412" style="position:absolute;margin-left:0pt;margin-top:7.75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85"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432435</wp:posOffset>
                </wp:positionV>
                <wp:extent cx="6532245"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05pt" to="514.35pt,34.05pt" o:allowincell="f" strokecolor="#000000" strokeweight="1.6199pt"/>
            </w:pict>
          </mc:Fallback>
        </mc:AlternateContent>
      </w:r>
    </w:p>
    <w:p>
      <w:pPr>
        <w:sectPr>
          <w:pgSz w:w="11900" w:h="16840" w:orient="portrait"/>
          <w:cols w:equalWidth="0" w:num="1">
            <w:col w:w="10284"/>
          </w:cols>
          <w:pgMar w:left="816" w:top="955" w:right="804" w:bottom="1440" w:gutter="0" w:footer="0" w:header="0"/>
        </w:sectPr>
      </w:pPr>
    </w:p>
    <w:bookmarkStart w:id="203" w:name="page204"/>
    <w:bookmarkEnd w:id="203"/>
    <w:p>
      <w:pPr>
        <w:ind w:left="284" w:right="60" w:hanging="284"/>
        <w:spacing w:after="0" w:line="232"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The amounts in this column represent the aggregate grant date fair value of the equity-based awards granted to our NEOs, computed in accordance with FASB ASC Topic 718. We provide information regarding the assumptions used to calculate the value of the equity-based awards in Note 2ad to the audited consolidated financial statements included in our Annual Report on Form 10-K filed on February 25, 2026. There can be no assurance that these awards will vest or will be exercised (in which case no value will be realized by the individual), or that the value upon vesting or exercise will approximate the aggregate grant date fair value.</w:t>
      </w:r>
    </w:p>
    <w:p>
      <w:pPr>
        <w:spacing w:after="0" w:line="1" w:lineRule="exact"/>
        <w:rPr>
          <w:rFonts w:ascii="Arial" w:cs="Arial" w:eastAsia="Arial" w:hAnsi="Arial"/>
          <w:sz w:val="13"/>
          <w:szCs w:val="13"/>
          <w:color w:val="001446"/>
        </w:rPr>
      </w:pPr>
    </w:p>
    <w:p>
      <w:pPr>
        <w:ind w:left="284" w:right="40"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The amounts in this column for the PSUs were calculated based on the probable outcome of the performance conditions as of the grant date, consistent with the estimate of aggregate compensation cost to be recognized over the service period determined as of the grant date under FASB ASC Topic 718, not including the effect of any estimated forfeitures. For these amounts, see the Grants of Plan-Based Awards table later in this proxy statement. The grant date fair value of the PSUs assumes performance below maximum; the grant date fair value of the PSUs assuming maximum achievement of the performance conditions was: (i) for Mr. Nir, $3,149,958, (ii) for Mr. Alperovitz, $963,888, (iii) for Mr. Porat, $899,988 , (iv) for Mr. Bechor, $899,988 , and (v) for Mr. Huber, $749,960.</w:t>
      </w:r>
    </w:p>
    <w:p>
      <w:pPr>
        <w:ind w:left="284" w:right="280"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Represents the cash bonuses earned pursuant to our annual cash incentive program. For more information, see the discussion in the CD&amp;A under the caption Annual Cash Incentive Compensation.</w:t>
      </w:r>
    </w:p>
    <w:p>
      <w:pPr>
        <w:ind w:left="284"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The amounts in this column include the contribution by the Company to severance funds, pension funds and Israeli recreational funds and a recuperation allowance.</w:t>
      </w:r>
    </w:p>
    <w:p>
      <w:pPr>
        <w:ind w:left="284" w:right="160"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Includes a $60,448 contribution by the Company to Mr. Nir ’s severance fund and $67,520 in aggregate Company contributions to pension and Israeli recreational funds and a recuperation allowance.</w:t>
      </w:r>
    </w:p>
    <w:p>
      <w:pPr>
        <w:ind w:left="284" w:right="140"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Includes a $34,289 contribution by the Company to Mr. Alperovitz’s severance fund and $43,606 in aggregate Company contributions to pension and Israeli recreational funds and a recuperation allowance.</w:t>
      </w:r>
    </w:p>
    <w:p>
      <w:pPr>
        <w:ind w:left="284" w:right="40"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Includes a $30,352 contribution by the Company to Mr. Porat’s severance fund and $94,127 in aggregate Company contributions to pension and Israeli recreational funds and a recuperation allowance.</w:t>
      </w:r>
    </w:p>
    <w:p>
      <w:pPr>
        <w:ind w:left="284" w:right="60" w:hanging="284"/>
        <w:spacing w:after="0" w:line="231"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Includes a $39,043 contribution by the Company to Mr. Bechor’s severance fund and $47,722 in aggregate Company contributions to pension and Israeli recreational funds and a recuperation allowance.</w:t>
      </w:r>
    </w:p>
    <w:p>
      <w:pPr>
        <w:ind w:left="284" w:hanging="284"/>
        <w:spacing w:after="0" w:line="237" w:lineRule="auto"/>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Includes a $28,558 contribution by the Company to Mr. Huber’s severance fund and $93,653 in aggregate Company contributions to pension and Israeli recreational funds and a recuperation allowance.</w:t>
      </w:r>
    </w:p>
    <w:p>
      <w:pPr>
        <w:spacing w:after="0" w:line="1" w:lineRule="exact"/>
        <w:rPr>
          <w:rFonts w:ascii="Arial" w:cs="Arial" w:eastAsia="Arial" w:hAnsi="Arial"/>
          <w:sz w:val="13"/>
          <w:szCs w:val="13"/>
          <w:color w:val="001446"/>
        </w:rPr>
      </w:pPr>
    </w:p>
    <w:p>
      <w:pPr>
        <w:ind w:left="284" w:hanging="284"/>
        <w:spacing w:after="0"/>
        <w:tabs>
          <w:tab w:leader="none" w:pos="284" w:val="left"/>
        </w:tabs>
        <w:numPr>
          <w:ilvl w:val="0"/>
          <w:numId w:val="115"/>
        </w:numPr>
        <w:rPr>
          <w:rFonts w:ascii="Arial" w:cs="Arial" w:eastAsia="Arial" w:hAnsi="Arial"/>
          <w:sz w:val="13"/>
          <w:szCs w:val="13"/>
          <w:color w:val="001446"/>
        </w:rPr>
      </w:pPr>
      <w:r>
        <w:rPr>
          <w:rFonts w:ascii="Arial" w:cs="Arial" w:eastAsia="Arial" w:hAnsi="Arial"/>
          <w:sz w:val="13"/>
          <w:szCs w:val="13"/>
          <w:color w:val="001446"/>
        </w:rPr>
        <w:t>Mr. Huber became an executive of the Company since April 8, 2025.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2"/>
          <w:szCs w:val="22"/>
          <w:color w:val="001446"/>
        </w:rPr>
        <w:t>2025 Grants of Plan-Based Awards</w:t>
      </w: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264"/>
        </w:trPr>
        <w:tc>
          <w:tcPr>
            <w:tcW w:w="920" w:type="dxa"/>
            <w:vAlign w:val="bottom"/>
            <w:shd w:val="clear" w:color="auto" w:fill="F2F2F2"/>
          </w:tcPr>
          <w:p>
            <w:pPr>
              <w:spacing w:after="0"/>
              <w:rPr>
                <w:sz w:val="22"/>
                <w:szCs w:val="22"/>
                <w:color w:val="auto"/>
              </w:rPr>
            </w:pPr>
          </w:p>
        </w:tc>
        <w:tc>
          <w:tcPr>
            <w:tcW w:w="20" w:type="dxa"/>
            <w:vAlign w:val="bottom"/>
            <w:shd w:val="clear" w:color="auto" w:fill="F2F2F2"/>
          </w:tcPr>
          <w:p>
            <w:pPr>
              <w:spacing w:after="0"/>
              <w:rPr>
                <w:sz w:val="22"/>
                <w:szCs w:val="22"/>
                <w:color w:val="auto"/>
              </w:rPr>
            </w:pPr>
          </w:p>
        </w:tc>
        <w:tc>
          <w:tcPr>
            <w:tcW w:w="1100" w:type="dxa"/>
            <w:vAlign w:val="bottom"/>
            <w:shd w:val="clear" w:color="auto" w:fill="F2F2F2"/>
          </w:tcPr>
          <w:p>
            <w:pPr>
              <w:spacing w:after="0"/>
              <w:rPr>
                <w:sz w:val="22"/>
                <w:szCs w:val="22"/>
                <w:color w:val="auto"/>
              </w:rPr>
            </w:pPr>
          </w:p>
        </w:tc>
        <w:tc>
          <w:tcPr>
            <w:tcW w:w="880" w:type="dxa"/>
            <w:vAlign w:val="bottom"/>
            <w:shd w:val="clear" w:color="auto" w:fill="F2F2F2"/>
          </w:tcPr>
          <w:p>
            <w:pPr>
              <w:spacing w:after="0"/>
              <w:rPr>
                <w:sz w:val="22"/>
                <w:szCs w:val="22"/>
                <w:color w:val="auto"/>
              </w:rPr>
            </w:pPr>
          </w:p>
        </w:tc>
        <w:tc>
          <w:tcPr>
            <w:tcW w:w="840" w:type="dxa"/>
            <w:vAlign w:val="bottom"/>
            <w:shd w:val="clear" w:color="auto" w:fill="F2F2F2"/>
          </w:tcPr>
          <w:p>
            <w:pPr>
              <w:spacing w:after="0"/>
              <w:rPr>
                <w:sz w:val="22"/>
                <w:szCs w:val="22"/>
                <w:color w:val="auto"/>
              </w:rPr>
            </w:pPr>
          </w:p>
        </w:tc>
        <w:tc>
          <w:tcPr>
            <w:tcW w:w="1040" w:type="dxa"/>
            <w:vAlign w:val="bottom"/>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980" w:type="dxa"/>
            <w:vAlign w:val="bottom"/>
            <w:shd w:val="clear" w:color="auto" w:fill="F2F2F2"/>
          </w:tcPr>
          <w:p>
            <w:pPr>
              <w:spacing w:after="0"/>
              <w:rPr>
                <w:sz w:val="22"/>
                <w:szCs w:val="22"/>
                <w:color w:val="auto"/>
              </w:rPr>
            </w:pPr>
          </w:p>
        </w:tc>
        <w:tc>
          <w:tcPr>
            <w:tcW w:w="1700" w:type="dxa"/>
            <w:vAlign w:val="bottom"/>
            <w:shd w:val="clear" w:color="auto" w:fill="F2F2F2"/>
          </w:tcPr>
          <w:p>
            <w:pPr>
              <w:spacing w:after="0"/>
              <w:rPr>
                <w:sz w:val="22"/>
                <w:szCs w:val="22"/>
                <w:color w:val="auto"/>
              </w:rPr>
            </w:pPr>
          </w:p>
        </w:tc>
        <w:tc>
          <w:tcPr>
            <w:tcW w:w="10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20" w:type="dxa"/>
            <w:vAlign w:val="bottom"/>
            <w:shd w:val="clear" w:color="auto" w:fill="001446"/>
          </w:tcPr>
          <w:p>
            <w:pPr>
              <w:spacing w:after="0"/>
              <w:rPr>
                <w:sz w:val="19"/>
                <w:szCs w:val="19"/>
                <w:color w:val="auto"/>
              </w:rPr>
            </w:pPr>
          </w:p>
        </w:tc>
        <w:tc>
          <w:tcPr>
            <w:tcW w:w="20" w:type="dxa"/>
            <w:vAlign w:val="bottom"/>
            <w:shd w:val="clear" w:color="auto" w:fill="001446"/>
          </w:tcPr>
          <w:p>
            <w:pPr>
              <w:spacing w:after="0"/>
              <w:rPr>
                <w:sz w:val="19"/>
                <w:szCs w:val="19"/>
                <w:color w:val="auto"/>
              </w:rPr>
            </w:pPr>
          </w:p>
        </w:tc>
        <w:tc>
          <w:tcPr>
            <w:tcW w:w="1100" w:type="dxa"/>
            <w:vAlign w:val="bottom"/>
            <w:shd w:val="clear" w:color="auto" w:fill="001446"/>
          </w:tcPr>
          <w:p>
            <w:pPr>
              <w:spacing w:after="0"/>
              <w:rPr>
                <w:sz w:val="19"/>
                <w:szCs w:val="19"/>
                <w:color w:val="auto"/>
              </w:rPr>
            </w:pPr>
          </w:p>
        </w:tc>
        <w:tc>
          <w:tcPr>
            <w:tcW w:w="2760" w:type="dxa"/>
            <w:vAlign w:val="bottom"/>
            <w:gridSpan w:val="3"/>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Estimated Future Payouts under Non-</w:t>
            </w:r>
          </w:p>
        </w:tc>
        <w:tc>
          <w:tcPr>
            <w:tcW w:w="2700" w:type="dxa"/>
            <w:vAlign w:val="bottom"/>
            <w:gridSpan w:val="3"/>
            <w:shd w:val="clear" w:color="auto" w:fill="001446"/>
          </w:tcPr>
          <w:p>
            <w:pPr>
              <w:jc w:val="center"/>
              <w:ind w:right="96"/>
              <w:spacing w:after="0"/>
              <w:rPr>
                <w:sz w:val="20"/>
                <w:szCs w:val="20"/>
                <w:color w:val="auto"/>
              </w:rPr>
            </w:pPr>
            <w:r>
              <w:rPr>
                <w:rFonts w:ascii="Arial" w:cs="Arial" w:eastAsia="Arial" w:hAnsi="Arial"/>
                <w:sz w:val="13"/>
                <w:szCs w:val="13"/>
                <w:b w:val="1"/>
                <w:bCs w:val="1"/>
                <w:color w:val="E8E8E8"/>
                <w:w w:val="98"/>
              </w:rPr>
              <w:t>Estimated Future Payouts under</w:t>
            </w:r>
          </w:p>
        </w:tc>
        <w:tc>
          <w:tcPr>
            <w:tcW w:w="170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E8E8E8"/>
                <w:w w:val="97"/>
              </w:rPr>
              <w:t>All Other Stock</w:t>
            </w:r>
          </w:p>
        </w:tc>
        <w:tc>
          <w:tcPr>
            <w:tcW w:w="1080" w:type="dxa"/>
            <w:vAlign w:val="bottom"/>
            <w:shd w:val="clear" w:color="auto" w:fill="001446"/>
          </w:tcPr>
          <w:p>
            <w:pPr>
              <w:jc w:val="center"/>
              <w:ind w:left="76"/>
              <w:spacing w:after="0"/>
              <w:rPr>
                <w:sz w:val="20"/>
                <w:szCs w:val="20"/>
                <w:color w:val="auto"/>
              </w:rPr>
            </w:pPr>
            <w:r>
              <w:rPr>
                <w:rFonts w:ascii="Arial" w:cs="Arial" w:eastAsia="Arial" w:hAnsi="Arial"/>
                <w:sz w:val="13"/>
                <w:szCs w:val="13"/>
                <w:b w:val="1"/>
                <w:bCs w:val="1"/>
                <w:color w:val="E8E8E8"/>
                <w:w w:val="99"/>
              </w:rPr>
              <w:t>Grant Date</w:t>
            </w:r>
          </w:p>
        </w:tc>
        <w:tc>
          <w:tcPr>
            <w:tcW w:w="0" w:type="dxa"/>
            <w:vAlign w:val="bottom"/>
          </w:tcPr>
          <w:p>
            <w:pPr>
              <w:spacing w:after="0"/>
              <w:rPr>
                <w:sz w:val="1"/>
                <w:szCs w:val="1"/>
                <w:color w:val="auto"/>
              </w:rPr>
            </w:pPr>
          </w:p>
        </w:tc>
      </w:tr>
      <w:tr>
        <w:trPr>
          <w:trHeight w:val="144"/>
        </w:trPr>
        <w:tc>
          <w:tcPr>
            <w:tcW w:w="940" w:type="dxa"/>
            <w:vAlign w:val="bottom"/>
            <w:gridSpan w:val="2"/>
            <w:vMerge w:val="restart"/>
            <w:shd w:val="clear" w:color="auto" w:fill="001446"/>
          </w:tcPr>
          <w:p>
            <w:pPr>
              <w:ind w:left="80"/>
              <w:spacing w:after="0"/>
              <w:rPr>
                <w:sz w:val="20"/>
                <w:szCs w:val="20"/>
                <w:color w:val="auto"/>
              </w:rPr>
            </w:pPr>
            <w:r>
              <w:rPr>
                <w:rFonts w:ascii="Arial" w:cs="Arial" w:eastAsia="Arial" w:hAnsi="Arial"/>
                <w:sz w:val="13"/>
                <w:szCs w:val="13"/>
                <w:b w:val="1"/>
                <w:bCs w:val="1"/>
                <w:color w:val="E8E8E8"/>
              </w:rPr>
              <w:t>Name</w:t>
            </w:r>
          </w:p>
        </w:tc>
        <w:tc>
          <w:tcPr>
            <w:tcW w:w="1100" w:type="dxa"/>
            <w:vAlign w:val="bottom"/>
            <w:vMerge w:val="restart"/>
            <w:shd w:val="clear" w:color="auto" w:fill="001446"/>
          </w:tcPr>
          <w:p>
            <w:pPr>
              <w:ind w:left="220"/>
              <w:spacing w:after="0"/>
              <w:rPr>
                <w:sz w:val="20"/>
                <w:szCs w:val="20"/>
                <w:color w:val="auto"/>
              </w:rPr>
            </w:pPr>
            <w:r>
              <w:rPr>
                <w:rFonts w:ascii="Arial" w:cs="Arial" w:eastAsia="Arial" w:hAnsi="Arial"/>
                <w:sz w:val="13"/>
                <w:szCs w:val="13"/>
                <w:b w:val="1"/>
                <w:bCs w:val="1"/>
                <w:color w:val="E8E8E8"/>
              </w:rPr>
              <w:t>Grant Date</w:t>
            </w:r>
          </w:p>
        </w:tc>
        <w:tc>
          <w:tcPr>
            <w:tcW w:w="880" w:type="dxa"/>
            <w:vAlign w:val="bottom"/>
            <w:shd w:val="clear" w:color="auto" w:fill="001446"/>
          </w:tcPr>
          <w:p>
            <w:pPr>
              <w:spacing w:after="0"/>
              <w:rPr>
                <w:sz w:val="12"/>
                <w:szCs w:val="12"/>
                <w:color w:val="auto"/>
              </w:rPr>
            </w:pPr>
          </w:p>
        </w:tc>
        <w:tc>
          <w:tcPr>
            <w:tcW w:w="840" w:type="dxa"/>
            <w:vAlign w:val="bottom"/>
            <w:shd w:val="clear" w:color="auto" w:fill="001446"/>
          </w:tcPr>
          <w:p>
            <w:pPr>
              <w:jc w:val="center"/>
              <w:ind w:left="116"/>
              <w:spacing w:after="0" w:line="144" w:lineRule="exact"/>
              <w:rPr>
                <w:sz w:val="20"/>
                <w:szCs w:val="20"/>
                <w:color w:val="auto"/>
              </w:rPr>
            </w:pPr>
            <w:r>
              <w:rPr>
                <w:rFonts w:ascii="Arial" w:cs="Arial" w:eastAsia="Arial" w:hAnsi="Arial"/>
                <w:sz w:val="13"/>
                <w:szCs w:val="13"/>
                <w:b w:val="1"/>
                <w:bCs w:val="1"/>
                <w:color w:val="E8E8E8"/>
                <w:w w:val="95"/>
              </w:rPr>
              <w:t>Equity</w:t>
            </w:r>
          </w:p>
        </w:tc>
        <w:tc>
          <w:tcPr>
            <w:tcW w:w="1040" w:type="dxa"/>
            <w:vAlign w:val="bottom"/>
            <w:shd w:val="clear" w:color="auto" w:fill="001446"/>
          </w:tcPr>
          <w:p>
            <w:pPr>
              <w:spacing w:after="0"/>
              <w:rPr>
                <w:sz w:val="12"/>
                <w:szCs w:val="12"/>
                <w:color w:val="auto"/>
              </w:rPr>
            </w:pPr>
          </w:p>
        </w:tc>
        <w:tc>
          <w:tcPr>
            <w:tcW w:w="860" w:type="dxa"/>
            <w:vAlign w:val="bottom"/>
            <w:shd w:val="clear" w:color="auto" w:fill="001446"/>
          </w:tcPr>
          <w:p>
            <w:pPr>
              <w:spacing w:after="0"/>
              <w:rPr>
                <w:sz w:val="12"/>
                <w:szCs w:val="12"/>
                <w:color w:val="auto"/>
              </w:rPr>
            </w:pPr>
          </w:p>
        </w:tc>
        <w:tc>
          <w:tcPr>
            <w:tcW w:w="86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5"/>
              </w:rPr>
              <w:t>Equity</w:t>
            </w:r>
          </w:p>
        </w:tc>
        <w:tc>
          <w:tcPr>
            <w:tcW w:w="980" w:type="dxa"/>
            <w:vAlign w:val="bottom"/>
            <w:shd w:val="clear" w:color="auto" w:fill="001446"/>
          </w:tcPr>
          <w:p>
            <w:pPr>
              <w:spacing w:after="0"/>
              <w:rPr>
                <w:sz w:val="12"/>
                <w:szCs w:val="12"/>
                <w:color w:val="auto"/>
              </w:rPr>
            </w:pPr>
          </w:p>
        </w:tc>
        <w:tc>
          <w:tcPr>
            <w:tcW w:w="170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Awards: Number of</w:t>
            </w:r>
          </w:p>
        </w:tc>
        <w:tc>
          <w:tcPr>
            <w:tcW w:w="1080" w:type="dxa"/>
            <w:vAlign w:val="bottom"/>
            <w:shd w:val="clear" w:color="auto" w:fill="001446"/>
          </w:tcPr>
          <w:p>
            <w:pPr>
              <w:jc w:val="center"/>
              <w:ind w:left="76"/>
              <w:spacing w:after="0" w:line="144" w:lineRule="exact"/>
              <w:rPr>
                <w:sz w:val="20"/>
                <w:szCs w:val="20"/>
                <w:color w:val="auto"/>
              </w:rPr>
            </w:pPr>
            <w:r>
              <w:rPr>
                <w:rFonts w:ascii="Arial" w:cs="Arial" w:eastAsia="Arial" w:hAnsi="Arial"/>
                <w:sz w:val="13"/>
                <w:szCs w:val="13"/>
                <w:b w:val="1"/>
                <w:bCs w:val="1"/>
                <w:color w:val="E8E8E8"/>
                <w:w w:val="99"/>
              </w:rPr>
              <w:t>Fair Value</w:t>
            </w:r>
          </w:p>
        </w:tc>
        <w:tc>
          <w:tcPr>
            <w:tcW w:w="0" w:type="dxa"/>
            <w:vAlign w:val="bottom"/>
          </w:tcPr>
          <w:p>
            <w:pPr>
              <w:spacing w:after="0"/>
              <w:rPr>
                <w:sz w:val="1"/>
                <w:szCs w:val="1"/>
                <w:color w:val="auto"/>
              </w:rPr>
            </w:pPr>
          </w:p>
        </w:tc>
      </w:tr>
      <w:tr>
        <w:trPr>
          <w:trHeight w:val="148"/>
        </w:trPr>
        <w:tc>
          <w:tcPr>
            <w:tcW w:w="940" w:type="dxa"/>
            <w:vAlign w:val="bottom"/>
            <w:gridSpan w:val="2"/>
            <w:vMerge w:val="continue"/>
            <w:shd w:val="clear" w:color="auto" w:fill="001446"/>
          </w:tcPr>
          <w:p>
            <w:pPr>
              <w:spacing w:after="0"/>
              <w:rPr>
                <w:sz w:val="12"/>
                <w:szCs w:val="12"/>
                <w:color w:val="auto"/>
              </w:rPr>
            </w:pPr>
          </w:p>
        </w:tc>
        <w:tc>
          <w:tcPr>
            <w:tcW w:w="1100" w:type="dxa"/>
            <w:vAlign w:val="bottom"/>
            <w:vMerge w:val="continue"/>
            <w:shd w:val="clear" w:color="auto" w:fill="001446"/>
          </w:tcPr>
          <w:p>
            <w:pPr>
              <w:spacing w:after="0"/>
              <w:rPr>
                <w:sz w:val="12"/>
                <w:szCs w:val="12"/>
                <w:color w:val="auto"/>
              </w:rPr>
            </w:pPr>
          </w:p>
        </w:tc>
        <w:tc>
          <w:tcPr>
            <w:tcW w:w="2760" w:type="dxa"/>
            <w:vAlign w:val="bottom"/>
            <w:gridSpan w:val="3"/>
            <w:shd w:val="clear" w:color="auto" w:fill="001446"/>
          </w:tcPr>
          <w:p>
            <w:pPr>
              <w:jc w:val="center"/>
              <w:spacing w:after="0" w:line="148" w:lineRule="exact"/>
              <w:rPr>
                <w:sz w:val="20"/>
                <w:szCs w:val="20"/>
                <w:color w:val="auto"/>
              </w:rPr>
            </w:pPr>
            <w:r>
              <w:rPr>
                <w:rFonts w:ascii="Arial" w:cs="Arial" w:eastAsia="Arial" w:hAnsi="Arial"/>
                <w:sz w:val="13"/>
                <w:szCs w:val="13"/>
                <w:b w:val="1"/>
                <w:bCs w:val="1"/>
                <w:color w:val="E8E8E8"/>
                <w:w w:val="97"/>
              </w:rPr>
              <w:t>Incentive Plan Awards (1)</w:t>
            </w:r>
          </w:p>
        </w:tc>
        <w:tc>
          <w:tcPr>
            <w:tcW w:w="2700" w:type="dxa"/>
            <w:vAlign w:val="bottom"/>
            <w:gridSpan w:val="3"/>
            <w:shd w:val="clear" w:color="auto" w:fill="001446"/>
          </w:tcPr>
          <w:p>
            <w:pPr>
              <w:jc w:val="center"/>
              <w:ind w:right="96"/>
              <w:spacing w:after="0" w:line="148" w:lineRule="exact"/>
              <w:rPr>
                <w:sz w:val="20"/>
                <w:szCs w:val="20"/>
                <w:color w:val="auto"/>
              </w:rPr>
            </w:pPr>
            <w:r>
              <w:rPr>
                <w:rFonts w:ascii="Arial" w:cs="Arial" w:eastAsia="Arial" w:hAnsi="Arial"/>
                <w:sz w:val="13"/>
                <w:szCs w:val="13"/>
                <w:b w:val="1"/>
                <w:bCs w:val="1"/>
                <w:color w:val="E8E8E8"/>
                <w:w w:val="97"/>
              </w:rPr>
              <w:t>Incentive Plan Awards (2)</w:t>
            </w:r>
          </w:p>
        </w:tc>
        <w:tc>
          <w:tcPr>
            <w:tcW w:w="1700" w:type="dxa"/>
            <w:vAlign w:val="bottom"/>
            <w:shd w:val="clear" w:color="auto" w:fill="001446"/>
          </w:tcPr>
          <w:p>
            <w:pPr>
              <w:jc w:val="center"/>
              <w:spacing w:after="0" w:line="148" w:lineRule="exact"/>
              <w:rPr>
                <w:sz w:val="20"/>
                <w:szCs w:val="20"/>
                <w:color w:val="auto"/>
              </w:rPr>
            </w:pPr>
            <w:r>
              <w:rPr>
                <w:rFonts w:ascii="Arial" w:cs="Arial" w:eastAsia="Arial" w:hAnsi="Arial"/>
                <w:sz w:val="13"/>
                <w:szCs w:val="13"/>
                <w:b w:val="1"/>
                <w:bCs w:val="1"/>
                <w:color w:val="E8E8E8"/>
                <w:w w:val="97"/>
              </w:rPr>
              <w:t>Shares of Stock or</w:t>
            </w:r>
          </w:p>
        </w:tc>
        <w:tc>
          <w:tcPr>
            <w:tcW w:w="1080" w:type="dxa"/>
            <w:vAlign w:val="bottom"/>
            <w:shd w:val="clear" w:color="auto" w:fill="001446"/>
          </w:tcPr>
          <w:p>
            <w:pPr>
              <w:jc w:val="center"/>
              <w:ind w:left="76"/>
              <w:spacing w:after="0" w:line="148" w:lineRule="exact"/>
              <w:rPr>
                <w:sz w:val="20"/>
                <w:szCs w:val="20"/>
                <w:color w:val="auto"/>
              </w:rPr>
            </w:pPr>
            <w:r>
              <w:rPr>
                <w:rFonts w:ascii="Arial" w:cs="Arial" w:eastAsia="Arial" w:hAnsi="Arial"/>
                <w:sz w:val="13"/>
                <w:szCs w:val="13"/>
                <w:b w:val="1"/>
                <w:bCs w:val="1"/>
                <w:color w:val="E8E8E8"/>
                <w:w w:val="97"/>
              </w:rPr>
              <w:t>of Stock</w:t>
            </w:r>
          </w:p>
        </w:tc>
        <w:tc>
          <w:tcPr>
            <w:tcW w:w="0" w:type="dxa"/>
            <w:vAlign w:val="bottom"/>
          </w:tcPr>
          <w:p>
            <w:pPr>
              <w:spacing w:after="0"/>
              <w:rPr>
                <w:sz w:val="1"/>
                <w:szCs w:val="1"/>
                <w:color w:val="auto"/>
              </w:rPr>
            </w:pPr>
          </w:p>
        </w:tc>
      </w:tr>
      <w:tr>
        <w:trPr>
          <w:trHeight w:val="144"/>
        </w:trPr>
        <w:tc>
          <w:tcPr>
            <w:tcW w:w="920" w:type="dxa"/>
            <w:vAlign w:val="bottom"/>
            <w:shd w:val="clear" w:color="auto" w:fill="001446"/>
          </w:tcPr>
          <w:p>
            <w:pPr>
              <w:spacing w:after="0"/>
              <w:rPr>
                <w:sz w:val="12"/>
                <w:szCs w:val="12"/>
                <w:color w:val="auto"/>
              </w:rPr>
            </w:pPr>
          </w:p>
        </w:tc>
        <w:tc>
          <w:tcPr>
            <w:tcW w:w="20" w:type="dxa"/>
            <w:vAlign w:val="bottom"/>
            <w:shd w:val="clear" w:color="auto" w:fill="001446"/>
          </w:tcPr>
          <w:p>
            <w:pPr>
              <w:spacing w:after="0"/>
              <w:rPr>
                <w:sz w:val="12"/>
                <w:szCs w:val="12"/>
                <w:color w:val="auto"/>
              </w:rPr>
            </w:pPr>
          </w:p>
        </w:tc>
        <w:tc>
          <w:tcPr>
            <w:tcW w:w="1100" w:type="dxa"/>
            <w:vAlign w:val="bottom"/>
            <w:shd w:val="clear" w:color="auto" w:fill="001446"/>
          </w:tcPr>
          <w:p>
            <w:pPr>
              <w:spacing w:after="0"/>
              <w:rPr>
                <w:sz w:val="12"/>
                <w:szCs w:val="12"/>
                <w:color w:val="auto"/>
              </w:rPr>
            </w:pPr>
          </w:p>
        </w:tc>
        <w:tc>
          <w:tcPr>
            <w:tcW w:w="880" w:type="dxa"/>
            <w:vAlign w:val="bottom"/>
            <w:shd w:val="clear" w:color="auto" w:fill="001446"/>
          </w:tcPr>
          <w:p>
            <w:pPr>
              <w:ind w:left="100"/>
              <w:spacing w:after="0" w:line="144" w:lineRule="exact"/>
              <w:rPr>
                <w:sz w:val="20"/>
                <w:szCs w:val="20"/>
                <w:color w:val="auto"/>
              </w:rPr>
            </w:pPr>
            <w:r>
              <w:rPr>
                <w:rFonts w:ascii="Arial" w:cs="Arial" w:eastAsia="Arial" w:hAnsi="Arial"/>
                <w:sz w:val="13"/>
                <w:szCs w:val="13"/>
                <w:b w:val="1"/>
                <w:bCs w:val="1"/>
                <w:color w:val="E8E8E8"/>
              </w:rPr>
              <w:t>Threshold</w:t>
            </w:r>
          </w:p>
        </w:tc>
        <w:tc>
          <w:tcPr>
            <w:tcW w:w="8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5"/>
              </w:rPr>
              <w:t>Target</w:t>
            </w:r>
          </w:p>
        </w:tc>
        <w:tc>
          <w:tcPr>
            <w:tcW w:w="1040" w:type="dxa"/>
            <w:vAlign w:val="bottom"/>
            <w:vMerge w:val="restart"/>
            <w:shd w:val="clear" w:color="auto" w:fill="001446"/>
          </w:tcPr>
          <w:p>
            <w:pPr>
              <w:ind w:left="160"/>
              <w:spacing w:after="0"/>
              <w:rPr>
                <w:sz w:val="20"/>
                <w:szCs w:val="20"/>
                <w:color w:val="auto"/>
              </w:rPr>
            </w:pPr>
            <w:r>
              <w:rPr>
                <w:rFonts w:ascii="Arial" w:cs="Arial" w:eastAsia="Arial" w:hAnsi="Arial"/>
                <w:sz w:val="13"/>
                <w:szCs w:val="13"/>
                <w:b w:val="1"/>
                <w:bCs w:val="1"/>
                <w:color w:val="E8E8E8"/>
              </w:rPr>
              <w:t>Maximum ($)</w:t>
            </w:r>
          </w:p>
        </w:tc>
        <w:tc>
          <w:tcPr>
            <w:tcW w:w="860" w:type="dxa"/>
            <w:vAlign w:val="bottom"/>
            <w:shd w:val="clear" w:color="auto" w:fill="001446"/>
          </w:tcPr>
          <w:p>
            <w:pPr>
              <w:ind w:left="120"/>
              <w:spacing w:after="0" w:line="144" w:lineRule="exact"/>
              <w:rPr>
                <w:sz w:val="20"/>
                <w:szCs w:val="20"/>
                <w:color w:val="auto"/>
              </w:rPr>
            </w:pPr>
            <w:r>
              <w:rPr>
                <w:rFonts w:ascii="Arial" w:cs="Arial" w:eastAsia="Arial" w:hAnsi="Arial"/>
                <w:sz w:val="13"/>
                <w:szCs w:val="13"/>
                <w:b w:val="1"/>
                <w:bCs w:val="1"/>
                <w:color w:val="E8E8E8"/>
              </w:rPr>
              <w:t>Threshold</w:t>
            </w:r>
          </w:p>
        </w:tc>
        <w:tc>
          <w:tcPr>
            <w:tcW w:w="860" w:type="dxa"/>
            <w:vAlign w:val="bottom"/>
            <w:shd w:val="clear" w:color="auto" w:fill="001446"/>
          </w:tcPr>
          <w:p>
            <w:pPr>
              <w:ind w:left="240"/>
              <w:spacing w:after="0" w:line="144" w:lineRule="exact"/>
              <w:rPr>
                <w:sz w:val="20"/>
                <w:szCs w:val="20"/>
                <w:color w:val="auto"/>
              </w:rPr>
            </w:pPr>
            <w:r>
              <w:rPr>
                <w:rFonts w:ascii="Arial" w:cs="Arial" w:eastAsia="Arial" w:hAnsi="Arial"/>
                <w:sz w:val="13"/>
                <w:szCs w:val="13"/>
                <w:b w:val="1"/>
                <w:bCs w:val="1"/>
                <w:color w:val="E8E8E8"/>
              </w:rPr>
              <w:t>Target</w:t>
            </w:r>
          </w:p>
        </w:tc>
        <w:tc>
          <w:tcPr>
            <w:tcW w:w="980" w:type="dxa"/>
            <w:vAlign w:val="bottom"/>
            <w:shd w:val="clear" w:color="auto" w:fill="001446"/>
          </w:tcPr>
          <w:p>
            <w:pPr>
              <w:ind w:left="120"/>
              <w:spacing w:after="0" w:line="144" w:lineRule="exact"/>
              <w:rPr>
                <w:sz w:val="20"/>
                <w:szCs w:val="20"/>
                <w:color w:val="auto"/>
              </w:rPr>
            </w:pPr>
            <w:r>
              <w:rPr>
                <w:rFonts w:ascii="Arial" w:cs="Arial" w:eastAsia="Arial" w:hAnsi="Arial"/>
                <w:sz w:val="13"/>
                <w:szCs w:val="13"/>
                <w:b w:val="1"/>
                <w:bCs w:val="1"/>
                <w:color w:val="E8E8E8"/>
              </w:rPr>
              <w:t>Maximum</w:t>
            </w:r>
          </w:p>
        </w:tc>
        <w:tc>
          <w:tcPr>
            <w:tcW w:w="170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Units</w:t>
            </w:r>
          </w:p>
        </w:tc>
        <w:tc>
          <w:tcPr>
            <w:tcW w:w="1080" w:type="dxa"/>
            <w:vAlign w:val="bottom"/>
            <w:shd w:val="clear" w:color="auto" w:fill="001446"/>
          </w:tcPr>
          <w:p>
            <w:pPr>
              <w:jc w:val="center"/>
              <w:ind w:left="76"/>
              <w:spacing w:after="0" w:line="144" w:lineRule="exact"/>
              <w:rPr>
                <w:sz w:val="20"/>
                <w:szCs w:val="20"/>
                <w:color w:val="auto"/>
              </w:rPr>
            </w:pPr>
            <w:r>
              <w:rPr>
                <w:rFonts w:ascii="Arial" w:cs="Arial" w:eastAsia="Arial" w:hAnsi="Arial"/>
                <w:sz w:val="13"/>
                <w:szCs w:val="13"/>
                <w:b w:val="1"/>
                <w:bCs w:val="1"/>
                <w:color w:val="E8E8E8"/>
                <w:w w:val="97"/>
              </w:rPr>
              <w:t>Awards</w:t>
            </w:r>
          </w:p>
        </w:tc>
        <w:tc>
          <w:tcPr>
            <w:tcW w:w="0" w:type="dxa"/>
            <w:vAlign w:val="bottom"/>
          </w:tcPr>
          <w:p>
            <w:pPr>
              <w:spacing w:after="0"/>
              <w:rPr>
                <w:sz w:val="1"/>
                <w:szCs w:val="1"/>
                <w:color w:val="auto"/>
              </w:rPr>
            </w:pPr>
          </w:p>
        </w:tc>
      </w:tr>
      <w:tr>
        <w:trPr>
          <w:trHeight w:val="183"/>
        </w:trPr>
        <w:tc>
          <w:tcPr>
            <w:tcW w:w="920" w:type="dxa"/>
            <w:vAlign w:val="bottom"/>
            <w:tcBorders>
              <w:bottom w:val="single" w:sz="8" w:color="001446"/>
            </w:tcBorders>
            <w:shd w:val="clear" w:color="auto" w:fill="001446"/>
          </w:tcPr>
          <w:p>
            <w:pPr>
              <w:spacing w:after="0"/>
              <w:rPr>
                <w:sz w:val="15"/>
                <w:szCs w:val="15"/>
                <w:color w:val="auto"/>
              </w:rPr>
            </w:pPr>
          </w:p>
        </w:tc>
        <w:tc>
          <w:tcPr>
            <w:tcW w:w="20" w:type="dxa"/>
            <w:vAlign w:val="bottom"/>
            <w:tcBorders>
              <w:bottom w:val="single" w:sz="8" w:color="001446"/>
            </w:tcBorders>
            <w:shd w:val="clear" w:color="auto" w:fill="001446"/>
          </w:tcPr>
          <w:p>
            <w:pPr>
              <w:spacing w:after="0"/>
              <w:rPr>
                <w:sz w:val="15"/>
                <w:szCs w:val="15"/>
                <w:color w:val="auto"/>
              </w:rPr>
            </w:pPr>
          </w:p>
        </w:tc>
        <w:tc>
          <w:tcPr>
            <w:tcW w:w="1100" w:type="dxa"/>
            <w:vAlign w:val="bottom"/>
            <w:tcBorders>
              <w:bottom w:val="single" w:sz="8" w:color="001446"/>
            </w:tcBorders>
            <w:shd w:val="clear" w:color="auto" w:fill="001446"/>
          </w:tcPr>
          <w:p>
            <w:pPr>
              <w:spacing w:after="0"/>
              <w:rPr>
                <w:sz w:val="15"/>
                <w:szCs w:val="15"/>
                <w:color w:val="auto"/>
              </w:rPr>
            </w:pPr>
          </w:p>
        </w:tc>
        <w:tc>
          <w:tcPr>
            <w:tcW w:w="88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E8E8E8"/>
              </w:rPr>
              <w:t>($)</w:t>
            </w:r>
          </w:p>
        </w:tc>
        <w:tc>
          <w:tcPr>
            <w:tcW w:w="84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E8E8E8"/>
              </w:rPr>
              <w:t>($)</w:t>
            </w:r>
          </w:p>
        </w:tc>
        <w:tc>
          <w:tcPr>
            <w:tcW w:w="1040" w:type="dxa"/>
            <w:vAlign w:val="bottom"/>
            <w:tcBorders>
              <w:bottom w:val="single" w:sz="8" w:color="001446"/>
            </w:tcBorders>
            <w:vMerge w:val="continue"/>
            <w:shd w:val="clear" w:color="auto" w:fill="001446"/>
          </w:tcPr>
          <w:p>
            <w:pPr>
              <w:spacing w:after="0"/>
              <w:rPr>
                <w:sz w:val="15"/>
                <w:szCs w:val="15"/>
                <w:color w:val="auto"/>
              </w:rPr>
            </w:pPr>
          </w:p>
        </w:tc>
        <w:tc>
          <w:tcPr>
            <w:tcW w:w="86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E8E8E8"/>
              </w:rPr>
              <w:t>(#)</w:t>
            </w:r>
          </w:p>
        </w:tc>
        <w:tc>
          <w:tcPr>
            <w:tcW w:w="86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E8E8E8"/>
              </w:rPr>
              <w:t>(#)</w:t>
            </w:r>
          </w:p>
        </w:tc>
        <w:tc>
          <w:tcPr>
            <w:tcW w:w="980" w:type="dxa"/>
            <w:vAlign w:val="bottom"/>
            <w:tcBorders>
              <w:bottom w:val="single" w:sz="8" w:color="001446"/>
            </w:tcBorders>
            <w:shd w:val="clear" w:color="auto" w:fill="001446"/>
          </w:tcPr>
          <w:p>
            <w:pPr>
              <w:jc w:val="center"/>
              <w:ind w:right="76"/>
              <w:spacing w:after="0"/>
              <w:rPr>
                <w:sz w:val="20"/>
                <w:szCs w:val="20"/>
                <w:color w:val="auto"/>
              </w:rPr>
            </w:pPr>
            <w:r>
              <w:rPr>
                <w:rFonts w:ascii="Arial" w:cs="Arial" w:eastAsia="Arial" w:hAnsi="Arial"/>
                <w:sz w:val="13"/>
                <w:szCs w:val="13"/>
                <w:b w:val="1"/>
                <w:bCs w:val="1"/>
                <w:color w:val="E8E8E8"/>
              </w:rPr>
              <w:t>(#)</w:t>
            </w:r>
          </w:p>
        </w:tc>
        <w:tc>
          <w:tcPr>
            <w:tcW w:w="170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FFFFFF"/>
              </w:rPr>
              <w:t>(#)</w:t>
            </w:r>
          </w:p>
        </w:tc>
        <w:tc>
          <w:tcPr>
            <w:tcW w:w="1080" w:type="dxa"/>
            <w:vAlign w:val="bottom"/>
            <w:tcBorders>
              <w:bottom w:val="single" w:sz="8" w:color="001446"/>
            </w:tcBorders>
            <w:shd w:val="clear" w:color="auto" w:fill="001446"/>
          </w:tcPr>
          <w:p>
            <w:pPr>
              <w:jc w:val="center"/>
              <w:ind w:left="76"/>
              <w:spacing w:after="0"/>
              <w:rPr>
                <w:sz w:val="20"/>
                <w:szCs w:val="20"/>
                <w:color w:val="auto"/>
              </w:rPr>
            </w:pPr>
            <w:r>
              <w:rPr>
                <w:rFonts w:ascii="Arial" w:cs="Arial" w:eastAsia="Arial" w:hAnsi="Arial"/>
                <w:sz w:val="13"/>
                <w:szCs w:val="13"/>
                <w:b w:val="1"/>
                <w:bCs w:val="1"/>
                <w:color w:val="E8E8E8"/>
                <w:w w:val="94"/>
              </w:rPr>
              <w:t>($)(2)</w:t>
            </w:r>
          </w:p>
        </w:tc>
        <w:tc>
          <w:tcPr>
            <w:tcW w:w="0" w:type="dxa"/>
            <w:vAlign w:val="bottom"/>
          </w:tcPr>
          <w:p>
            <w:pPr>
              <w:spacing w:after="0"/>
              <w:rPr>
                <w:sz w:val="1"/>
                <w:szCs w:val="1"/>
                <w:color w:val="auto"/>
              </w:rPr>
            </w:pPr>
          </w:p>
        </w:tc>
      </w:tr>
      <w:tr>
        <w:trPr>
          <w:trHeight w:val="121"/>
        </w:trPr>
        <w:tc>
          <w:tcPr>
            <w:tcW w:w="9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Shuki Nir</w:t>
            </w:r>
          </w:p>
        </w:tc>
        <w:tc>
          <w:tcPr>
            <w:tcW w:w="1100" w:type="dxa"/>
            <w:vAlign w:val="bottom"/>
            <w:tcBorders>
              <w:top w:val="single" w:sz="8" w:color="auto"/>
            </w:tcBorders>
            <w:shd w:val="clear" w:color="auto" w:fill="F2F2F2"/>
          </w:tcPr>
          <w:p>
            <w:pPr>
              <w:spacing w:after="0"/>
              <w:rPr>
                <w:sz w:val="10"/>
                <w:szCs w:val="10"/>
                <w:color w:val="auto"/>
              </w:rPr>
            </w:pPr>
          </w:p>
        </w:tc>
        <w:tc>
          <w:tcPr>
            <w:tcW w:w="880" w:type="dxa"/>
            <w:vAlign w:val="bottom"/>
            <w:tcBorders>
              <w:top w:val="single" w:sz="8" w:color="001446"/>
            </w:tcBorders>
            <w:shd w:val="clear" w:color="auto" w:fill="F2F2F2"/>
          </w:tcPr>
          <w:p>
            <w:pPr>
              <w:jc w:val="center"/>
              <w:spacing w:after="0" w:line="121" w:lineRule="exact"/>
              <w:rPr>
                <w:sz w:val="20"/>
                <w:szCs w:val="20"/>
                <w:color w:val="auto"/>
              </w:rPr>
            </w:pPr>
            <w:r>
              <w:rPr>
                <w:rFonts w:ascii="Arial" w:cs="Arial" w:eastAsia="Arial" w:hAnsi="Arial"/>
                <w:sz w:val="13"/>
                <w:szCs w:val="13"/>
                <w:color w:val="auto"/>
                <w:w w:val="99"/>
              </w:rPr>
              <w:t>$378,768</w:t>
            </w:r>
          </w:p>
        </w:tc>
        <w:tc>
          <w:tcPr>
            <w:tcW w:w="840" w:type="dxa"/>
            <w:vAlign w:val="bottom"/>
            <w:tcBorders>
              <w:top w:val="single" w:sz="8" w:color="001446"/>
            </w:tcBorders>
            <w:shd w:val="clear" w:color="auto" w:fill="F2F2F2"/>
          </w:tcPr>
          <w:p>
            <w:pPr>
              <w:jc w:val="center"/>
              <w:spacing w:after="0" w:line="121" w:lineRule="exact"/>
              <w:rPr>
                <w:sz w:val="20"/>
                <w:szCs w:val="20"/>
                <w:color w:val="auto"/>
              </w:rPr>
            </w:pPr>
            <w:r>
              <w:rPr>
                <w:rFonts w:ascii="Arial" w:cs="Arial" w:eastAsia="Arial" w:hAnsi="Arial"/>
                <w:sz w:val="13"/>
                <w:szCs w:val="13"/>
                <w:color w:val="auto"/>
                <w:w w:val="99"/>
              </w:rPr>
              <w:t>$757,536</w:t>
            </w:r>
          </w:p>
        </w:tc>
        <w:tc>
          <w:tcPr>
            <w:tcW w:w="1040" w:type="dxa"/>
            <w:vAlign w:val="bottom"/>
            <w:tcBorders>
              <w:top w:val="single" w:sz="8" w:color="001446"/>
            </w:tcBorders>
            <w:shd w:val="clear" w:color="auto" w:fill="F2F2F2"/>
          </w:tcPr>
          <w:p>
            <w:pPr>
              <w:jc w:val="center"/>
              <w:spacing w:after="0" w:line="121" w:lineRule="exact"/>
              <w:rPr>
                <w:sz w:val="20"/>
                <w:szCs w:val="20"/>
                <w:color w:val="auto"/>
              </w:rPr>
            </w:pPr>
            <w:r>
              <w:rPr>
                <w:rFonts w:ascii="Arial" w:cs="Arial" w:eastAsia="Arial" w:hAnsi="Arial"/>
                <w:sz w:val="13"/>
                <w:szCs w:val="13"/>
                <w:color w:val="auto"/>
                <w:w w:val="98"/>
              </w:rPr>
              <w:t>$1,136,304</w:t>
            </w:r>
          </w:p>
        </w:tc>
        <w:tc>
          <w:tcPr>
            <w:tcW w:w="860" w:type="dxa"/>
            <w:vAlign w:val="bottom"/>
            <w:tcBorders>
              <w:top w:val="single" w:sz="8" w:color="001446"/>
            </w:tcBorders>
            <w:shd w:val="clear" w:color="auto" w:fill="F2F2F2"/>
          </w:tcPr>
          <w:p>
            <w:pPr>
              <w:spacing w:after="0"/>
              <w:rPr>
                <w:sz w:val="10"/>
                <w:szCs w:val="10"/>
                <w:color w:val="auto"/>
              </w:rPr>
            </w:pPr>
          </w:p>
        </w:tc>
        <w:tc>
          <w:tcPr>
            <w:tcW w:w="860" w:type="dxa"/>
            <w:vAlign w:val="bottom"/>
            <w:tcBorders>
              <w:top w:val="single" w:sz="8" w:color="001446"/>
            </w:tcBorders>
            <w:shd w:val="clear" w:color="auto" w:fill="F2F2F2"/>
          </w:tcPr>
          <w:p>
            <w:pPr>
              <w:spacing w:after="0"/>
              <w:rPr>
                <w:sz w:val="10"/>
                <w:szCs w:val="10"/>
                <w:color w:val="auto"/>
              </w:rPr>
            </w:pPr>
          </w:p>
        </w:tc>
        <w:tc>
          <w:tcPr>
            <w:tcW w:w="980" w:type="dxa"/>
            <w:vAlign w:val="bottom"/>
            <w:tcBorders>
              <w:top w:val="single" w:sz="8" w:color="001446"/>
            </w:tcBorders>
            <w:shd w:val="clear" w:color="auto" w:fill="F2F2F2"/>
          </w:tcPr>
          <w:p>
            <w:pPr>
              <w:spacing w:after="0"/>
              <w:rPr>
                <w:sz w:val="10"/>
                <w:szCs w:val="10"/>
                <w:color w:val="auto"/>
              </w:rPr>
            </w:pPr>
          </w:p>
        </w:tc>
        <w:tc>
          <w:tcPr>
            <w:tcW w:w="1700" w:type="dxa"/>
            <w:vAlign w:val="bottom"/>
            <w:tcBorders>
              <w:top w:val="single" w:sz="8" w:color="001446"/>
            </w:tcBorders>
            <w:shd w:val="clear" w:color="auto" w:fill="F2F2F2"/>
          </w:tcPr>
          <w:p>
            <w:pPr>
              <w:spacing w:after="0"/>
              <w:rPr>
                <w:sz w:val="10"/>
                <w:szCs w:val="10"/>
                <w:color w:val="auto"/>
              </w:rPr>
            </w:pPr>
          </w:p>
        </w:tc>
        <w:tc>
          <w:tcPr>
            <w:tcW w:w="1080" w:type="dxa"/>
            <w:vAlign w:val="bottom"/>
            <w:tcBorders>
              <w:top w:val="single" w:sz="8" w:color="001446"/>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0" w:type="dxa"/>
            <w:vAlign w:val="bottom"/>
            <w:gridSpan w:val="2"/>
            <w:vMerge w:val="continue"/>
          </w:tcPr>
          <w:p>
            <w:pPr>
              <w:spacing w:after="0"/>
              <w:rPr>
                <w:sz w:val="12"/>
                <w:szCs w:val="12"/>
                <w:color w:val="auto"/>
              </w:rPr>
            </w:pPr>
          </w:p>
        </w:tc>
        <w:tc>
          <w:tcPr>
            <w:tcW w:w="1100" w:type="dxa"/>
            <w:vAlign w:val="bottom"/>
          </w:tcPr>
          <w:p>
            <w:pPr>
              <w:ind w:left="220"/>
              <w:spacing w:after="0" w:line="144" w:lineRule="exact"/>
              <w:rPr>
                <w:sz w:val="20"/>
                <w:szCs w:val="20"/>
                <w:color w:val="auto"/>
              </w:rPr>
            </w:pPr>
            <w:r>
              <w:rPr>
                <w:rFonts w:ascii="Arial" w:cs="Arial" w:eastAsia="Arial" w:hAnsi="Arial"/>
                <w:sz w:val="13"/>
                <w:szCs w:val="13"/>
                <w:color w:val="auto"/>
              </w:rPr>
              <w:t>01-02-2025</w:t>
            </w: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Arial" w:cs="Arial" w:eastAsia="Arial" w:hAnsi="Arial"/>
                <w:sz w:val="13"/>
                <w:szCs w:val="13"/>
                <w:color w:val="auto"/>
                <w:w w:val="99"/>
              </w:rPr>
              <w:t>141,891 (3)</w:t>
            </w:r>
          </w:p>
        </w:tc>
        <w:tc>
          <w:tcPr>
            <w:tcW w:w="1080" w:type="dxa"/>
            <w:vAlign w:val="bottom"/>
          </w:tcPr>
          <w:p>
            <w:pPr>
              <w:jc w:val="center"/>
              <w:ind w:left="96"/>
              <w:spacing w:after="0" w:line="144" w:lineRule="exact"/>
              <w:rPr>
                <w:sz w:val="20"/>
                <w:szCs w:val="20"/>
                <w:color w:val="auto"/>
              </w:rPr>
            </w:pPr>
            <w:r>
              <w:rPr>
                <w:rFonts w:ascii="Arial" w:cs="Arial" w:eastAsia="Arial" w:hAnsi="Arial"/>
                <w:sz w:val="13"/>
                <w:szCs w:val="13"/>
                <w:color w:val="auto"/>
                <w:w w:val="98"/>
              </w:rPr>
              <w:t>$2,099,987</w:t>
            </w:r>
          </w:p>
        </w:tc>
        <w:tc>
          <w:tcPr>
            <w:tcW w:w="0" w:type="dxa"/>
            <w:vAlign w:val="bottom"/>
          </w:tcPr>
          <w:p>
            <w:pPr>
              <w:spacing w:after="0"/>
              <w:rPr>
                <w:sz w:val="1"/>
                <w:szCs w:val="1"/>
                <w:color w:val="auto"/>
              </w:rPr>
            </w:pPr>
          </w:p>
        </w:tc>
      </w:tr>
      <w:tr>
        <w:trPr>
          <w:trHeight w:val="160"/>
        </w:trPr>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F2F2F2"/>
          </w:tcPr>
          <w:p>
            <w:pPr>
              <w:ind w:left="220"/>
              <w:spacing w:after="0"/>
              <w:rPr>
                <w:sz w:val="20"/>
                <w:szCs w:val="20"/>
                <w:color w:val="auto"/>
              </w:rPr>
            </w:pPr>
            <w:r>
              <w:rPr>
                <w:rFonts w:ascii="Arial" w:cs="Arial" w:eastAsia="Arial" w:hAnsi="Arial"/>
                <w:sz w:val="13"/>
                <w:szCs w:val="13"/>
                <w:color w:val="auto"/>
              </w:rPr>
              <w:t>01-02-2025</w:t>
            </w:r>
          </w:p>
        </w:tc>
        <w:tc>
          <w:tcPr>
            <w:tcW w:w="880" w:type="dxa"/>
            <w:vAlign w:val="bottom"/>
            <w:tcBorders>
              <w:bottom w:val="single" w:sz="8" w:color="auto"/>
            </w:tcBorders>
            <w:shd w:val="clear" w:color="auto" w:fill="F2F2F2"/>
          </w:tcPr>
          <w:p>
            <w:pPr>
              <w:spacing w:after="0"/>
              <w:rPr>
                <w:sz w:val="13"/>
                <w:szCs w:val="13"/>
                <w:color w:val="auto"/>
              </w:rPr>
            </w:pPr>
          </w:p>
        </w:tc>
        <w:tc>
          <w:tcPr>
            <w:tcW w:w="840" w:type="dxa"/>
            <w:vAlign w:val="bottom"/>
            <w:tcBorders>
              <w:bottom w:val="single" w:sz="8" w:color="auto"/>
            </w:tcBorders>
            <w:shd w:val="clear" w:color="auto" w:fill="F2F2F2"/>
          </w:tcPr>
          <w:p>
            <w:pPr>
              <w:spacing w:after="0"/>
              <w:rPr>
                <w:sz w:val="13"/>
                <w:szCs w:val="13"/>
                <w:color w:val="auto"/>
              </w:rPr>
            </w:pPr>
          </w:p>
        </w:tc>
        <w:tc>
          <w:tcPr>
            <w:tcW w:w="1040" w:type="dxa"/>
            <w:vAlign w:val="bottom"/>
            <w:tcBorders>
              <w:bottom w:val="single" w:sz="8" w:color="auto"/>
            </w:tcBorders>
            <w:shd w:val="clear" w:color="auto" w:fill="F2F2F2"/>
          </w:tcPr>
          <w:p>
            <w:pPr>
              <w:spacing w:after="0"/>
              <w:rPr>
                <w:sz w:val="13"/>
                <w:szCs w:val="13"/>
                <w:color w:val="auto"/>
              </w:rPr>
            </w:pPr>
          </w:p>
        </w:tc>
        <w:tc>
          <w:tcPr>
            <w:tcW w:w="86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rPr>
              <w:t>70,945</w:t>
            </w:r>
          </w:p>
        </w:tc>
        <w:tc>
          <w:tcPr>
            <w:tcW w:w="86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7"/>
              </w:rPr>
              <w:t>141,890</w:t>
            </w:r>
          </w:p>
        </w:tc>
        <w:tc>
          <w:tcPr>
            <w:tcW w:w="980" w:type="dxa"/>
            <w:vAlign w:val="bottom"/>
            <w:tcBorders>
              <w:bottom w:val="single" w:sz="8" w:color="auto"/>
            </w:tcBorders>
            <w:shd w:val="clear" w:color="auto" w:fill="F2F2F2"/>
          </w:tcPr>
          <w:p>
            <w:pPr>
              <w:jc w:val="center"/>
              <w:ind w:right="96"/>
              <w:spacing w:after="0"/>
              <w:rPr>
                <w:sz w:val="20"/>
                <w:szCs w:val="20"/>
                <w:color w:val="auto"/>
              </w:rPr>
            </w:pPr>
            <w:r>
              <w:rPr>
                <w:rFonts w:ascii="Arial" w:cs="Arial" w:eastAsia="Arial" w:hAnsi="Arial"/>
                <w:sz w:val="13"/>
                <w:szCs w:val="13"/>
                <w:color w:val="auto"/>
                <w:w w:val="97"/>
              </w:rPr>
              <w:t>212,835</w:t>
            </w:r>
          </w:p>
        </w:tc>
        <w:tc>
          <w:tcPr>
            <w:tcW w:w="1700" w:type="dxa"/>
            <w:vAlign w:val="bottom"/>
            <w:tcBorders>
              <w:bottom w:val="single" w:sz="8" w:color="auto"/>
            </w:tcBorders>
            <w:shd w:val="clear" w:color="auto" w:fill="F2F2F2"/>
          </w:tcPr>
          <w:p>
            <w:pPr>
              <w:spacing w:after="0"/>
              <w:rPr>
                <w:sz w:val="13"/>
                <w:szCs w:val="13"/>
                <w:color w:val="auto"/>
              </w:rPr>
            </w:pPr>
          </w:p>
        </w:tc>
        <w:tc>
          <w:tcPr>
            <w:tcW w:w="1080" w:type="dxa"/>
            <w:vAlign w:val="bottom"/>
            <w:tcBorders>
              <w:bottom w:val="single" w:sz="8" w:color="auto"/>
            </w:tcBorders>
            <w:shd w:val="clear" w:color="auto" w:fill="F2F2F2"/>
          </w:tcPr>
          <w:p>
            <w:pPr>
              <w:jc w:val="center"/>
              <w:ind w:left="96"/>
              <w:spacing w:after="0"/>
              <w:rPr>
                <w:sz w:val="20"/>
                <w:szCs w:val="20"/>
                <w:color w:val="auto"/>
              </w:rPr>
            </w:pPr>
            <w:r>
              <w:rPr>
                <w:rFonts w:ascii="Arial" w:cs="Arial" w:eastAsia="Arial" w:hAnsi="Arial"/>
                <w:sz w:val="13"/>
                <w:szCs w:val="13"/>
                <w:color w:val="001446"/>
                <w:w w:val="98"/>
              </w:rPr>
              <w:t>$1,360,848</w:t>
            </w:r>
          </w:p>
        </w:tc>
        <w:tc>
          <w:tcPr>
            <w:tcW w:w="0" w:type="dxa"/>
            <w:vAlign w:val="bottom"/>
          </w:tcPr>
          <w:p>
            <w:pPr>
              <w:spacing w:after="0"/>
              <w:rPr>
                <w:sz w:val="1"/>
                <w:szCs w:val="1"/>
                <w:color w:val="auto"/>
              </w:rPr>
            </w:pPr>
          </w:p>
        </w:tc>
      </w:tr>
      <w:tr>
        <w:trPr>
          <w:trHeight w:val="140"/>
        </w:trPr>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Asaf</w:t>
            </w:r>
          </w:p>
        </w:tc>
        <w:tc>
          <w:tcPr>
            <w:tcW w:w="110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color w:val="auto"/>
                <w:w w:val="99"/>
              </w:rPr>
              <w:t>$191,621</w:t>
            </w:r>
          </w:p>
        </w:tc>
        <w:tc>
          <w:tcPr>
            <w:tcW w:w="840" w:type="dxa"/>
            <w:vAlign w:val="bottom"/>
          </w:tcPr>
          <w:p>
            <w:pPr>
              <w:jc w:val="center"/>
              <w:spacing w:after="0" w:line="140" w:lineRule="exact"/>
              <w:rPr>
                <w:sz w:val="20"/>
                <w:szCs w:val="20"/>
                <w:color w:val="auto"/>
              </w:rPr>
            </w:pPr>
            <w:r>
              <w:rPr>
                <w:rFonts w:ascii="Arial" w:cs="Arial" w:eastAsia="Arial" w:hAnsi="Arial"/>
                <w:sz w:val="13"/>
                <w:szCs w:val="13"/>
                <w:color w:val="auto"/>
                <w:w w:val="99"/>
              </w:rPr>
              <w:t>$383,242</w:t>
            </w:r>
          </w:p>
        </w:tc>
        <w:tc>
          <w:tcPr>
            <w:tcW w:w="1040" w:type="dxa"/>
            <w:vAlign w:val="bottom"/>
          </w:tcPr>
          <w:p>
            <w:pPr>
              <w:jc w:val="center"/>
              <w:spacing w:after="0" w:line="140" w:lineRule="exact"/>
              <w:rPr>
                <w:sz w:val="20"/>
                <w:szCs w:val="20"/>
                <w:color w:val="auto"/>
              </w:rPr>
            </w:pPr>
            <w:r>
              <w:rPr>
                <w:rFonts w:ascii="Arial" w:cs="Arial" w:eastAsia="Arial" w:hAnsi="Arial"/>
                <w:sz w:val="13"/>
                <w:szCs w:val="13"/>
                <w:color w:val="auto"/>
                <w:w w:val="95"/>
              </w:rPr>
              <w:t>$574,863</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940" w:type="dxa"/>
            <w:vAlign w:val="bottom"/>
            <w:gridSpan w:val="2"/>
            <w:vMerge w:val="continue"/>
          </w:tcPr>
          <w:p>
            <w:pPr>
              <w:spacing w:after="0"/>
              <w:rPr>
                <w:sz w:val="5"/>
                <w:szCs w:val="5"/>
                <w:color w:val="auto"/>
              </w:rPr>
            </w:pPr>
          </w:p>
        </w:tc>
        <w:tc>
          <w:tcPr>
            <w:tcW w:w="1100" w:type="dxa"/>
            <w:vAlign w:val="bottom"/>
            <w:vMerge w:val="restart"/>
            <w:shd w:val="clear" w:color="auto" w:fill="F2F2F2"/>
          </w:tcPr>
          <w:p>
            <w:pPr>
              <w:ind w:left="220"/>
              <w:spacing w:after="0" w:line="144" w:lineRule="exact"/>
              <w:rPr>
                <w:sz w:val="20"/>
                <w:szCs w:val="20"/>
                <w:color w:val="auto"/>
              </w:rPr>
            </w:pPr>
            <w:r>
              <w:rPr>
                <w:rFonts w:ascii="Arial" w:cs="Arial" w:eastAsia="Arial" w:hAnsi="Arial"/>
                <w:sz w:val="13"/>
                <w:szCs w:val="13"/>
                <w:color w:val="auto"/>
              </w:rPr>
              <w:t>03-24-2025</w:t>
            </w:r>
          </w:p>
        </w:tc>
        <w:tc>
          <w:tcPr>
            <w:tcW w:w="8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04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1700" w:type="dxa"/>
            <w:vAlign w:val="bottom"/>
            <w:vMerge w:val="restart"/>
            <w:shd w:val="clear" w:color="auto" w:fill="F2F2F2"/>
          </w:tcPr>
          <w:p>
            <w:pPr>
              <w:jc w:val="center"/>
              <w:spacing w:after="0" w:line="144" w:lineRule="exact"/>
              <w:rPr>
                <w:sz w:val="20"/>
                <w:szCs w:val="20"/>
                <w:color w:val="auto"/>
              </w:rPr>
            </w:pPr>
            <w:r>
              <w:rPr>
                <w:rFonts w:ascii="Arial" w:cs="Arial" w:eastAsia="Arial" w:hAnsi="Arial"/>
                <w:sz w:val="13"/>
                <w:szCs w:val="13"/>
                <w:color w:val="auto"/>
                <w:w w:val="97"/>
              </w:rPr>
              <w:t>37,360 (4)</w:t>
            </w:r>
          </w:p>
        </w:tc>
        <w:tc>
          <w:tcPr>
            <w:tcW w:w="1080" w:type="dxa"/>
            <w:vAlign w:val="bottom"/>
            <w:vMerge w:val="restart"/>
            <w:shd w:val="clear" w:color="auto" w:fill="F2F2F2"/>
          </w:tcPr>
          <w:p>
            <w:pPr>
              <w:jc w:val="center"/>
              <w:ind w:left="76"/>
              <w:spacing w:after="0" w:line="144" w:lineRule="exact"/>
              <w:rPr>
                <w:sz w:val="20"/>
                <w:szCs w:val="20"/>
                <w:color w:val="auto"/>
              </w:rPr>
            </w:pPr>
            <w:r>
              <w:rPr>
                <w:rFonts w:ascii="Arial" w:cs="Arial" w:eastAsia="Arial" w:hAnsi="Arial"/>
                <w:sz w:val="13"/>
                <w:szCs w:val="13"/>
                <w:color w:val="auto"/>
                <w:w w:val="99"/>
              </w:rPr>
              <w:t>$642,592</w:t>
            </w:r>
          </w:p>
        </w:tc>
        <w:tc>
          <w:tcPr>
            <w:tcW w:w="0" w:type="dxa"/>
            <w:vAlign w:val="bottom"/>
          </w:tcPr>
          <w:p>
            <w:pPr>
              <w:spacing w:after="0"/>
              <w:rPr>
                <w:sz w:val="1"/>
                <w:szCs w:val="1"/>
                <w:color w:val="auto"/>
              </w:rPr>
            </w:pPr>
          </w:p>
        </w:tc>
      </w:tr>
      <w:tr>
        <w:trPr>
          <w:trHeight w:val="82"/>
        </w:trPr>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Alperovitz</w:t>
            </w:r>
          </w:p>
        </w:tc>
        <w:tc>
          <w:tcPr>
            <w:tcW w:w="1100" w:type="dxa"/>
            <w:vAlign w:val="bottom"/>
            <w:vMerge w:val="continue"/>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1700" w:type="dxa"/>
            <w:vAlign w:val="bottom"/>
            <w:vMerge w:val="continue"/>
            <w:shd w:val="clear" w:color="auto" w:fill="F2F2F2"/>
          </w:tcPr>
          <w:p>
            <w:pPr>
              <w:spacing w:after="0"/>
              <w:rPr>
                <w:sz w:val="7"/>
                <w:szCs w:val="7"/>
                <w:color w:val="auto"/>
              </w:rPr>
            </w:pPr>
          </w:p>
        </w:tc>
        <w:tc>
          <w:tcPr>
            <w:tcW w:w="108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940" w:type="dxa"/>
            <w:vAlign w:val="bottom"/>
            <w:gridSpan w:val="2"/>
            <w:vMerge w:val="continue"/>
          </w:tcPr>
          <w:p>
            <w:pPr>
              <w:spacing w:after="0"/>
              <w:rPr>
                <w:sz w:val="8"/>
                <w:szCs w:val="8"/>
                <w:color w:val="auto"/>
              </w:rPr>
            </w:pPr>
          </w:p>
        </w:tc>
        <w:tc>
          <w:tcPr>
            <w:tcW w:w="1100" w:type="dxa"/>
            <w:vAlign w:val="bottom"/>
            <w:vMerge w:val="restart"/>
          </w:tcPr>
          <w:p>
            <w:pPr>
              <w:ind w:left="220"/>
              <w:spacing w:after="0"/>
              <w:rPr>
                <w:sz w:val="20"/>
                <w:szCs w:val="20"/>
                <w:color w:val="auto"/>
              </w:rPr>
            </w:pPr>
            <w:r>
              <w:rPr>
                <w:rFonts w:ascii="Arial" w:cs="Arial" w:eastAsia="Arial" w:hAnsi="Arial"/>
                <w:sz w:val="13"/>
                <w:szCs w:val="13"/>
                <w:color w:val="auto"/>
              </w:rPr>
              <w:t>03-24-2025</w:t>
            </w: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18,680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7"/>
              </w:rPr>
              <w:t>37,360 (4)</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auto"/>
              </w:rPr>
              <w:t>56,040</w:t>
            </w:r>
          </w:p>
        </w:tc>
        <w:tc>
          <w:tcPr>
            <w:tcW w:w="1700" w:type="dxa"/>
            <w:vAlign w:val="bottom"/>
          </w:tcPr>
          <w:p>
            <w:pPr>
              <w:spacing w:after="0"/>
              <w:rPr>
                <w:sz w:val="8"/>
                <w:szCs w:val="8"/>
                <w:color w:val="auto"/>
              </w:rPr>
            </w:pPr>
          </w:p>
        </w:tc>
        <w:tc>
          <w:tcPr>
            <w:tcW w:w="1080" w:type="dxa"/>
            <w:vAlign w:val="bottom"/>
            <w:vMerge w:val="restart"/>
          </w:tcPr>
          <w:p>
            <w:pPr>
              <w:jc w:val="center"/>
              <w:ind w:left="76"/>
              <w:spacing w:after="0"/>
              <w:rPr>
                <w:sz w:val="20"/>
                <w:szCs w:val="20"/>
                <w:color w:val="auto"/>
              </w:rPr>
            </w:pPr>
            <w:r>
              <w:rPr>
                <w:rFonts w:ascii="Arial" w:cs="Arial" w:eastAsia="Arial" w:hAnsi="Arial"/>
                <w:sz w:val="13"/>
                <w:szCs w:val="13"/>
                <w:color w:val="001446"/>
                <w:w w:val="99"/>
              </w:rPr>
              <w:t>$358,315</w:t>
            </w:r>
          </w:p>
        </w:tc>
        <w:tc>
          <w:tcPr>
            <w:tcW w:w="0" w:type="dxa"/>
            <w:vAlign w:val="bottom"/>
          </w:tcPr>
          <w:p>
            <w:pPr>
              <w:spacing w:after="0"/>
              <w:rPr>
                <w:sz w:val="1"/>
                <w:szCs w:val="1"/>
                <w:color w:val="auto"/>
              </w:rPr>
            </w:pPr>
          </w:p>
        </w:tc>
      </w:tr>
      <w:tr>
        <w:trPr>
          <w:trHeight w:val="60"/>
        </w:trPr>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Ariel Porat</w:t>
            </w:r>
          </w:p>
        </w:tc>
        <w:tc>
          <w:tcPr>
            <w:tcW w:w="1100" w:type="dxa"/>
            <w:vAlign w:val="bottom"/>
            <w:shd w:val="clear" w:color="auto" w:fill="F2F2F2"/>
          </w:tcPr>
          <w:p>
            <w:pPr>
              <w:spacing w:after="0"/>
              <w:rPr>
                <w:sz w:val="12"/>
                <w:szCs w:val="12"/>
                <w:color w:val="auto"/>
              </w:rPr>
            </w:pPr>
          </w:p>
        </w:tc>
        <w:tc>
          <w:tcPr>
            <w:tcW w:w="880" w:type="dxa"/>
            <w:vAlign w:val="bottom"/>
            <w:shd w:val="clear" w:color="auto" w:fill="F2F2F2"/>
          </w:tcPr>
          <w:p>
            <w:pPr>
              <w:jc w:val="center"/>
              <w:spacing w:after="0" w:line="140" w:lineRule="exact"/>
              <w:rPr>
                <w:sz w:val="20"/>
                <w:szCs w:val="20"/>
                <w:color w:val="auto"/>
              </w:rPr>
            </w:pPr>
            <w:r>
              <w:rPr>
                <w:rFonts w:ascii="Arial" w:cs="Arial" w:eastAsia="Arial" w:hAnsi="Arial"/>
                <w:sz w:val="13"/>
                <w:szCs w:val="13"/>
                <w:color w:val="auto"/>
                <w:w w:val="99"/>
              </w:rPr>
              <w:t>$191,621</w:t>
            </w:r>
          </w:p>
        </w:tc>
        <w:tc>
          <w:tcPr>
            <w:tcW w:w="840" w:type="dxa"/>
            <w:vAlign w:val="bottom"/>
            <w:shd w:val="clear" w:color="auto" w:fill="F2F2F2"/>
          </w:tcPr>
          <w:p>
            <w:pPr>
              <w:jc w:val="center"/>
              <w:spacing w:after="0" w:line="140" w:lineRule="exact"/>
              <w:rPr>
                <w:sz w:val="20"/>
                <w:szCs w:val="20"/>
                <w:color w:val="auto"/>
              </w:rPr>
            </w:pPr>
            <w:r>
              <w:rPr>
                <w:rFonts w:ascii="Arial" w:cs="Arial" w:eastAsia="Arial" w:hAnsi="Arial"/>
                <w:sz w:val="13"/>
                <w:szCs w:val="13"/>
                <w:color w:val="auto"/>
                <w:w w:val="99"/>
              </w:rPr>
              <w:t>$383,242</w:t>
            </w:r>
          </w:p>
        </w:tc>
        <w:tc>
          <w:tcPr>
            <w:tcW w:w="1040" w:type="dxa"/>
            <w:vAlign w:val="bottom"/>
            <w:shd w:val="clear" w:color="auto" w:fill="F2F2F2"/>
          </w:tcPr>
          <w:p>
            <w:pPr>
              <w:jc w:val="center"/>
              <w:spacing w:after="0" w:line="140" w:lineRule="exact"/>
              <w:rPr>
                <w:sz w:val="20"/>
                <w:szCs w:val="20"/>
                <w:color w:val="auto"/>
              </w:rPr>
            </w:pPr>
            <w:r>
              <w:rPr>
                <w:rFonts w:ascii="Arial" w:cs="Arial" w:eastAsia="Arial" w:hAnsi="Arial"/>
                <w:sz w:val="13"/>
                <w:szCs w:val="13"/>
                <w:color w:val="auto"/>
                <w:w w:val="95"/>
              </w:rPr>
              <w:t>$574,863</w:t>
            </w:r>
          </w:p>
        </w:tc>
        <w:tc>
          <w:tcPr>
            <w:tcW w:w="860" w:type="dxa"/>
            <w:vAlign w:val="bottom"/>
            <w:shd w:val="clear" w:color="auto" w:fill="F2F2F2"/>
          </w:tcPr>
          <w:p>
            <w:pPr>
              <w:spacing w:after="0"/>
              <w:rPr>
                <w:sz w:val="12"/>
                <w:szCs w:val="12"/>
                <w:color w:val="auto"/>
              </w:rPr>
            </w:pPr>
          </w:p>
        </w:tc>
        <w:tc>
          <w:tcPr>
            <w:tcW w:w="860" w:type="dxa"/>
            <w:vAlign w:val="bottom"/>
            <w:shd w:val="clear" w:color="auto" w:fill="F2F2F2"/>
          </w:tcPr>
          <w:p>
            <w:pPr>
              <w:spacing w:after="0"/>
              <w:rPr>
                <w:sz w:val="12"/>
                <w:szCs w:val="12"/>
                <w:color w:val="auto"/>
              </w:rPr>
            </w:pPr>
          </w:p>
        </w:tc>
        <w:tc>
          <w:tcPr>
            <w:tcW w:w="980" w:type="dxa"/>
            <w:vAlign w:val="bottom"/>
            <w:shd w:val="clear" w:color="auto" w:fill="F2F2F2"/>
          </w:tcPr>
          <w:p>
            <w:pPr>
              <w:spacing w:after="0"/>
              <w:rPr>
                <w:sz w:val="12"/>
                <w:szCs w:val="12"/>
                <w:color w:val="auto"/>
              </w:rPr>
            </w:pPr>
          </w:p>
        </w:tc>
        <w:tc>
          <w:tcPr>
            <w:tcW w:w="1700" w:type="dxa"/>
            <w:vAlign w:val="bottom"/>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gridSpan w:val="2"/>
            <w:vMerge w:val="continue"/>
          </w:tcPr>
          <w:p>
            <w:pPr>
              <w:spacing w:after="0"/>
              <w:rPr>
                <w:sz w:val="12"/>
                <w:szCs w:val="12"/>
                <w:color w:val="auto"/>
              </w:rPr>
            </w:pPr>
          </w:p>
        </w:tc>
        <w:tc>
          <w:tcPr>
            <w:tcW w:w="1100" w:type="dxa"/>
            <w:vAlign w:val="bottom"/>
            <w:tcBorders>
              <w:bottom w:val="single" w:sz="8" w:color="auto"/>
            </w:tcBorders>
          </w:tcPr>
          <w:p>
            <w:pPr>
              <w:ind w:left="220"/>
              <w:spacing w:after="0" w:line="144" w:lineRule="exact"/>
              <w:rPr>
                <w:sz w:val="20"/>
                <w:szCs w:val="20"/>
                <w:color w:val="auto"/>
              </w:rPr>
            </w:pPr>
            <w:r>
              <w:rPr>
                <w:rFonts w:ascii="Arial" w:cs="Arial" w:eastAsia="Arial" w:hAnsi="Arial"/>
                <w:sz w:val="13"/>
                <w:szCs w:val="13"/>
                <w:color w:val="auto"/>
              </w:rPr>
              <w:t>01-02-2025</w:t>
            </w:r>
          </w:p>
        </w:tc>
        <w:tc>
          <w:tcPr>
            <w:tcW w:w="8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w w:val="97"/>
              </w:rPr>
              <w:t>40,540 (3)</w:t>
            </w:r>
          </w:p>
        </w:tc>
        <w:tc>
          <w:tcPr>
            <w:tcW w:w="1080" w:type="dxa"/>
            <w:vAlign w:val="bottom"/>
            <w:tcBorders>
              <w:bottom w:val="single" w:sz="8" w:color="auto"/>
            </w:tcBorders>
          </w:tcPr>
          <w:p>
            <w:pPr>
              <w:jc w:val="center"/>
              <w:ind w:left="76"/>
              <w:spacing w:after="0" w:line="144" w:lineRule="exact"/>
              <w:rPr>
                <w:sz w:val="20"/>
                <w:szCs w:val="20"/>
                <w:color w:val="auto"/>
              </w:rPr>
            </w:pPr>
            <w:r>
              <w:rPr>
                <w:rFonts w:ascii="Arial" w:cs="Arial" w:eastAsia="Arial" w:hAnsi="Arial"/>
                <w:sz w:val="13"/>
                <w:szCs w:val="13"/>
                <w:color w:val="auto"/>
                <w:w w:val="99"/>
              </w:rPr>
              <w:t>$599,992</w:t>
            </w: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01-02-2025</w:t>
            </w: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20,270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40,540</w:t>
            </w: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color w:val="auto"/>
              </w:rPr>
              <w:t>60,810</w:t>
            </w:r>
          </w:p>
        </w:tc>
        <w:tc>
          <w:tcPr>
            <w:tcW w:w="1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left="76"/>
              <w:spacing w:after="0"/>
              <w:rPr>
                <w:sz w:val="20"/>
                <w:szCs w:val="20"/>
                <w:color w:val="auto"/>
              </w:rPr>
            </w:pPr>
            <w:r>
              <w:rPr>
                <w:rFonts w:ascii="Arial" w:cs="Arial" w:eastAsia="Arial" w:hAnsi="Arial"/>
                <w:sz w:val="13"/>
                <w:szCs w:val="13"/>
                <w:color w:val="001446"/>
                <w:w w:val="99"/>
              </w:rPr>
              <w:t>$388,814</w:t>
            </w:r>
          </w:p>
        </w:tc>
        <w:tc>
          <w:tcPr>
            <w:tcW w:w="0" w:type="dxa"/>
            <w:vAlign w:val="bottom"/>
          </w:tcPr>
          <w:p>
            <w:pPr>
              <w:spacing w:after="0"/>
              <w:rPr>
                <w:sz w:val="1"/>
                <w:szCs w:val="1"/>
                <w:color w:val="auto"/>
              </w:rPr>
            </w:pPr>
          </w:p>
        </w:tc>
      </w:tr>
      <w:tr>
        <w:trPr>
          <w:trHeight w:val="140"/>
        </w:trPr>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Uri Bechor</w:t>
            </w:r>
          </w:p>
        </w:tc>
        <w:tc>
          <w:tcPr>
            <w:tcW w:w="1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99"/>
              </w:rPr>
              <w:t>$195,715</w:t>
            </w:r>
          </w:p>
        </w:tc>
        <w:tc>
          <w:tcPr>
            <w:tcW w:w="8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99"/>
              </w:rPr>
              <w:t>$391,429</w:t>
            </w:r>
          </w:p>
        </w:tc>
        <w:tc>
          <w:tcPr>
            <w:tcW w:w="10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95"/>
              </w:rPr>
              <w:t>$587,144</w:t>
            </w: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40" w:type="dxa"/>
            <w:vAlign w:val="bottom"/>
            <w:gridSpan w:val="2"/>
            <w:vMerge w:val="continue"/>
          </w:tcPr>
          <w:p>
            <w:pPr>
              <w:spacing w:after="0"/>
              <w:rPr>
                <w:sz w:val="12"/>
                <w:szCs w:val="12"/>
                <w:color w:val="auto"/>
              </w:rPr>
            </w:pPr>
          </w:p>
        </w:tc>
        <w:tc>
          <w:tcPr>
            <w:tcW w:w="1100" w:type="dxa"/>
            <w:vAlign w:val="bottom"/>
          </w:tcPr>
          <w:p>
            <w:pPr>
              <w:ind w:left="220"/>
              <w:spacing w:after="0" w:line="140" w:lineRule="exact"/>
              <w:rPr>
                <w:sz w:val="20"/>
                <w:szCs w:val="20"/>
                <w:color w:val="auto"/>
              </w:rPr>
            </w:pPr>
            <w:r>
              <w:rPr>
                <w:rFonts w:ascii="Arial" w:cs="Arial" w:eastAsia="Arial" w:hAnsi="Arial"/>
                <w:sz w:val="13"/>
                <w:szCs w:val="13"/>
                <w:color w:val="auto"/>
              </w:rPr>
              <w:t>01-02-2025</w:t>
            </w: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jc w:val="center"/>
              <w:spacing w:after="0" w:line="140" w:lineRule="exact"/>
              <w:rPr>
                <w:sz w:val="20"/>
                <w:szCs w:val="20"/>
                <w:color w:val="auto"/>
              </w:rPr>
            </w:pPr>
            <w:r>
              <w:rPr>
                <w:rFonts w:ascii="Arial" w:cs="Arial" w:eastAsia="Arial" w:hAnsi="Arial"/>
                <w:sz w:val="13"/>
                <w:szCs w:val="13"/>
                <w:color w:val="auto"/>
                <w:w w:val="97"/>
              </w:rPr>
              <w:t>40,540 (3)</w:t>
            </w:r>
          </w:p>
        </w:tc>
        <w:tc>
          <w:tcPr>
            <w:tcW w:w="1080" w:type="dxa"/>
            <w:vAlign w:val="bottom"/>
          </w:tcPr>
          <w:p>
            <w:pPr>
              <w:jc w:val="center"/>
              <w:ind w:left="76"/>
              <w:spacing w:after="0" w:line="140" w:lineRule="exact"/>
              <w:rPr>
                <w:sz w:val="20"/>
                <w:szCs w:val="20"/>
                <w:color w:val="auto"/>
              </w:rPr>
            </w:pPr>
            <w:r>
              <w:rPr>
                <w:rFonts w:ascii="Arial" w:cs="Arial" w:eastAsia="Arial" w:hAnsi="Arial"/>
                <w:sz w:val="13"/>
                <w:szCs w:val="13"/>
                <w:color w:val="auto"/>
                <w:w w:val="99"/>
              </w:rPr>
              <w:t>$599,992</w:t>
            </w: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color w:val="auto"/>
              </w:rPr>
              <w:t>01-02-2025</w:t>
            </w:r>
          </w:p>
        </w:tc>
        <w:tc>
          <w:tcPr>
            <w:tcW w:w="8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20,270</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40,540</w:t>
            </w:r>
          </w:p>
        </w:tc>
        <w:tc>
          <w:tcPr>
            <w:tcW w:w="98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3"/>
                <w:szCs w:val="13"/>
                <w:color w:val="auto"/>
              </w:rPr>
              <w:t>60,810</w:t>
            </w:r>
          </w:p>
        </w:tc>
        <w:tc>
          <w:tcPr>
            <w:tcW w:w="17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center"/>
              <w:ind w:left="76"/>
              <w:spacing w:after="0"/>
              <w:rPr>
                <w:sz w:val="20"/>
                <w:szCs w:val="20"/>
                <w:color w:val="auto"/>
              </w:rPr>
            </w:pPr>
            <w:r>
              <w:rPr>
                <w:rFonts w:ascii="Arial" w:cs="Arial" w:eastAsia="Arial" w:hAnsi="Arial"/>
                <w:sz w:val="13"/>
                <w:szCs w:val="13"/>
                <w:color w:val="001446"/>
                <w:w w:val="99"/>
              </w:rPr>
              <w:t>$388,814</w:t>
            </w:r>
          </w:p>
        </w:tc>
        <w:tc>
          <w:tcPr>
            <w:tcW w:w="0" w:type="dxa"/>
            <w:vAlign w:val="bottom"/>
          </w:tcPr>
          <w:p>
            <w:pPr>
              <w:spacing w:after="0"/>
              <w:rPr>
                <w:sz w:val="1"/>
                <w:szCs w:val="1"/>
                <w:color w:val="auto"/>
              </w:rPr>
            </w:pPr>
          </w:p>
        </w:tc>
      </w:tr>
      <w:tr>
        <w:trPr>
          <w:trHeight w:val="140"/>
        </w:trPr>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Daniel</w:t>
            </w:r>
          </w:p>
        </w:tc>
        <w:tc>
          <w:tcPr>
            <w:tcW w:w="110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color w:val="auto"/>
                <w:w w:val="99"/>
              </w:rPr>
              <w:t>$134,209</w:t>
            </w:r>
          </w:p>
        </w:tc>
        <w:tc>
          <w:tcPr>
            <w:tcW w:w="840" w:type="dxa"/>
            <w:vAlign w:val="bottom"/>
          </w:tcPr>
          <w:p>
            <w:pPr>
              <w:jc w:val="center"/>
              <w:spacing w:after="0" w:line="140" w:lineRule="exact"/>
              <w:rPr>
                <w:sz w:val="20"/>
                <w:szCs w:val="20"/>
                <w:color w:val="auto"/>
              </w:rPr>
            </w:pPr>
            <w:r>
              <w:rPr>
                <w:rFonts w:ascii="Arial" w:cs="Arial" w:eastAsia="Arial" w:hAnsi="Arial"/>
                <w:sz w:val="13"/>
                <w:szCs w:val="13"/>
                <w:color w:val="auto"/>
                <w:w w:val="99"/>
              </w:rPr>
              <w:t>$268,418</w:t>
            </w:r>
          </w:p>
        </w:tc>
        <w:tc>
          <w:tcPr>
            <w:tcW w:w="1040" w:type="dxa"/>
            <w:vAlign w:val="bottom"/>
          </w:tcPr>
          <w:p>
            <w:pPr>
              <w:jc w:val="center"/>
              <w:spacing w:after="0" w:line="140" w:lineRule="exact"/>
              <w:rPr>
                <w:sz w:val="20"/>
                <w:szCs w:val="20"/>
                <w:color w:val="auto"/>
              </w:rPr>
            </w:pPr>
            <w:r>
              <w:rPr>
                <w:rFonts w:ascii="Arial" w:cs="Arial" w:eastAsia="Arial" w:hAnsi="Arial"/>
                <w:sz w:val="13"/>
                <w:szCs w:val="13"/>
                <w:color w:val="auto"/>
                <w:w w:val="95"/>
              </w:rPr>
              <w:t>$402,626</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gridSpan w:val="2"/>
            <w:vMerge w:val="continue"/>
          </w:tcPr>
          <w:p>
            <w:pPr>
              <w:spacing w:after="0"/>
              <w:rPr>
                <w:sz w:val="12"/>
                <w:szCs w:val="12"/>
                <w:color w:val="auto"/>
              </w:rPr>
            </w:pPr>
          </w:p>
        </w:tc>
        <w:tc>
          <w:tcPr>
            <w:tcW w:w="1100" w:type="dxa"/>
            <w:vAlign w:val="bottom"/>
            <w:shd w:val="clear" w:color="auto" w:fill="F2F2F2"/>
          </w:tcPr>
          <w:p>
            <w:pPr>
              <w:ind w:left="220"/>
              <w:spacing w:after="0" w:line="144" w:lineRule="exact"/>
              <w:rPr>
                <w:sz w:val="20"/>
                <w:szCs w:val="20"/>
                <w:color w:val="auto"/>
              </w:rPr>
            </w:pPr>
            <w:r>
              <w:rPr>
                <w:rFonts w:ascii="Arial" w:cs="Arial" w:eastAsia="Arial" w:hAnsi="Arial"/>
                <w:sz w:val="13"/>
                <w:szCs w:val="13"/>
                <w:color w:val="auto"/>
              </w:rPr>
              <w:t>01-02-2025</w:t>
            </w:r>
          </w:p>
        </w:tc>
        <w:tc>
          <w:tcPr>
            <w:tcW w:w="8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860" w:type="dxa"/>
            <w:vAlign w:val="bottom"/>
            <w:shd w:val="clear" w:color="auto" w:fill="F2F2F2"/>
          </w:tcPr>
          <w:p>
            <w:pPr>
              <w:spacing w:after="0"/>
              <w:rPr>
                <w:sz w:val="12"/>
                <w:szCs w:val="12"/>
                <w:color w:val="auto"/>
              </w:rPr>
            </w:pPr>
          </w:p>
        </w:tc>
        <w:tc>
          <w:tcPr>
            <w:tcW w:w="860" w:type="dxa"/>
            <w:vAlign w:val="bottom"/>
            <w:shd w:val="clear" w:color="auto" w:fill="F2F2F2"/>
          </w:tcPr>
          <w:p>
            <w:pPr>
              <w:spacing w:after="0"/>
              <w:rPr>
                <w:sz w:val="12"/>
                <w:szCs w:val="12"/>
                <w:color w:val="auto"/>
              </w:rPr>
            </w:pPr>
          </w:p>
        </w:tc>
        <w:tc>
          <w:tcPr>
            <w:tcW w:w="980" w:type="dxa"/>
            <w:vAlign w:val="bottom"/>
            <w:shd w:val="clear" w:color="auto" w:fill="F2F2F2"/>
          </w:tcPr>
          <w:p>
            <w:pPr>
              <w:spacing w:after="0"/>
              <w:rPr>
                <w:sz w:val="12"/>
                <w:szCs w:val="12"/>
                <w:color w:val="auto"/>
              </w:rPr>
            </w:pPr>
          </w:p>
        </w:tc>
        <w:tc>
          <w:tcPr>
            <w:tcW w:w="1700" w:type="dxa"/>
            <w:vAlign w:val="bottom"/>
            <w:shd w:val="clear" w:color="auto" w:fill="F2F2F2"/>
          </w:tcPr>
          <w:p>
            <w:pPr>
              <w:jc w:val="center"/>
              <w:spacing w:after="0" w:line="144" w:lineRule="exact"/>
              <w:rPr>
                <w:sz w:val="20"/>
                <w:szCs w:val="20"/>
                <w:color w:val="auto"/>
              </w:rPr>
            </w:pPr>
            <w:r>
              <w:rPr>
                <w:rFonts w:ascii="Arial" w:cs="Arial" w:eastAsia="Arial" w:hAnsi="Arial"/>
                <w:sz w:val="13"/>
                <w:szCs w:val="13"/>
                <w:color w:val="auto"/>
                <w:w w:val="97"/>
              </w:rPr>
              <w:t>33,783 (3)</w:t>
            </w:r>
          </w:p>
        </w:tc>
        <w:tc>
          <w:tcPr>
            <w:tcW w:w="1080" w:type="dxa"/>
            <w:vAlign w:val="bottom"/>
            <w:shd w:val="clear" w:color="auto" w:fill="F2F2F2"/>
          </w:tcPr>
          <w:p>
            <w:pPr>
              <w:jc w:val="center"/>
              <w:ind w:left="76"/>
              <w:spacing w:after="0" w:line="144" w:lineRule="exact"/>
              <w:rPr>
                <w:sz w:val="20"/>
                <w:szCs w:val="20"/>
                <w:color w:val="auto"/>
              </w:rPr>
            </w:pPr>
            <w:r>
              <w:rPr>
                <w:rFonts w:ascii="Arial" w:cs="Arial" w:eastAsia="Arial" w:hAnsi="Arial"/>
                <w:sz w:val="13"/>
                <w:szCs w:val="13"/>
                <w:color w:val="auto"/>
                <w:w w:val="99"/>
              </w:rPr>
              <w:t>$499,988</w:t>
            </w:r>
          </w:p>
        </w:tc>
        <w:tc>
          <w:tcPr>
            <w:tcW w:w="0" w:type="dxa"/>
            <w:vAlign w:val="bottom"/>
          </w:tcPr>
          <w:p>
            <w:pPr>
              <w:spacing w:after="0"/>
              <w:rPr>
                <w:sz w:val="1"/>
                <w:szCs w:val="1"/>
                <w:color w:val="auto"/>
              </w:rPr>
            </w:pPr>
          </w:p>
        </w:tc>
      </w:tr>
      <w:tr>
        <w:trPr>
          <w:trHeight w:val="161"/>
        </w:trPr>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Huber</w:t>
            </w:r>
          </w:p>
        </w:tc>
        <w:tc>
          <w:tcPr>
            <w:tcW w:w="1100" w:type="dxa"/>
            <w:vAlign w:val="bottom"/>
          </w:tcPr>
          <w:p>
            <w:pPr>
              <w:ind w:left="220"/>
              <w:spacing w:after="0"/>
              <w:rPr>
                <w:sz w:val="20"/>
                <w:szCs w:val="20"/>
                <w:color w:val="auto"/>
              </w:rPr>
            </w:pPr>
            <w:r>
              <w:rPr>
                <w:rFonts w:ascii="Arial" w:cs="Arial" w:eastAsia="Arial" w:hAnsi="Arial"/>
                <w:sz w:val="13"/>
                <w:szCs w:val="13"/>
                <w:color w:val="auto"/>
              </w:rPr>
              <w:t>01-02-2025</w:t>
            </w: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16,891</w:t>
            </w:r>
          </w:p>
        </w:tc>
        <w:tc>
          <w:tcPr>
            <w:tcW w:w="860" w:type="dxa"/>
            <w:vAlign w:val="bottom"/>
          </w:tcPr>
          <w:p>
            <w:pPr>
              <w:jc w:val="center"/>
              <w:spacing w:after="0"/>
              <w:rPr>
                <w:sz w:val="20"/>
                <w:szCs w:val="20"/>
                <w:color w:val="auto"/>
              </w:rPr>
            </w:pPr>
            <w:r>
              <w:rPr>
                <w:rFonts w:ascii="Arial" w:cs="Arial" w:eastAsia="Arial" w:hAnsi="Arial"/>
                <w:sz w:val="13"/>
                <w:szCs w:val="13"/>
                <w:color w:val="auto"/>
              </w:rPr>
              <w:t>33,782</w:t>
            </w:r>
          </w:p>
        </w:tc>
        <w:tc>
          <w:tcPr>
            <w:tcW w:w="980" w:type="dxa"/>
            <w:vAlign w:val="bottom"/>
          </w:tcPr>
          <w:p>
            <w:pPr>
              <w:jc w:val="center"/>
              <w:ind w:right="76"/>
              <w:spacing w:after="0"/>
              <w:rPr>
                <w:sz w:val="20"/>
                <w:szCs w:val="20"/>
                <w:color w:val="auto"/>
              </w:rPr>
            </w:pPr>
            <w:r>
              <w:rPr>
                <w:rFonts w:ascii="Arial" w:cs="Arial" w:eastAsia="Arial" w:hAnsi="Arial"/>
                <w:sz w:val="13"/>
                <w:szCs w:val="13"/>
                <w:color w:val="auto"/>
              </w:rPr>
              <w:t>50,673</w:t>
            </w:r>
          </w:p>
        </w:tc>
        <w:tc>
          <w:tcPr>
            <w:tcW w:w="1700" w:type="dxa"/>
            <w:vAlign w:val="bottom"/>
          </w:tcPr>
          <w:p>
            <w:pPr>
              <w:spacing w:after="0"/>
              <w:rPr>
                <w:sz w:val="13"/>
                <w:szCs w:val="13"/>
                <w:color w:val="auto"/>
              </w:rPr>
            </w:pPr>
          </w:p>
        </w:tc>
        <w:tc>
          <w:tcPr>
            <w:tcW w:w="1080" w:type="dxa"/>
            <w:vAlign w:val="bottom"/>
          </w:tcPr>
          <w:p>
            <w:pPr>
              <w:jc w:val="center"/>
              <w:ind w:left="76"/>
              <w:spacing w:after="0"/>
              <w:rPr>
                <w:sz w:val="20"/>
                <w:szCs w:val="20"/>
                <w:color w:val="auto"/>
              </w:rPr>
            </w:pPr>
            <w:r>
              <w:rPr>
                <w:rFonts w:ascii="Arial" w:cs="Arial" w:eastAsia="Arial" w:hAnsi="Arial"/>
                <w:sz w:val="13"/>
                <w:szCs w:val="13"/>
                <w:color w:val="001446"/>
                <w:w w:val="99"/>
              </w:rPr>
              <w:t>$323,999</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shd w:val="clear" w:color="auto" w:fill="F0F0F0"/>
          </w:tcPr>
          <w:p>
            <w:pPr>
              <w:ind w:left="220"/>
              <w:spacing w:after="0" w:line="144" w:lineRule="exact"/>
              <w:rPr>
                <w:sz w:val="20"/>
                <w:szCs w:val="20"/>
                <w:color w:val="auto"/>
              </w:rPr>
            </w:pPr>
            <w:r>
              <w:rPr>
                <w:rFonts w:ascii="Arial" w:cs="Arial" w:eastAsia="Arial" w:hAnsi="Arial"/>
                <w:sz w:val="13"/>
                <w:szCs w:val="13"/>
                <w:color w:val="auto"/>
              </w:rPr>
              <w:t>09-15-2025</w:t>
            </w:r>
          </w:p>
        </w:tc>
        <w:tc>
          <w:tcPr>
            <w:tcW w:w="880" w:type="dxa"/>
            <w:vAlign w:val="bottom"/>
            <w:tcBorders>
              <w:bottom w:val="single" w:sz="8" w:color="auto"/>
            </w:tcBorders>
            <w:shd w:val="clear" w:color="auto" w:fill="F0F0F0"/>
          </w:tcPr>
          <w:p>
            <w:pPr>
              <w:spacing w:after="0"/>
              <w:rPr>
                <w:sz w:val="12"/>
                <w:szCs w:val="12"/>
                <w:color w:val="auto"/>
              </w:rPr>
            </w:pPr>
          </w:p>
        </w:tc>
        <w:tc>
          <w:tcPr>
            <w:tcW w:w="840" w:type="dxa"/>
            <w:vAlign w:val="bottom"/>
            <w:tcBorders>
              <w:bottom w:val="single" w:sz="8" w:color="auto"/>
            </w:tcBorders>
            <w:shd w:val="clear" w:color="auto" w:fill="F0F0F0"/>
          </w:tcPr>
          <w:p>
            <w:pPr>
              <w:spacing w:after="0"/>
              <w:rPr>
                <w:sz w:val="12"/>
                <w:szCs w:val="12"/>
                <w:color w:val="auto"/>
              </w:rPr>
            </w:pPr>
          </w:p>
        </w:tc>
        <w:tc>
          <w:tcPr>
            <w:tcW w:w="1040" w:type="dxa"/>
            <w:vAlign w:val="bottom"/>
            <w:tcBorders>
              <w:bottom w:val="single" w:sz="8" w:color="auto"/>
            </w:tcBorders>
            <w:shd w:val="clear" w:color="auto" w:fill="F0F0F0"/>
          </w:tcPr>
          <w:p>
            <w:pPr>
              <w:spacing w:after="0"/>
              <w:rPr>
                <w:sz w:val="12"/>
                <w:szCs w:val="12"/>
                <w:color w:val="auto"/>
              </w:rPr>
            </w:pPr>
          </w:p>
        </w:tc>
        <w:tc>
          <w:tcPr>
            <w:tcW w:w="860" w:type="dxa"/>
            <w:vAlign w:val="bottom"/>
            <w:tcBorders>
              <w:bottom w:val="single" w:sz="8" w:color="auto"/>
            </w:tcBorders>
            <w:shd w:val="clear" w:color="auto" w:fill="F0F0F0"/>
          </w:tcPr>
          <w:p>
            <w:pPr>
              <w:spacing w:after="0"/>
              <w:rPr>
                <w:sz w:val="12"/>
                <w:szCs w:val="12"/>
                <w:color w:val="auto"/>
              </w:rPr>
            </w:pPr>
          </w:p>
        </w:tc>
        <w:tc>
          <w:tcPr>
            <w:tcW w:w="860" w:type="dxa"/>
            <w:vAlign w:val="bottom"/>
            <w:tcBorders>
              <w:bottom w:val="single" w:sz="8" w:color="auto"/>
            </w:tcBorders>
            <w:shd w:val="clear" w:color="auto" w:fill="F0F0F0"/>
          </w:tcPr>
          <w:p>
            <w:pPr>
              <w:spacing w:after="0"/>
              <w:rPr>
                <w:sz w:val="12"/>
                <w:szCs w:val="12"/>
                <w:color w:val="auto"/>
              </w:rPr>
            </w:pPr>
          </w:p>
        </w:tc>
        <w:tc>
          <w:tcPr>
            <w:tcW w:w="980" w:type="dxa"/>
            <w:vAlign w:val="bottom"/>
            <w:tcBorders>
              <w:bottom w:val="single" w:sz="8" w:color="auto"/>
            </w:tcBorders>
            <w:shd w:val="clear" w:color="auto" w:fill="F0F0F0"/>
          </w:tcPr>
          <w:p>
            <w:pPr>
              <w:spacing w:after="0"/>
              <w:rPr>
                <w:sz w:val="12"/>
                <w:szCs w:val="12"/>
                <w:color w:val="auto"/>
              </w:rPr>
            </w:pPr>
          </w:p>
        </w:tc>
        <w:tc>
          <w:tcPr>
            <w:tcW w:w="1700" w:type="dxa"/>
            <w:vAlign w:val="bottom"/>
            <w:tcBorders>
              <w:bottom w:val="single" w:sz="8" w:color="auto"/>
            </w:tcBorders>
            <w:shd w:val="clear" w:color="auto" w:fill="F0F0F0"/>
          </w:tcPr>
          <w:p>
            <w:pPr>
              <w:jc w:val="center"/>
              <w:spacing w:after="0" w:line="144" w:lineRule="exact"/>
              <w:rPr>
                <w:sz w:val="20"/>
                <w:szCs w:val="20"/>
                <w:color w:val="auto"/>
              </w:rPr>
            </w:pPr>
            <w:r>
              <w:rPr>
                <w:rFonts w:ascii="Arial" w:cs="Arial" w:eastAsia="Arial" w:hAnsi="Arial"/>
                <w:sz w:val="13"/>
                <w:szCs w:val="13"/>
                <w:color w:val="auto"/>
                <w:w w:val="97"/>
              </w:rPr>
              <w:t>20,000 (5)</w:t>
            </w:r>
          </w:p>
        </w:tc>
        <w:tc>
          <w:tcPr>
            <w:tcW w:w="1080" w:type="dxa"/>
            <w:vAlign w:val="bottom"/>
            <w:tcBorders>
              <w:bottom w:val="single" w:sz="8" w:color="auto"/>
            </w:tcBorders>
            <w:shd w:val="clear" w:color="auto" w:fill="F0F0F0"/>
          </w:tcPr>
          <w:p>
            <w:pPr>
              <w:jc w:val="center"/>
              <w:ind w:left="96"/>
              <w:spacing w:after="0" w:line="144" w:lineRule="exact"/>
              <w:rPr>
                <w:sz w:val="20"/>
                <w:szCs w:val="20"/>
                <w:color w:val="auto"/>
              </w:rPr>
            </w:pPr>
            <w:r>
              <w:rPr>
                <w:rFonts w:ascii="Arial" w:cs="Arial" w:eastAsia="Arial" w:hAnsi="Arial"/>
                <w:sz w:val="13"/>
                <w:szCs w:val="13"/>
                <w:color w:val="auto"/>
                <w:w w:val="95"/>
              </w:rPr>
              <w:t>$611,800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-2145665</wp:posOffset>
            </wp:positionV>
            <wp:extent cx="5257165" cy="563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5">
                      <a:extLst>
                        <a:ext uri="{28A0092B-C50C-407E-A947-70E740481C1C}"/>
                      </a:extLst>
                    </a:blip>
                    <a:srcRect/>
                    <a:stretch>
                      <a:fillRect/>
                    </a:stretch>
                  </pic:blipFill>
                  <pic:spPr bwMode="auto">
                    <a:xfrm>
                      <a:off x="0" y="0"/>
                      <a:ext cx="5257165" cy="563880"/>
                    </a:xfrm>
                    <a:prstGeom prst="rect">
                      <a:avLst/>
                    </a:prstGeom>
                    <a:noFill/>
                  </pic:spPr>
                </pic:pic>
              </a:graphicData>
            </a:graphic>
          </wp:anchor>
        </w:drawing>
      </w:r>
    </w:p>
    <w:p>
      <w:pPr>
        <w:spacing w:after="0" w:line="148" w:lineRule="exact"/>
        <w:rPr>
          <w:sz w:val="20"/>
          <w:szCs w:val="20"/>
          <w:color w:val="auto"/>
        </w:rPr>
      </w:pPr>
    </w:p>
    <w:p>
      <w:pPr>
        <w:ind w:left="284" w:right="280" w:hanging="284"/>
        <w:spacing w:after="0" w:line="249" w:lineRule="auto"/>
        <w:tabs>
          <w:tab w:leader="none" w:pos="284" w:val="left"/>
        </w:tabs>
        <w:numPr>
          <w:ilvl w:val="0"/>
          <w:numId w:val="116"/>
        </w:numPr>
        <w:rPr>
          <w:rFonts w:ascii="Arial" w:cs="Arial" w:eastAsia="Arial" w:hAnsi="Arial"/>
          <w:sz w:val="13"/>
          <w:szCs w:val="13"/>
          <w:color w:val="001446"/>
        </w:rPr>
      </w:pPr>
      <w:r>
        <w:rPr>
          <w:rFonts w:ascii="Arial" w:cs="Arial" w:eastAsia="Arial" w:hAnsi="Arial"/>
          <w:sz w:val="13"/>
          <w:szCs w:val="13"/>
          <w:color w:val="001446"/>
        </w:rPr>
        <w:t>These amounts reflect the threshold, target and maximum payout levels under the 2025 annual cash incentive program, pursuant to which the NEOs were eligible to earn between 0% and 150% of target based on the Company’s financial and business strategic performance; provided, however, that the Named Executive Officers would not be entitled to any payment unless the Company reaches a minimum of $1 billion in revenues for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6532880" cy="58420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390" o:spid="_x0000_s1415" style="position:absolute;margin-left:0pt;margin-top:8.35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98"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532245"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5pt" to="514.35pt,43.25pt" o:allowincell="f" strokecolor="#000000" strokeweight="1.6199pt"/>
            </w:pict>
          </mc:Fallback>
        </mc:AlternateContent>
      </w:r>
    </w:p>
    <w:p>
      <w:pPr>
        <w:sectPr>
          <w:pgSz w:w="11900" w:h="16840" w:orient="portrait"/>
          <w:cols w:equalWidth="0" w:num="1">
            <w:col w:w="10284"/>
          </w:cols>
          <w:pgMar w:left="816" w:top="1167" w:right="804" w:bottom="1440" w:gutter="0" w:footer="0" w:header="0"/>
        </w:sectPr>
      </w:pPr>
    </w:p>
    <w:bookmarkStart w:id="204" w:name="page205"/>
    <w:bookmarkEnd w:id="204"/>
    <w:p>
      <w:pPr>
        <w:ind w:left="284" w:right="80" w:hanging="284"/>
        <w:spacing w:after="0" w:line="232" w:lineRule="auto"/>
        <w:tabs>
          <w:tab w:leader="none" w:pos="284" w:val="left"/>
        </w:tabs>
        <w:numPr>
          <w:ilvl w:val="0"/>
          <w:numId w:val="117"/>
        </w:numPr>
        <w:rPr>
          <w:rFonts w:ascii="Arial" w:cs="Arial" w:eastAsia="Arial" w:hAnsi="Arial"/>
          <w:sz w:val="13"/>
          <w:szCs w:val="13"/>
          <w:color w:val="001446"/>
        </w:rPr>
      </w:pPr>
      <w:r>
        <w:rPr>
          <w:rFonts w:ascii="Arial" w:cs="Arial" w:eastAsia="Arial" w:hAnsi="Arial"/>
          <w:sz w:val="13"/>
          <w:szCs w:val="13"/>
          <w:color w:val="001446"/>
        </w:rPr>
        <w:t>These amounts reflect the threshold, target, and maximum PSUs granted to the NEOs on January 02, 2025 and March 24, 2025, which will be eligible for vesting upon achievement of a 30-Day Price of $40 or more (with respect to 50% of the target PSUs), $70 (with respect to 50% of the target PSUs) and $100 (with respect to a potential upside of an additional 50% of the target PSUs), in each case, during the three-year performance period ending on December 31, 2027, and based on a minimum employment period of two years.</w:t>
      </w:r>
    </w:p>
    <w:p>
      <w:pPr>
        <w:spacing w:after="0" w:line="1" w:lineRule="exact"/>
        <w:rPr>
          <w:rFonts w:ascii="Arial" w:cs="Arial" w:eastAsia="Arial" w:hAnsi="Arial"/>
          <w:sz w:val="13"/>
          <w:szCs w:val="13"/>
          <w:color w:val="001446"/>
        </w:rPr>
      </w:pPr>
    </w:p>
    <w:p>
      <w:pPr>
        <w:ind w:left="284" w:hanging="284"/>
        <w:spacing w:after="0" w:line="231" w:lineRule="auto"/>
        <w:tabs>
          <w:tab w:leader="none" w:pos="284" w:val="left"/>
        </w:tabs>
        <w:numPr>
          <w:ilvl w:val="0"/>
          <w:numId w:val="117"/>
        </w:numPr>
        <w:rPr>
          <w:rFonts w:ascii="Arial" w:cs="Arial" w:eastAsia="Arial" w:hAnsi="Arial"/>
          <w:sz w:val="13"/>
          <w:szCs w:val="13"/>
          <w:color w:val="001446"/>
        </w:rPr>
      </w:pPr>
      <w:r>
        <w:rPr>
          <w:rFonts w:ascii="Arial" w:cs="Arial" w:eastAsia="Arial" w:hAnsi="Arial"/>
          <w:sz w:val="13"/>
          <w:szCs w:val="13"/>
          <w:color w:val="001446"/>
        </w:rPr>
        <w:t>These RSUs vest in equal quarterly installments through February 28, 2029.</w:t>
      </w:r>
    </w:p>
    <w:p>
      <w:pPr>
        <w:ind w:left="284" w:hanging="284"/>
        <w:spacing w:after="0" w:line="231" w:lineRule="auto"/>
        <w:tabs>
          <w:tab w:leader="none" w:pos="284" w:val="left"/>
        </w:tabs>
        <w:numPr>
          <w:ilvl w:val="0"/>
          <w:numId w:val="117"/>
        </w:numPr>
        <w:rPr>
          <w:rFonts w:ascii="Arial" w:cs="Arial" w:eastAsia="Arial" w:hAnsi="Arial"/>
          <w:sz w:val="13"/>
          <w:szCs w:val="13"/>
          <w:color w:val="001446"/>
        </w:rPr>
      </w:pPr>
      <w:r>
        <w:rPr>
          <w:rFonts w:ascii="Arial" w:cs="Arial" w:eastAsia="Arial" w:hAnsi="Arial"/>
          <w:sz w:val="13"/>
          <w:szCs w:val="13"/>
          <w:color w:val="001446"/>
        </w:rPr>
        <w:t>These RSUs vest as to 25% on May 31, 2026, and quarterly thereafter over the following three years.</w:t>
      </w:r>
    </w:p>
    <w:p>
      <w:pPr>
        <w:ind w:left="284" w:hanging="284"/>
        <w:spacing w:after="0"/>
        <w:tabs>
          <w:tab w:leader="none" w:pos="284" w:val="left"/>
        </w:tabs>
        <w:numPr>
          <w:ilvl w:val="0"/>
          <w:numId w:val="117"/>
        </w:numPr>
        <w:rPr>
          <w:rFonts w:ascii="Arial" w:cs="Arial" w:eastAsia="Arial" w:hAnsi="Arial"/>
          <w:sz w:val="13"/>
          <w:szCs w:val="13"/>
          <w:color w:val="001446"/>
        </w:rPr>
      </w:pPr>
      <w:r>
        <w:rPr>
          <w:rFonts w:ascii="Arial" w:cs="Arial" w:eastAsia="Arial" w:hAnsi="Arial"/>
          <w:sz w:val="13"/>
          <w:szCs w:val="13"/>
          <w:color w:val="001446"/>
        </w:rPr>
        <w:t>These RSUs vest in equal quarterly installments through August 31, 2029.</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22"/>
          <w:szCs w:val="22"/>
          <w:color w:val="001446"/>
        </w:rPr>
        <w:t>Narrative Disclosure to Summary Compensation Table and Grants of Plan-Based Awards Table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2E90D6"/>
        </w:rPr>
        <w:t>Employment Agreements</w:t>
      </w:r>
    </w:p>
    <w:p>
      <w:pPr>
        <w:spacing w:after="0" w:line="170" w:lineRule="exact"/>
        <w:rPr>
          <w:sz w:val="20"/>
          <w:szCs w:val="20"/>
          <w:color w:val="auto"/>
        </w:rPr>
      </w:pPr>
    </w:p>
    <w:p>
      <w:pPr>
        <w:ind w:left="4"/>
        <w:spacing w:after="0" w:line="258" w:lineRule="auto"/>
        <w:rPr>
          <w:sz w:val="20"/>
          <w:szCs w:val="20"/>
          <w:color w:val="auto"/>
        </w:rPr>
      </w:pPr>
      <w:r>
        <w:rPr>
          <w:rFonts w:ascii="Arial" w:cs="Arial" w:eastAsia="Arial" w:hAnsi="Arial"/>
          <w:sz w:val="14"/>
          <w:szCs w:val="14"/>
          <w:color w:val="001446"/>
        </w:rPr>
        <w:t>We or SolarEdge Technologies Ltd., our Israeli subsidiary, are party to the following employment agreements: (1) an employment agreement with Mr. Nir effective as of December 4, 2024, pursuant to which he was appointed to serve as Chief Executive Officer; (2) an employment agreement with Mr. Porat effective as of June 13, 2024 pursuant to which he served as Chief Financial Officer, until March 3, 2025; (3) an employment agreement with Mr. Alperovitz, effective March 3, 2025, pursuant to which he serves as Chief Financial Officer (on March 10, 2026, the Company announced Mr. Alperovitz’s resignation as the Company’s CFO, to be effective as of June 9, 2026); (4) an employment agreement with Mr. Bechor effective as of September 1, 2019, pursuant to which he serves as our Chief Operating Officer; and (5) and employment agreement with Mr. Huber, effective as of January 1, 2025, pursuant to which he serves as our Chief Revenue Officer. The employment agreement of Mr. Porat was amended when he ceased to be an executive officer to take into account his changed role.</w:t>
      </w:r>
    </w:p>
    <w:p>
      <w:pPr>
        <w:spacing w:after="0" w:line="133" w:lineRule="exact"/>
        <w:rPr>
          <w:sz w:val="20"/>
          <w:szCs w:val="20"/>
          <w:color w:val="auto"/>
        </w:rPr>
      </w:pPr>
    </w:p>
    <w:p>
      <w:pPr>
        <w:ind w:left="4"/>
        <w:spacing w:after="0" w:line="258" w:lineRule="auto"/>
        <w:rPr>
          <w:sz w:val="20"/>
          <w:szCs w:val="20"/>
          <w:color w:val="auto"/>
        </w:rPr>
      </w:pPr>
      <w:r>
        <w:rPr>
          <w:rFonts w:ascii="Arial" w:cs="Arial" w:eastAsia="Arial" w:hAnsi="Arial"/>
          <w:sz w:val="14"/>
          <w:szCs w:val="14"/>
          <w:color w:val="001446"/>
        </w:rPr>
        <w:t>Each of these employment agreements provides for employment of the NEO on an “at-will” basis. In all cases, either party may terminate the agreement by providing written notice of termination (30 days for Mr. Huber, 90 days for Mr. Porat and Mr. Alperovitz, and 180 days for Messrs. Nir and Bechor), provided, however, that we may terminate the agreements immediately and without prior notice and make a payment in lieu of advance notice, in accordance with applicable law. In addition, we may also terminate the agreements immediately upon written notice in the event of “cause” (as defined therein) which may include a conviction of a crime of moral turpitude, a material breach of fiduciary duties towards the company or its parent company, engagement in competing activities, a material breach of confidentiality and non-disclosure obligations towards the company or its parent company, or a material breach of the employment agreement or other circumstances under which severance pay may be denied from such employee under the applicable Israeli law.</w:t>
      </w:r>
    </w:p>
    <w:p>
      <w:pPr>
        <w:spacing w:after="0" w:line="133" w:lineRule="exact"/>
        <w:rPr>
          <w:sz w:val="20"/>
          <w:szCs w:val="20"/>
          <w:color w:val="auto"/>
        </w:rPr>
      </w:pPr>
    </w:p>
    <w:p>
      <w:pPr>
        <w:ind w:left="4" w:right="60"/>
        <w:spacing w:after="0" w:line="260" w:lineRule="auto"/>
        <w:rPr>
          <w:sz w:val="20"/>
          <w:szCs w:val="20"/>
          <w:color w:val="auto"/>
        </w:rPr>
      </w:pPr>
      <w:r>
        <w:rPr>
          <w:rFonts w:ascii="Arial" w:cs="Arial" w:eastAsia="Arial" w:hAnsi="Arial"/>
          <w:sz w:val="14"/>
          <w:szCs w:val="14"/>
          <w:color w:val="001446"/>
        </w:rPr>
        <w:t>The agreements provide for a base salary, vacation, sick leave, payments to a pension and severance fund as well as an Israeli recreational fund and recuperation pay in accordance with Israeli law. Pursuant to the agreements, we have affected a manager’s insurance policy for each NEO pursuant to which we make contributions on behalf of each NEO as well as the required statutory deductions from salary and any other amounts payable under the agreements on behalf of each NEO to the relevant authorities in accordance with Israeli law. For all NEOs, we contribute 8.33% of each NEO’s base salary toward the policy for the severance pay component, 6.5% for the savings and risk component, 7.5% for the educational fund component, up to approximately $4,400 per year and up to 2.5% for disability insurance.</w:t>
      </w:r>
    </w:p>
    <w:p>
      <w:pPr>
        <w:spacing w:after="0" w:line="130" w:lineRule="exact"/>
        <w:rPr>
          <w:sz w:val="20"/>
          <w:szCs w:val="20"/>
          <w:color w:val="auto"/>
        </w:rPr>
      </w:pPr>
    </w:p>
    <w:p>
      <w:pPr>
        <w:ind w:left="4" w:right="180"/>
        <w:spacing w:after="0" w:line="266" w:lineRule="auto"/>
        <w:rPr>
          <w:sz w:val="20"/>
          <w:szCs w:val="20"/>
          <w:color w:val="auto"/>
        </w:rPr>
      </w:pPr>
      <w:r>
        <w:rPr>
          <w:rFonts w:ascii="Arial" w:cs="Arial" w:eastAsia="Arial" w:hAnsi="Arial"/>
          <w:sz w:val="14"/>
          <w:szCs w:val="14"/>
          <w:color w:val="001446"/>
        </w:rPr>
        <w:t>In the event that an employee has a manager’s insurance fund the employer shall be required to allocate a portion of its contributions to purchase disability insurance to insure 75% of an employee’s salary which allocation shall not decrease the severance component of the employer’s contributions below 5% or increase total employer contributions above 7.5%. In all cases we deduct 6% of each NEO’s base salary to be paid on behalf of the NEO toward the policy and 2.5% for the educational fund component.</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6"/>
          <w:szCs w:val="16"/>
          <w:color w:val="2E90D6"/>
        </w:rPr>
        <w:t>Separation Agreements</w:t>
      </w:r>
    </w:p>
    <w:p>
      <w:pPr>
        <w:spacing w:after="0" w:line="170" w:lineRule="exact"/>
        <w:rPr>
          <w:sz w:val="20"/>
          <w:szCs w:val="20"/>
          <w:color w:val="auto"/>
        </w:rPr>
      </w:pPr>
    </w:p>
    <w:p>
      <w:pPr>
        <w:ind w:left="4" w:right="40"/>
        <w:spacing w:after="0" w:line="266" w:lineRule="auto"/>
        <w:rPr>
          <w:sz w:val="20"/>
          <w:szCs w:val="20"/>
          <w:color w:val="auto"/>
        </w:rPr>
      </w:pPr>
      <w:r>
        <w:rPr>
          <w:rFonts w:ascii="Arial" w:cs="Arial" w:eastAsia="Arial" w:hAnsi="Arial"/>
          <w:sz w:val="14"/>
          <w:szCs w:val="14"/>
          <w:color w:val="001446"/>
        </w:rPr>
        <w:t>In connection with Mr. Porat’s resignation as Chief Financial Officer on March 3, 2025, we entered into a separation agreement with Mr. Porat, pursuant to which he remained a non-officer employee for a six-month transition period that satisfied the notice period required under his employment agreement during which time he was provided his base salary and continued vesting of his equity awards. Mr. Alperovitz announced his resignation on March 10, 2026 and will remain CFO until June 9, 2026, in accordance with the terms of his employment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89535</wp:posOffset>
                </wp:positionV>
                <wp:extent cx="6532880" cy="58420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392" o:spid="_x0000_s1417" style="position:absolute;margin-left:0pt;margin-top:7.05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538480</wp:posOffset>
                </wp:positionV>
                <wp:extent cx="653224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4pt" to="514.35pt,42.4pt" o:allowincell="f" strokecolor="#000000" strokeweight="1.6199pt"/>
            </w:pict>
          </mc:Fallback>
        </mc:AlternateContent>
      </w:r>
    </w:p>
    <w:p>
      <w:pPr>
        <w:sectPr>
          <w:pgSz w:w="11900" w:h="16840" w:orient="portrait"/>
          <w:cols w:equalWidth="0" w:num="1">
            <w:col w:w="10264"/>
          </w:cols>
          <w:pgMar w:left="816" w:top="1167" w:right="824"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001446"/>
        </w:rPr>
        <w:t>Outstanding Equity Awards at December 31, 2025</w:t>
      </w:r>
    </w:p>
    <w:p>
      <w:pPr>
        <w:spacing w:after="0" w:line="184" w:lineRule="exact"/>
        <w:rPr>
          <w:sz w:val="20"/>
          <w:szCs w:val="20"/>
          <w:color w:val="auto"/>
        </w:rPr>
      </w:pPr>
    </w:p>
    <w:p>
      <w:pPr>
        <w:ind w:right="460"/>
        <w:spacing w:after="0" w:line="299" w:lineRule="auto"/>
        <w:rPr>
          <w:sz w:val="20"/>
          <w:szCs w:val="20"/>
          <w:color w:val="auto"/>
        </w:rPr>
      </w:pPr>
      <w:r>
        <w:rPr>
          <w:rFonts w:ascii="Arial" w:cs="Arial" w:eastAsia="Arial" w:hAnsi="Arial"/>
          <w:sz w:val="14"/>
          <w:szCs w:val="14"/>
          <w:color w:val="001446"/>
        </w:rPr>
        <w:t>The following table provides information regarding outstanding equity awards held by each of our NEOs as of December 31, 2025, including the applicable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65405</wp:posOffset>
            </wp:positionV>
            <wp:extent cx="6567805" cy="4230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6">
                      <a:extLst>
                        <a:ext uri="{28A0092B-C50C-407E-A947-70E740481C1C}"/>
                      </a:extLst>
                    </a:blip>
                    <a:srcRect/>
                    <a:stretch>
                      <a:fillRect/>
                    </a:stretch>
                  </pic:blipFill>
                  <pic:spPr bwMode="auto">
                    <a:xfrm>
                      <a:off x="0" y="0"/>
                      <a:ext cx="6567805" cy="4230370"/>
                    </a:xfrm>
                    <a:prstGeom prst="rect">
                      <a:avLst/>
                    </a:prstGeom>
                    <a:noFill/>
                  </pic:spPr>
                </pic:pic>
              </a:graphicData>
            </a:graphic>
          </wp:anchor>
        </w:drawing>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540" w:type="dxa"/>
            <w:vAlign w:val="bottom"/>
            <w:tcBorders>
              <w:left w:val="single" w:sz="8" w:color="001446"/>
            </w:tcBorders>
            <w:shd w:val="clear" w:color="auto" w:fill="001446"/>
          </w:tcPr>
          <w:p>
            <w:pPr>
              <w:spacing w:after="0"/>
              <w:rPr>
                <w:sz w:val="17"/>
                <w:szCs w:val="17"/>
                <w:color w:val="auto"/>
              </w:rPr>
            </w:pPr>
          </w:p>
        </w:tc>
        <w:tc>
          <w:tcPr>
            <w:tcW w:w="1160" w:type="dxa"/>
            <w:vAlign w:val="bottom"/>
            <w:shd w:val="clear" w:color="auto" w:fill="001446"/>
          </w:tcPr>
          <w:p>
            <w:pPr>
              <w:spacing w:after="0"/>
              <w:rPr>
                <w:sz w:val="17"/>
                <w:szCs w:val="17"/>
                <w:color w:val="auto"/>
              </w:rPr>
            </w:pPr>
          </w:p>
        </w:tc>
        <w:tc>
          <w:tcPr>
            <w:tcW w:w="2620" w:type="dxa"/>
            <w:vAlign w:val="bottom"/>
            <w:gridSpan w:val="2"/>
            <w:shd w:val="clear" w:color="auto" w:fill="001446"/>
          </w:tcPr>
          <w:p>
            <w:pPr>
              <w:ind w:left="740"/>
              <w:spacing w:after="0"/>
              <w:rPr>
                <w:sz w:val="20"/>
                <w:szCs w:val="20"/>
                <w:color w:val="auto"/>
              </w:rPr>
            </w:pPr>
            <w:r>
              <w:rPr>
                <w:rFonts w:ascii="Arial" w:cs="Arial" w:eastAsia="Arial" w:hAnsi="Arial"/>
                <w:sz w:val="13"/>
                <w:szCs w:val="13"/>
                <w:b w:val="1"/>
                <w:bCs w:val="1"/>
                <w:color w:val="FFFFFF"/>
              </w:rPr>
              <w:t>Option Awards</w:t>
            </w:r>
          </w:p>
        </w:tc>
        <w:tc>
          <w:tcPr>
            <w:tcW w:w="860" w:type="dxa"/>
            <w:vAlign w:val="bottom"/>
            <w:shd w:val="clear" w:color="auto" w:fill="001446"/>
          </w:tcPr>
          <w:p>
            <w:pPr>
              <w:spacing w:after="0"/>
              <w:rPr>
                <w:sz w:val="17"/>
                <w:szCs w:val="17"/>
                <w:color w:val="auto"/>
              </w:rPr>
            </w:pPr>
          </w:p>
        </w:tc>
        <w:tc>
          <w:tcPr>
            <w:tcW w:w="1120" w:type="dxa"/>
            <w:vAlign w:val="bottom"/>
            <w:shd w:val="clear" w:color="auto" w:fill="001446"/>
          </w:tcPr>
          <w:p>
            <w:pPr>
              <w:spacing w:after="0"/>
              <w:rPr>
                <w:sz w:val="17"/>
                <w:szCs w:val="17"/>
                <w:color w:val="auto"/>
              </w:rPr>
            </w:pPr>
          </w:p>
        </w:tc>
        <w:tc>
          <w:tcPr>
            <w:tcW w:w="1920" w:type="dxa"/>
            <w:vAlign w:val="bottom"/>
            <w:gridSpan w:val="2"/>
            <w:shd w:val="clear" w:color="auto" w:fill="001446"/>
          </w:tcPr>
          <w:p>
            <w:pPr>
              <w:ind w:left="560"/>
              <w:spacing w:after="0"/>
              <w:rPr>
                <w:sz w:val="20"/>
                <w:szCs w:val="20"/>
                <w:color w:val="auto"/>
              </w:rPr>
            </w:pPr>
            <w:r>
              <w:rPr>
                <w:rFonts w:ascii="Arial" w:cs="Arial" w:eastAsia="Arial" w:hAnsi="Arial"/>
                <w:sz w:val="13"/>
                <w:szCs w:val="13"/>
                <w:b w:val="1"/>
                <w:bCs w:val="1"/>
                <w:color w:val="FFFFFF"/>
              </w:rPr>
              <w:t>Stock Awards</w:t>
            </w:r>
          </w:p>
        </w:tc>
        <w:tc>
          <w:tcPr>
            <w:tcW w:w="1060" w:type="dxa"/>
            <w:vAlign w:val="bottom"/>
            <w:shd w:val="clear" w:color="auto" w:fill="001446"/>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540" w:type="dxa"/>
            <w:vAlign w:val="bottom"/>
            <w:tcBorders>
              <w:left w:val="single" w:sz="8" w:color="auto"/>
            </w:tcBorders>
            <w:shd w:val="clear" w:color="auto" w:fill="001446"/>
          </w:tcPr>
          <w:p>
            <w:pPr>
              <w:spacing w:after="0"/>
              <w:rPr>
                <w:sz w:val="16"/>
                <w:szCs w:val="16"/>
                <w:color w:val="auto"/>
              </w:rPr>
            </w:pPr>
          </w:p>
        </w:tc>
        <w:tc>
          <w:tcPr>
            <w:tcW w:w="1160" w:type="dxa"/>
            <w:vAlign w:val="bottom"/>
            <w:vMerge w:val="restart"/>
            <w:shd w:val="clear" w:color="auto" w:fill="001446"/>
          </w:tcPr>
          <w:p>
            <w:pPr>
              <w:jc w:val="center"/>
              <w:ind w:right="56"/>
              <w:spacing w:after="0"/>
              <w:rPr>
                <w:sz w:val="20"/>
                <w:szCs w:val="20"/>
                <w:color w:val="auto"/>
              </w:rPr>
            </w:pPr>
            <w:r>
              <w:rPr>
                <w:rFonts w:ascii="Arial" w:cs="Arial" w:eastAsia="Arial" w:hAnsi="Arial"/>
                <w:sz w:val="13"/>
                <w:szCs w:val="13"/>
                <w:b w:val="1"/>
                <w:bCs w:val="1"/>
                <w:color w:val="E8E8E8"/>
                <w:w w:val="98"/>
              </w:rPr>
              <w:t>Number of</w:t>
            </w:r>
          </w:p>
        </w:tc>
        <w:tc>
          <w:tcPr>
            <w:tcW w:w="13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Number of</w:t>
            </w:r>
          </w:p>
        </w:tc>
        <w:tc>
          <w:tcPr>
            <w:tcW w:w="1280" w:type="dxa"/>
            <w:vAlign w:val="bottom"/>
            <w:shd w:val="clear" w:color="auto" w:fill="001446"/>
          </w:tcPr>
          <w:p>
            <w:pPr>
              <w:spacing w:after="0"/>
              <w:rPr>
                <w:sz w:val="16"/>
                <w:szCs w:val="16"/>
                <w:color w:val="auto"/>
              </w:rPr>
            </w:pPr>
          </w:p>
        </w:tc>
        <w:tc>
          <w:tcPr>
            <w:tcW w:w="860" w:type="dxa"/>
            <w:vAlign w:val="bottom"/>
            <w:shd w:val="clear" w:color="auto" w:fill="001446"/>
          </w:tcPr>
          <w:p>
            <w:pPr>
              <w:spacing w:after="0"/>
              <w:rPr>
                <w:sz w:val="16"/>
                <w:szCs w:val="16"/>
                <w:color w:val="auto"/>
              </w:rPr>
            </w:pPr>
          </w:p>
        </w:tc>
        <w:tc>
          <w:tcPr>
            <w:tcW w:w="1120" w:type="dxa"/>
            <w:vAlign w:val="bottom"/>
            <w:shd w:val="clear" w:color="auto" w:fill="001446"/>
          </w:tcPr>
          <w:p>
            <w:pPr>
              <w:spacing w:after="0"/>
              <w:rPr>
                <w:sz w:val="16"/>
                <w:szCs w:val="16"/>
                <w:color w:val="auto"/>
              </w:rPr>
            </w:pPr>
          </w:p>
        </w:tc>
        <w:tc>
          <w:tcPr>
            <w:tcW w:w="1040" w:type="dxa"/>
            <w:vAlign w:val="bottom"/>
            <w:shd w:val="clear" w:color="auto" w:fill="001446"/>
          </w:tcPr>
          <w:p>
            <w:pPr>
              <w:spacing w:after="0"/>
              <w:rPr>
                <w:sz w:val="16"/>
                <w:szCs w:val="16"/>
                <w:color w:val="auto"/>
              </w:rPr>
            </w:pPr>
          </w:p>
        </w:tc>
        <w:tc>
          <w:tcPr>
            <w:tcW w:w="88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Equity</w:t>
            </w:r>
          </w:p>
        </w:tc>
        <w:tc>
          <w:tcPr>
            <w:tcW w:w="106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Equity Incentive</w:t>
            </w:r>
          </w:p>
        </w:tc>
        <w:tc>
          <w:tcPr>
            <w:tcW w:w="0" w:type="dxa"/>
            <w:vAlign w:val="bottom"/>
          </w:tcPr>
          <w:p>
            <w:pPr>
              <w:spacing w:after="0"/>
              <w:rPr>
                <w:sz w:val="1"/>
                <w:szCs w:val="1"/>
                <w:color w:val="auto"/>
              </w:rPr>
            </w:pPr>
          </w:p>
        </w:tc>
      </w:tr>
      <w:tr>
        <w:trPr>
          <w:trHeight w:val="72"/>
        </w:trPr>
        <w:tc>
          <w:tcPr>
            <w:tcW w:w="1540" w:type="dxa"/>
            <w:vAlign w:val="bottom"/>
            <w:tcBorders>
              <w:left w:val="single" w:sz="8" w:color="auto"/>
            </w:tcBorders>
            <w:shd w:val="clear" w:color="auto" w:fill="001446"/>
          </w:tcPr>
          <w:p>
            <w:pPr>
              <w:spacing w:after="0"/>
              <w:rPr>
                <w:sz w:val="6"/>
                <w:szCs w:val="6"/>
                <w:color w:val="auto"/>
              </w:rPr>
            </w:pPr>
          </w:p>
        </w:tc>
        <w:tc>
          <w:tcPr>
            <w:tcW w:w="1160" w:type="dxa"/>
            <w:vAlign w:val="bottom"/>
            <w:vMerge w:val="continue"/>
            <w:shd w:val="clear" w:color="auto" w:fill="001446"/>
          </w:tcPr>
          <w:p>
            <w:pPr>
              <w:spacing w:after="0"/>
              <w:rPr>
                <w:sz w:val="6"/>
                <w:szCs w:val="6"/>
                <w:color w:val="auto"/>
              </w:rPr>
            </w:pPr>
          </w:p>
        </w:tc>
        <w:tc>
          <w:tcPr>
            <w:tcW w:w="1340" w:type="dxa"/>
            <w:vAlign w:val="bottom"/>
            <w:vMerge w:val="continue"/>
            <w:shd w:val="clear" w:color="auto" w:fill="001446"/>
          </w:tcPr>
          <w:p>
            <w:pPr>
              <w:spacing w:after="0"/>
              <w:rPr>
                <w:sz w:val="6"/>
                <w:szCs w:val="6"/>
                <w:color w:val="auto"/>
              </w:rPr>
            </w:pPr>
          </w:p>
        </w:tc>
        <w:tc>
          <w:tcPr>
            <w:tcW w:w="1280" w:type="dxa"/>
            <w:vAlign w:val="bottom"/>
            <w:shd w:val="clear" w:color="auto" w:fill="001446"/>
          </w:tcPr>
          <w:p>
            <w:pPr>
              <w:spacing w:after="0"/>
              <w:rPr>
                <w:sz w:val="6"/>
                <w:szCs w:val="6"/>
                <w:color w:val="auto"/>
              </w:rPr>
            </w:pPr>
          </w:p>
        </w:tc>
        <w:tc>
          <w:tcPr>
            <w:tcW w:w="860" w:type="dxa"/>
            <w:vAlign w:val="bottom"/>
            <w:shd w:val="clear" w:color="auto" w:fill="001446"/>
          </w:tcPr>
          <w:p>
            <w:pPr>
              <w:spacing w:after="0"/>
              <w:rPr>
                <w:sz w:val="6"/>
                <w:szCs w:val="6"/>
                <w:color w:val="auto"/>
              </w:rPr>
            </w:pPr>
          </w:p>
        </w:tc>
        <w:tc>
          <w:tcPr>
            <w:tcW w:w="1120" w:type="dxa"/>
            <w:vAlign w:val="bottom"/>
            <w:shd w:val="clear" w:color="auto" w:fill="001446"/>
          </w:tcPr>
          <w:p>
            <w:pPr>
              <w:spacing w:after="0"/>
              <w:rPr>
                <w:sz w:val="6"/>
                <w:szCs w:val="6"/>
                <w:color w:val="auto"/>
              </w:rPr>
            </w:pPr>
          </w:p>
        </w:tc>
        <w:tc>
          <w:tcPr>
            <w:tcW w:w="10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7"/>
              </w:rPr>
              <w:t>Market Value of</w:t>
            </w:r>
          </w:p>
        </w:tc>
        <w:tc>
          <w:tcPr>
            <w:tcW w:w="88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9"/>
              </w:rPr>
              <w:t>Incentive</w:t>
            </w:r>
          </w:p>
        </w:tc>
        <w:tc>
          <w:tcPr>
            <w:tcW w:w="106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540" w:type="dxa"/>
            <w:vAlign w:val="bottom"/>
            <w:tcBorders>
              <w:left w:val="single" w:sz="8" w:color="auto"/>
            </w:tcBorders>
            <w:shd w:val="clear" w:color="auto" w:fill="001446"/>
          </w:tcPr>
          <w:p>
            <w:pPr>
              <w:spacing w:after="0"/>
              <w:rPr>
                <w:sz w:val="6"/>
                <w:szCs w:val="6"/>
                <w:color w:val="auto"/>
              </w:rPr>
            </w:pPr>
          </w:p>
        </w:tc>
        <w:tc>
          <w:tcPr>
            <w:tcW w:w="1160" w:type="dxa"/>
            <w:vAlign w:val="bottom"/>
            <w:vMerge w:val="continue"/>
            <w:shd w:val="clear" w:color="auto" w:fill="001446"/>
          </w:tcPr>
          <w:p>
            <w:pPr>
              <w:spacing w:after="0"/>
              <w:rPr>
                <w:sz w:val="6"/>
                <w:szCs w:val="6"/>
                <w:color w:val="auto"/>
              </w:rPr>
            </w:pPr>
          </w:p>
        </w:tc>
        <w:tc>
          <w:tcPr>
            <w:tcW w:w="1340" w:type="dxa"/>
            <w:vAlign w:val="bottom"/>
            <w:vMerge w:val="continue"/>
            <w:shd w:val="clear" w:color="auto" w:fill="001446"/>
          </w:tcPr>
          <w:p>
            <w:pPr>
              <w:spacing w:after="0"/>
              <w:rPr>
                <w:sz w:val="6"/>
                <w:szCs w:val="6"/>
                <w:color w:val="auto"/>
              </w:rPr>
            </w:pPr>
          </w:p>
        </w:tc>
        <w:tc>
          <w:tcPr>
            <w:tcW w:w="1280" w:type="dxa"/>
            <w:vAlign w:val="bottom"/>
            <w:shd w:val="clear" w:color="auto" w:fill="001446"/>
          </w:tcPr>
          <w:p>
            <w:pPr>
              <w:spacing w:after="0"/>
              <w:rPr>
                <w:sz w:val="6"/>
                <w:szCs w:val="6"/>
                <w:color w:val="auto"/>
              </w:rPr>
            </w:pPr>
          </w:p>
        </w:tc>
        <w:tc>
          <w:tcPr>
            <w:tcW w:w="860" w:type="dxa"/>
            <w:vAlign w:val="bottom"/>
            <w:shd w:val="clear" w:color="auto" w:fill="001446"/>
          </w:tcPr>
          <w:p>
            <w:pPr>
              <w:spacing w:after="0"/>
              <w:rPr>
                <w:sz w:val="6"/>
                <w:szCs w:val="6"/>
                <w:color w:val="auto"/>
              </w:rPr>
            </w:pPr>
          </w:p>
        </w:tc>
        <w:tc>
          <w:tcPr>
            <w:tcW w:w="1120" w:type="dxa"/>
            <w:vAlign w:val="bottom"/>
            <w:vMerge w:val="restart"/>
            <w:shd w:val="clear" w:color="auto" w:fill="001446"/>
          </w:tcPr>
          <w:p>
            <w:pPr>
              <w:jc w:val="center"/>
              <w:ind w:left="17"/>
              <w:spacing w:after="0"/>
              <w:rPr>
                <w:sz w:val="20"/>
                <w:szCs w:val="20"/>
                <w:color w:val="auto"/>
              </w:rPr>
            </w:pPr>
            <w:r>
              <w:rPr>
                <w:rFonts w:ascii="Arial" w:cs="Arial" w:eastAsia="Arial" w:hAnsi="Arial"/>
                <w:sz w:val="13"/>
                <w:szCs w:val="13"/>
                <w:b w:val="1"/>
                <w:bCs w:val="1"/>
                <w:color w:val="E8E8E8"/>
                <w:w w:val="98"/>
              </w:rPr>
              <w:t>Number of</w:t>
            </w:r>
          </w:p>
        </w:tc>
        <w:tc>
          <w:tcPr>
            <w:tcW w:w="1040" w:type="dxa"/>
            <w:vAlign w:val="bottom"/>
            <w:vMerge w:val="continue"/>
            <w:shd w:val="clear" w:color="auto" w:fill="001446"/>
          </w:tcPr>
          <w:p>
            <w:pPr>
              <w:spacing w:after="0"/>
              <w:rPr>
                <w:sz w:val="6"/>
                <w:szCs w:val="6"/>
                <w:color w:val="auto"/>
              </w:rPr>
            </w:pPr>
          </w:p>
        </w:tc>
        <w:tc>
          <w:tcPr>
            <w:tcW w:w="880" w:type="dxa"/>
            <w:vAlign w:val="bottom"/>
            <w:vMerge w:val="continue"/>
            <w:shd w:val="clear" w:color="auto" w:fill="001446"/>
          </w:tcPr>
          <w:p>
            <w:pPr>
              <w:spacing w:after="0"/>
              <w:rPr>
                <w:sz w:val="6"/>
                <w:szCs w:val="6"/>
                <w:color w:val="auto"/>
              </w:rPr>
            </w:pPr>
          </w:p>
        </w:tc>
        <w:tc>
          <w:tcPr>
            <w:tcW w:w="106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7"/>
              </w:rPr>
              <w:t>Plan Awards:</w:t>
            </w:r>
          </w:p>
        </w:tc>
        <w:tc>
          <w:tcPr>
            <w:tcW w:w="0" w:type="dxa"/>
            <w:vAlign w:val="bottom"/>
          </w:tcPr>
          <w:p>
            <w:pPr>
              <w:spacing w:after="0"/>
              <w:rPr>
                <w:sz w:val="1"/>
                <w:szCs w:val="1"/>
                <w:color w:val="auto"/>
              </w:rPr>
            </w:pPr>
          </w:p>
        </w:tc>
      </w:tr>
      <w:tr>
        <w:trPr>
          <w:trHeight w:val="134"/>
        </w:trPr>
        <w:tc>
          <w:tcPr>
            <w:tcW w:w="1540" w:type="dxa"/>
            <w:vAlign w:val="bottom"/>
            <w:tcBorders>
              <w:left w:val="single" w:sz="8" w:color="auto"/>
            </w:tcBorders>
            <w:shd w:val="clear" w:color="auto" w:fill="001446"/>
          </w:tcPr>
          <w:p>
            <w:pPr>
              <w:spacing w:after="0"/>
              <w:rPr>
                <w:sz w:val="11"/>
                <w:szCs w:val="11"/>
                <w:color w:val="auto"/>
              </w:rPr>
            </w:pPr>
          </w:p>
        </w:tc>
        <w:tc>
          <w:tcPr>
            <w:tcW w:w="1160" w:type="dxa"/>
            <w:vAlign w:val="bottom"/>
            <w:shd w:val="clear" w:color="auto" w:fill="001446"/>
          </w:tcPr>
          <w:p>
            <w:pPr>
              <w:jc w:val="center"/>
              <w:ind w:right="56"/>
              <w:spacing w:after="0" w:line="134" w:lineRule="exact"/>
              <w:rPr>
                <w:sz w:val="20"/>
                <w:szCs w:val="20"/>
                <w:color w:val="auto"/>
              </w:rPr>
            </w:pPr>
            <w:r>
              <w:rPr>
                <w:rFonts w:ascii="Arial" w:cs="Arial" w:eastAsia="Arial" w:hAnsi="Arial"/>
                <w:sz w:val="13"/>
                <w:szCs w:val="13"/>
                <w:b w:val="1"/>
                <w:bCs w:val="1"/>
                <w:color w:val="E8E8E8"/>
                <w:w w:val="96"/>
              </w:rPr>
              <w:t>Securities</w:t>
            </w:r>
          </w:p>
        </w:tc>
        <w:tc>
          <w:tcPr>
            <w:tcW w:w="1340" w:type="dxa"/>
            <w:vAlign w:val="bottom"/>
            <w:shd w:val="clear" w:color="auto" w:fill="001446"/>
          </w:tcPr>
          <w:p>
            <w:pPr>
              <w:jc w:val="center"/>
              <w:spacing w:after="0" w:line="134" w:lineRule="exact"/>
              <w:rPr>
                <w:sz w:val="20"/>
                <w:szCs w:val="20"/>
                <w:color w:val="auto"/>
              </w:rPr>
            </w:pPr>
            <w:r>
              <w:rPr>
                <w:rFonts w:ascii="Arial" w:cs="Arial" w:eastAsia="Arial" w:hAnsi="Arial"/>
                <w:sz w:val="13"/>
                <w:szCs w:val="13"/>
                <w:b w:val="1"/>
                <w:bCs w:val="1"/>
                <w:color w:val="E8E8E8"/>
                <w:w w:val="99"/>
              </w:rPr>
              <w:t>Securities</w:t>
            </w:r>
          </w:p>
        </w:tc>
        <w:tc>
          <w:tcPr>
            <w:tcW w:w="1280" w:type="dxa"/>
            <w:vAlign w:val="bottom"/>
            <w:vMerge w:val="restart"/>
            <w:shd w:val="clear" w:color="auto" w:fill="001446"/>
          </w:tcPr>
          <w:p>
            <w:pPr>
              <w:jc w:val="center"/>
              <w:ind w:left="36"/>
              <w:spacing w:after="0"/>
              <w:rPr>
                <w:sz w:val="20"/>
                <w:szCs w:val="20"/>
                <w:color w:val="auto"/>
              </w:rPr>
            </w:pPr>
            <w:r>
              <w:rPr>
                <w:rFonts w:ascii="Arial" w:cs="Arial" w:eastAsia="Arial" w:hAnsi="Arial"/>
                <w:sz w:val="13"/>
                <w:szCs w:val="13"/>
                <w:b w:val="1"/>
                <w:bCs w:val="1"/>
                <w:color w:val="E8E8E8"/>
                <w:w w:val="98"/>
              </w:rPr>
              <w:t>Option Exercise</w:t>
            </w:r>
          </w:p>
        </w:tc>
        <w:tc>
          <w:tcPr>
            <w:tcW w:w="86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rPr>
              <w:t>Option</w:t>
            </w:r>
          </w:p>
        </w:tc>
        <w:tc>
          <w:tcPr>
            <w:tcW w:w="1120" w:type="dxa"/>
            <w:vAlign w:val="bottom"/>
            <w:vMerge w:val="continue"/>
            <w:shd w:val="clear" w:color="auto" w:fill="001446"/>
          </w:tcPr>
          <w:p>
            <w:pPr>
              <w:spacing w:after="0"/>
              <w:rPr>
                <w:sz w:val="11"/>
                <w:szCs w:val="11"/>
                <w:color w:val="auto"/>
              </w:rPr>
            </w:pPr>
          </w:p>
        </w:tc>
        <w:tc>
          <w:tcPr>
            <w:tcW w:w="1040" w:type="dxa"/>
            <w:vAlign w:val="bottom"/>
            <w:vMerge w:val="continue"/>
            <w:shd w:val="clear" w:color="auto" w:fill="001446"/>
          </w:tcPr>
          <w:p>
            <w:pPr>
              <w:spacing w:after="0"/>
              <w:rPr>
                <w:sz w:val="11"/>
                <w:szCs w:val="11"/>
                <w:color w:val="auto"/>
              </w:rPr>
            </w:pPr>
          </w:p>
        </w:tc>
        <w:tc>
          <w:tcPr>
            <w:tcW w:w="880" w:type="dxa"/>
            <w:vAlign w:val="bottom"/>
            <w:shd w:val="clear" w:color="auto" w:fill="001446"/>
          </w:tcPr>
          <w:p>
            <w:pPr>
              <w:jc w:val="center"/>
              <w:spacing w:after="0" w:line="134" w:lineRule="exact"/>
              <w:rPr>
                <w:sz w:val="20"/>
                <w:szCs w:val="20"/>
                <w:color w:val="auto"/>
              </w:rPr>
            </w:pPr>
            <w:r>
              <w:rPr>
                <w:rFonts w:ascii="Arial" w:cs="Arial" w:eastAsia="Arial" w:hAnsi="Arial"/>
                <w:sz w:val="13"/>
                <w:szCs w:val="13"/>
                <w:b w:val="1"/>
                <w:bCs w:val="1"/>
                <w:color w:val="E8E8E8"/>
                <w:w w:val="99"/>
              </w:rPr>
              <w:t>Plan Awards:</w:t>
            </w:r>
          </w:p>
        </w:tc>
        <w:tc>
          <w:tcPr>
            <w:tcW w:w="1060" w:type="dxa"/>
            <w:vAlign w:val="bottom"/>
            <w:vMerge w:val="continue"/>
            <w:shd w:val="clear" w:color="auto" w:fill="001446"/>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tcBorders>
            <w:vMerge w:val="restart"/>
            <w:shd w:val="clear" w:color="auto" w:fill="001446"/>
          </w:tcPr>
          <w:p>
            <w:pPr>
              <w:ind w:left="20"/>
              <w:spacing w:after="0"/>
              <w:rPr>
                <w:sz w:val="20"/>
                <w:szCs w:val="20"/>
                <w:color w:val="auto"/>
              </w:rPr>
            </w:pPr>
            <w:r>
              <w:rPr>
                <w:rFonts w:ascii="Arial" w:cs="Arial" w:eastAsia="Arial" w:hAnsi="Arial"/>
                <w:sz w:val="13"/>
                <w:szCs w:val="13"/>
                <w:b w:val="1"/>
                <w:bCs w:val="1"/>
                <w:color w:val="E8E8E8"/>
              </w:rPr>
              <w:t>Name</w:t>
            </w:r>
          </w:p>
        </w:tc>
        <w:tc>
          <w:tcPr>
            <w:tcW w:w="1160" w:type="dxa"/>
            <w:vAlign w:val="bottom"/>
            <w:shd w:val="clear" w:color="auto" w:fill="001446"/>
          </w:tcPr>
          <w:p>
            <w:pPr>
              <w:jc w:val="center"/>
              <w:ind w:right="56"/>
              <w:spacing w:after="0" w:line="144" w:lineRule="exact"/>
              <w:rPr>
                <w:sz w:val="20"/>
                <w:szCs w:val="20"/>
                <w:color w:val="auto"/>
              </w:rPr>
            </w:pPr>
            <w:r>
              <w:rPr>
                <w:rFonts w:ascii="Arial" w:cs="Arial" w:eastAsia="Arial" w:hAnsi="Arial"/>
                <w:sz w:val="13"/>
                <w:szCs w:val="13"/>
                <w:b w:val="1"/>
                <w:bCs w:val="1"/>
                <w:color w:val="E8E8E8"/>
              </w:rPr>
              <w:t>Underlying</w:t>
            </w:r>
          </w:p>
        </w:tc>
        <w:tc>
          <w:tcPr>
            <w:tcW w:w="13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7"/>
              </w:rPr>
              <w:t>Underlying</w:t>
            </w:r>
          </w:p>
        </w:tc>
        <w:tc>
          <w:tcPr>
            <w:tcW w:w="1280" w:type="dxa"/>
            <w:vAlign w:val="bottom"/>
            <w:vMerge w:val="continue"/>
            <w:shd w:val="clear" w:color="auto" w:fill="001446"/>
          </w:tcPr>
          <w:p>
            <w:pPr>
              <w:spacing w:after="0"/>
              <w:rPr>
                <w:sz w:val="12"/>
                <w:szCs w:val="12"/>
                <w:color w:val="auto"/>
              </w:rPr>
            </w:pPr>
          </w:p>
        </w:tc>
        <w:tc>
          <w:tcPr>
            <w:tcW w:w="860" w:type="dxa"/>
            <w:vAlign w:val="bottom"/>
            <w:vMerge w:val="continue"/>
            <w:shd w:val="clear" w:color="auto" w:fill="001446"/>
          </w:tcPr>
          <w:p>
            <w:pPr>
              <w:spacing w:after="0"/>
              <w:rPr>
                <w:sz w:val="12"/>
                <w:szCs w:val="12"/>
                <w:color w:val="auto"/>
              </w:rPr>
            </w:pPr>
          </w:p>
        </w:tc>
        <w:tc>
          <w:tcPr>
            <w:tcW w:w="1120" w:type="dxa"/>
            <w:vAlign w:val="bottom"/>
            <w:shd w:val="clear" w:color="auto" w:fill="001446"/>
          </w:tcPr>
          <w:p>
            <w:pPr>
              <w:jc w:val="center"/>
              <w:ind w:left="37"/>
              <w:spacing w:after="0" w:line="144" w:lineRule="exact"/>
              <w:rPr>
                <w:sz w:val="20"/>
                <w:szCs w:val="20"/>
                <w:color w:val="auto"/>
              </w:rPr>
            </w:pPr>
            <w:r>
              <w:rPr>
                <w:rFonts w:ascii="Arial" w:cs="Arial" w:eastAsia="Arial" w:hAnsi="Arial"/>
                <w:sz w:val="13"/>
                <w:szCs w:val="13"/>
                <w:b w:val="1"/>
                <w:bCs w:val="1"/>
                <w:color w:val="E8E8E8"/>
                <w:w w:val="97"/>
              </w:rPr>
              <w:t>Shares or Units</w:t>
            </w:r>
          </w:p>
        </w:tc>
        <w:tc>
          <w:tcPr>
            <w:tcW w:w="10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7"/>
              </w:rPr>
              <w:t>Shares or Units</w:t>
            </w:r>
          </w:p>
        </w:tc>
        <w:tc>
          <w:tcPr>
            <w:tcW w:w="88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Number of</w:t>
            </w:r>
          </w:p>
        </w:tc>
        <w:tc>
          <w:tcPr>
            <w:tcW w:w="106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5"/>
              </w:rPr>
              <w:t>Market or</w:t>
            </w:r>
          </w:p>
        </w:tc>
        <w:tc>
          <w:tcPr>
            <w:tcW w:w="0" w:type="dxa"/>
            <w:vAlign w:val="bottom"/>
          </w:tcPr>
          <w:p>
            <w:pPr>
              <w:spacing w:after="0"/>
              <w:rPr>
                <w:sz w:val="1"/>
                <w:szCs w:val="1"/>
                <w:color w:val="auto"/>
              </w:rPr>
            </w:pPr>
          </w:p>
        </w:tc>
      </w:tr>
      <w:tr>
        <w:trPr>
          <w:trHeight w:val="82"/>
        </w:trPr>
        <w:tc>
          <w:tcPr>
            <w:tcW w:w="1540" w:type="dxa"/>
            <w:vAlign w:val="bottom"/>
            <w:tcBorders>
              <w:left w:val="single" w:sz="8" w:color="auto"/>
            </w:tcBorders>
            <w:vMerge w:val="continue"/>
            <w:shd w:val="clear" w:color="auto" w:fill="001446"/>
          </w:tcPr>
          <w:p>
            <w:pPr>
              <w:spacing w:after="0"/>
              <w:rPr>
                <w:sz w:val="7"/>
                <w:szCs w:val="7"/>
                <w:color w:val="auto"/>
              </w:rPr>
            </w:pPr>
          </w:p>
        </w:tc>
        <w:tc>
          <w:tcPr>
            <w:tcW w:w="1160" w:type="dxa"/>
            <w:vAlign w:val="bottom"/>
            <w:vMerge w:val="restart"/>
            <w:shd w:val="clear" w:color="auto" w:fill="001446"/>
          </w:tcPr>
          <w:p>
            <w:pPr>
              <w:jc w:val="center"/>
              <w:ind w:right="56"/>
              <w:spacing w:after="0" w:line="144" w:lineRule="exact"/>
              <w:rPr>
                <w:sz w:val="20"/>
                <w:szCs w:val="20"/>
                <w:color w:val="auto"/>
              </w:rPr>
            </w:pPr>
            <w:r>
              <w:rPr>
                <w:rFonts w:ascii="Arial" w:cs="Arial" w:eastAsia="Arial" w:hAnsi="Arial"/>
                <w:sz w:val="13"/>
                <w:szCs w:val="13"/>
                <w:b w:val="1"/>
                <w:bCs w:val="1"/>
                <w:color w:val="E8E8E8"/>
                <w:w w:val="98"/>
              </w:rPr>
              <w:t>Unexercised</w:t>
            </w:r>
          </w:p>
        </w:tc>
        <w:tc>
          <w:tcPr>
            <w:tcW w:w="134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Unexercised</w:t>
            </w:r>
          </w:p>
        </w:tc>
        <w:tc>
          <w:tcPr>
            <w:tcW w:w="1280" w:type="dxa"/>
            <w:vAlign w:val="bottom"/>
            <w:vMerge w:val="restart"/>
            <w:shd w:val="clear" w:color="auto" w:fill="001446"/>
          </w:tcPr>
          <w:p>
            <w:pPr>
              <w:jc w:val="center"/>
              <w:ind w:left="36"/>
              <w:spacing w:after="0" w:line="144" w:lineRule="exact"/>
              <w:rPr>
                <w:sz w:val="20"/>
                <w:szCs w:val="20"/>
                <w:color w:val="auto"/>
              </w:rPr>
            </w:pPr>
            <w:r>
              <w:rPr>
                <w:rFonts w:ascii="Arial" w:cs="Arial" w:eastAsia="Arial" w:hAnsi="Arial"/>
                <w:sz w:val="13"/>
                <w:szCs w:val="13"/>
                <w:b w:val="1"/>
                <w:bCs w:val="1"/>
                <w:color w:val="E8E8E8"/>
              </w:rPr>
              <w:t>Pric</w:t>
            </w:r>
          </w:p>
        </w:tc>
        <w:tc>
          <w:tcPr>
            <w:tcW w:w="860" w:type="dxa"/>
            <w:vAlign w:val="bottom"/>
            <w:shd w:val="clear" w:color="auto" w:fill="001446"/>
          </w:tcPr>
          <w:p>
            <w:pPr>
              <w:jc w:val="center"/>
              <w:spacing w:after="0" w:line="82" w:lineRule="exact"/>
              <w:rPr>
                <w:sz w:val="20"/>
                <w:szCs w:val="20"/>
                <w:color w:val="auto"/>
              </w:rPr>
            </w:pPr>
            <w:r>
              <w:rPr>
                <w:rFonts w:ascii="Arial" w:cs="Arial" w:eastAsia="Arial" w:hAnsi="Arial"/>
                <w:sz w:val="9"/>
                <w:szCs w:val="9"/>
                <w:b w:val="1"/>
                <w:bCs w:val="1"/>
                <w:color w:val="E8E8E8"/>
              </w:rPr>
              <w:t>Expiration</w:t>
            </w:r>
          </w:p>
        </w:tc>
        <w:tc>
          <w:tcPr>
            <w:tcW w:w="1120" w:type="dxa"/>
            <w:vAlign w:val="bottom"/>
            <w:vMerge w:val="restart"/>
            <w:shd w:val="clear" w:color="auto" w:fill="001446"/>
          </w:tcPr>
          <w:p>
            <w:pPr>
              <w:jc w:val="center"/>
              <w:ind w:left="37"/>
              <w:spacing w:after="0" w:line="144" w:lineRule="exact"/>
              <w:rPr>
                <w:sz w:val="20"/>
                <w:szCs w:val="20"/>
                <w:color w:val="auto"/>
              </w:rPr>
            </w:pPr>
            <w:r>
              <w:rPr>
                <w:rFonts w:ascii="Arial" w:cs="Arial" w:eastAsia="Arial" w:hAnsi="Arial"/>
                <w:sz w:val="13"/>
                <w:szCs w:val="13"/>
                <w:b w:val="1"/>
                <w:bCs w:val="1"/>
                <w:color w:val="E8E8E8"/>
                <w:w w:val="99"/>
              </w:rPr>
              <w:t>of Stock that</w:t>
            </w:r>
          </w:p>
        </w:tc>
        <w:tc>
          <w:tcPr>
            <w:tcW w:w="1040" w:type="dxa"/>
            <w:vAlign w:val="bottom"/>
            <w:shd w:val="clear" w:color="auto" w:fill="001446"/>
          </w:tcPr>
          <w:p>
            <w:pPr>
              <w:jc w:val="center"/>
              <w:spacing w:after="0" w:line="82" w:lineRule="exact"/>
              <w:rPr>
                <w:sz w:val="20"/>
                <w:szCs w:val="20"/>
                <w:color w:val="auto"/>
              </w:rPr>
            </w:pPr>
            <w:r>
              <w:rPr>
                <w:rFonts w:ascii="Arial" w:cs="Arial" w:eastAsia="Arial" w:hAnsi="Arial"/>
                <w:sz w:val="9"/>
                <w:szCs w:val="9"/>
                <w:b w:val="1"/>
                <w:bCs w:val="1"/>
                <w:color w:val="E8E8E8"/>
              </w:rPr>
              <w:t>of Stock that</w:t>
            </w:r>
          </w:p>
        </w:tc>
        <w:tc>
          <w:tcPr>
            <w:tcW w:w="88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6"/>
              </w:rPr>
              <w:t>Unearned</w:t>
            </w:r>
          </w:p>
        </w:tc>
        <w:tc>
          <w:tcPr>
            <w:tcW w:w="1060" w:type="dxa"/>
            <w:vAlign w:val="bottom"/>
            <w:shd w:val="clear" w:color="auto" w:fill="001446"/>
          </w:tcPr>
          <w:p>
            <w:pPr>
              <w:jc w:val="center"/>
              <w:spacing w:after="0" w:line="82" w:lineRule="exact"/>
              <w:rPr>
                <w:sz w:val="20"/>
                <w:szCs w:val="20"/>
                <w:color w:val="auto"/>
              </w:rPr>
            </w:pPr>
            <w:r>
              <w:rPr>
                <w:rFonts w:ascii="Arial" w:cs="Arial" w:eastAsia="Arial" w:hAnsi="Arial"/>
                <w:sz w:val="9"/>
                <w:szCs w:val="9"/>
                <w:b w:val="1"/>
                <w:bCs w:val="1"/>
                <w:color w:val="E8E8E8"/>
              </w:rPr>
              <w:t>Payout Value of</w:t>
            </w:r>
          </w:p>
        </w:tc>
        <w:tc>
          <w:tcPr>
            <w:tcW w:w="0" w:type="dxa"/>
            <w:vAlign w:val="bottom"/>
          </w:tcPr>
          <w:p>
            <w:pPr>
              <w:spacing w:after="0"/>
              <w:rPr>
                <w:sz w:val="1"/>
                <w:szCs w:val="1"/>
                <w:color w:val="auto"/>
              </w:rPr>
            </w:pPr>
          </w:p>
        </w:tc>
      </w:tr>
      <w:tr>
        <w:trPr>
          <w:trHeight w:val="62"/>
        </w:trPr>
        <w:tc>
          <w:tcPr>
            <w:tcW w:w="1540" w:type="dxa"/>
            <w:vAlign w:val="bottom"/>
            <w:tcBorders>
              <w:left w:val="single" w:sz="8" w:color="auto"/>
            </w:tcBorders>
            <w:shd w:val="clear" w:color="auto" w:fill="001446"/>
          </w:tcPr>
          <w:p>
            <w:pPr>
              <w:spacing w:after="0"/>
              <w:rPr>
                <w:sz w:val="5"/>
                <w:szCs w:val="5"/>
                <w:color w:val="auto"/>
              </w:rPr>
            </w:pPr>
          </w:p>
        </w:tc>
        <w:tc>
          <w:tcPr>
            <w:tcW w:w="1160" w:type="dxa"/>
            <w:vAlign w:val="bottom"/>
            <w:vMerge w:val="continue"/>
            <w:shd w:val="clear" w:color="auto" w:fill="001446"/>
          </w:tcPr>
          <w:p>
            <w:pPr>
              <w:spacing w:after="0"/>
              <w:rPr>
                <w:sz w:val="5"/>
                <w:szCs w:val="5"/>
                <w:color w:val="auto"/>
              </w:rPr>
            </w:pPr>
          </w:p>
        </w:tc>
        <w:tc>
          <w:tcPr>
            <w:tcW w:w="1340" w:type="dxa"/>
            <w:vAlign w:val="bottom"/>
            <w:vMerge w:val="continue"/>
            <w:shd w:val="clear" w:color="auto" w:fill="001446"/>
          </w:tcPr>
          <w:p>
            <w:pPr>
              <w:spacing w:after="0"/>
              <w:rPr>
                <w:sz w:val="5"/>
                <w:szCs w:val="5"/>
                <w:color w:val="auto"/>
              </w:rPr>
            </w:pPr>
          </w:p>
        </w:tc>
        <w:tc>
          <w:tcPr>
            <w:tcW w:w="1280" w:type="dxa"/>
            <w:vAlign w:val="bottom"/>
            <w:vMerge w:val="continue"/>
            <w:shd w:val="clear" w:color="auto" w:fill="001446"/>
          </w:tcPr>
          <w:p>
            <w:pPr>
              <w:spacing w:after="0"/>
              <w:rPr>
                <w:sz w:val="5"/>
                <w:szCs w:val="5"/>
                <w:color w:val="auto"/>
              </w:rPr>
            </w:pPr>
          </w:p>
        </w:tc>
        <w:tc>
          <w:tcPr>
            <w:tcW w:w="86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9"/>
              </w:rPr>
              <w:t>Date</w:t>
            </w:r>
          </w:p>
        </w:tc>
        <w:tc>
          <w:tcPr>
            <w:tcW w:w="1120" w:type="dxa"/>
            <w:vAlign w:val="bottom"/>
            <w:vMerge w:val="continue"/>
            <w:shd w:val="clear" w:color="auto" w:fill="001446"/>
          </w:tcPr>
          <w:p>
            <w:pPr>
              <w:spacing w:after="0"/>
              <w:rPr>
                <w:sz w:val="5"/>
                <w:szCs w:val="5"/>
                <w:color w:val="auto"/>
              </w:rPr>
            </w:pPr>
          </w:p>
        </w:tc>
        <w:tc>
          <w:tcPr>
            <w:tcW w:w="1040" w:type="dxa"/>
            <w:vAlign w:val="bottom"/>
            <w:shd w:val="clear" w:color="auto" w:fill="001446"/>
          </w:tcPr>
          <w:p>
            <w:pPr>
              <w:spacing w:after="0"/>
              <w:rPr>
                <w:sz w:val="5"/>
                <w:szCs w:val="5"/>
                <w:color w:val="auto"/>
              </w:rPr>
            </w:pPr>
          </w:p>
        </w:tc>
        <w:tc>
          <w:tcPr>
            <w:tcW w:w="880" w:type="dxa"/>
            <w:vAlign w:val="bottom"/>
            <w:vMerge w:val="continue"/>
            <w:shd w:val="clear" w:color="auto" w:fill="001446"/>
          </w:tcPr>
          <w:p>
            <w:pPr>
              <w:spacing w:after="0"/>
              <w:rPr>
                <w:sz w:val="5"/>
                <w:szCs w:val="5"/>
                <w:color w:val="auto"/>
              </w:rPr>
            </w:pPr>
          </w:p>
        </w:tc>
        <w:tc>
          <w:tcPr>
            <w:tcW w:w="106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9"/>
              </w:rPr>
              <w:t>Unearned Units</w:t>
            </w: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tcBorders>
            <w:shd w:val="clear" w:color="auto" w:fill="001446"/>
          </w:tcPr>
          <w:p>
            <w:pPr>
              <w:spacing w:after="0"/>
              <w:rPr>
                <w:sz w:val="12"/>
                <w:szCs w:val="12"/>
                <w:color w:val="auto"/>
              </w:rPr>
            </w:pPr>
          </w:p>
        </w:tc>
        <w:tc>
          <w:tcPr>
            <w:tcW w:w="1160" w:type="dxa"/>
            <w:vAlign w:val="bottom"/>
            <w:shd w:val="clear" w:color="auto" w:fill="001446"/>
          </w:tcPr>
          <w:p>
            <w:pPr>
              <w:jc w:val="center"/>
              <w:ind w:right="56"/>
              <w:spacing w:after="0" w:line="144" w:lineRule="exact"/>
              <w:rPr>
                <w:sz w:val="20"/>
                <w:szCs w:val="20"/>
                <w:color w:val="auto"/>
              </w:rPr>
            </w:pPr>
            <w:r>
              <w:rPr>
                <w:rFonts w:ascii="Arial" w:cs="Arial" w:eastAsia="Arial" w:hAnsi="Arial"/>
                <w:sz w:val="13"/>
                <w:szCs w:val="13"/>
                <w:b w:val="1"/>
                <w:bCs w:val="1"/>
                <w:color w:val="E8E8E8"/>
                <w:w w:val="99"/>
              </w:rPr>
              <w:t>Options (#)</w:t>
            </w:r>
          </w:p>
        </w:tc>
        <w:tc>
          <w:tcPr>
            <w:tcW w:w="13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9"/>
              </w:rPr>
              <w:t>Options (#)</w:t>
            </w:r>
          </w:p>
        </w:tc>
        <w:tc>
          <w:tcPr>
            <w:tcW w:w="1280" w:type="dxa"/>
            <w:vAlign w:val="bottom"/>
            <w:shd w:val="clear" w:color="auto" w:fill="001446"/>
          </w:tcPr>
          <w:p>
            <w:pPr>
              <w:spacing w:after="0"/>
              <w:rPr>
                <w:sz w:val="12"/>
                <w:szCs w:val="12"/>
                <w:color w:val="auto"/>
              </w:rPr>
            </w:pPr>
          </w:p>
        </w:tc>
        <w:tc>
          <w:tcPr>
            <w:tcW w:w="860" w:type="dxa"/>
            <w:vAlign w:val="bottom"/>
            <w:vMerge w:val="continue"/>
            <w:shd w:val="clear" w:color="auto" w:fill="001446"/>
          </w:tcPr>
          <w:p>
            <w:pPr>
              <w:spacing w:after="0"/>
              <w:rPr>
                <w:sz w:val="12"/>
                <w:szCs w:val="12"/>
                <w:color w:val="auto"/>
              </w:rPr>
            </w:pPr>
          </w:p>
        </w:tc>
        <w:tc>
          <w:tcPr>
            <w:tcW w:w="2160" w:type="dxa"/>
            <w:vAlign w:val="bottom"/>
            <w:gridSpan w:val="2"/>
            <w:shd w:val="clear" w:color="auto" w:fill="001446"/>
          </w:tcPr>
          <w:p>
            <w:pPr>
              <w:ind w:left="120"/>
              <w:spacing w:after="0" w:line="144" w:lineRule="exact"/>
              <w:rPr>
                <w:sz w:val="20"/>
                <w:szCs w:val="20"/>
                <w:color w:val="auto"/>
              </w:rPr>
            </w:pPr>
            <w:r>
              <w:rPr>
                <w:rFonts w:ascii="Arial" w:cs="Arial" w:eastAsia="Arial" w:hAnsi="Arial"/>
                <w:sz w:val="10"/>
                <w:szCs w:val="10"/>
                <w:b w:val="1"/>
                <w:bCs w:val="1"/>
                <w:color w:val="E8E8E8"/>
              </w:rPr>
              <w:t xml:space="preserve">have not Vested </w:t>
            </w:r>
            <w:r>
              <w:rPr>
                <w:rFonts w:ascii="Arial" w:cs="Arial" w:eastAsia="Arial" w:hAnsi="Arial"/>
                <w:sz w:val="16"/>
                <w:szCs w:val="16"/>
                <w:b w:val="1"/>
                <w:bCs w:val="1"/>
                <w:color w:val="E8E8E8"/>
                <w:vertAlign w:val="superscript"/>
              </w:rPr>
              <w:t>have not Vested</w:t>
            </w:r>
          </w:p>
        </w:tc>
        <w:tc>
          <w:tcPr>
            <w:tcW w:w="88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Units</w:t>
            </w:r>
          </w:p>
        </w:tc>
        <w:tc>
          <w:tcPr>
            <w:tcW w:w="1060" w:type="dxa"/>
            <w:vAlign w:val="bottom"/>
            <w:vMerge w:val="continue"/>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tcBorders>
            <w:shd w:val="clear" w:color="auto" w:fill="001446"/>
          </w:tcPr>
          <w:p>
            <w:pPr>
              <w:spacing w:after="0"/>
              <w:rPr>
                <w:sz w:val="12"/>
                <w:szCs w:val="12"/>
                <w:color w:val="auto"/>
              </w:rPr>
            </w:pPr>
          </w:p>
        </w:tc>
        <w:tc>
          <w:tcPr>
            <w:tcW w:w="1160" w:type="dxa"/>
            <w:vAlign w:val="bottom"/>
            <w:shd w:val="clear" w:color="auto" w:fill="001446"/>
          </w:tcPr>
          <w:p>
            <w:pPr>
              <w:jc w:val="center"/>
              <w:ind w:right="56"/>
              <w:spacing w:after="0" w:line="144" w:lineRule="exact"/>
              <w:rPr>
                <w:sz w:val="20"/>
                <w:szCs w:val="20"/>
                <w:color w:val="auto"/>
              </w:rPr>
            </w:pPr>
            <w:r>
              <w:rPr>
                <w:rFonts w:ascii="Arial" w:cs="Arial" w:eastAsia="Arial" w:hAnsi="Arial"/>
                <w:sz w:val="13"/>
                <w:szCs w:val="13"/>
                <w:b w:val="1"/>
                <w:bCs w:val="1"/>
                <w:color w:val="E8E8E8"/>
                <w:w w:val="99"/>
              </w:rPr>
              <w:t>Exercisable</w:t>
            </w:r>
          </w:p>
        </w:tc>
        <w:tc>
          <w:tcPr>
            <w:tcW w:w="13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7"/>
              </w:rPr>
              <w:t>Unexercisable</w:t>
            </w:r>
          </w:p>
        </w:tc>
        <w:tc>
          <w:tcPr>
            <w:tcW w:w="1280" w:type="dxa"/>
            <w:vAlign w:val="bottom"/>
            <w:shd w:val="clear" w:color="auto" w:fill="001446"/>
          </w:tcPr>
          <w:p>
            <w:pPr>
              <w:spacing w:after="0"/>
              <w:rPr>
                <w:sz w:val="12"/>
                <w:szCs w:val="12"/>
                <w:color w:val="auto"/>
              </w:rPr>
            </w:pPr>
          </w:p>
        </w:tc>
        <w:tc>
          <w:tcPr>
            <w:tcW w:w="860" w:type="dxa"/>
            <w:vAlign w:val="bottom"/>
            <w:shd w:val="clear" w:color="auto" w:fill="001446"/>
          </w:tcPr>
          <w:p>
            <w:pPr>
              <w:spacing w:after="0"/>
              <w:rPr>
                <w:sz w:val="12"/>
                <w:szCs w:val="12"/>
                <w:color w:val="auto"/>
              </w:rPr>
            </w:pPr>
          </w:p>
        </w:tc>
        <w:tc>
          <w:tcPr>
            <w:tcW w:w="1120" w:type="dxa"/>
            <w:vAlign w:val="bottom"/>
            <w:shd w:val="clear" w:color="auto" w:fill="001446"/>
          </w:tcPr>
          <w:p>
            <w:pPr>
              <w:spacing w:after="0"/>
              <w:rPr>
                <w:sz w:val="12"/>
                <w:szCs w:val="12"/>
                <w:color w:val="auto"/>
              </w:rPr>
            </w:pPr>
          </w:p>
        </w:tc>
        <w:tc>
          <w:tcPr>
            <w:tcW w:w="10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rPr>
              <w:t>($)*</w:t>
            </w:r>
          </w:p>
        </w:tc>
        <w:tc>
          <w:tcPr>
            <w:tcW w:w="88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that have not</w:t>
            </w:r>
          </w:p>
        </w:tc>
        <w:tc>
          <w:tcPr>
            <w:tcW w:w="106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8"/>
              </w:rPr>
              <w:t>That Have Not</w:t>
            </w:r>
          </w:p>
        </w:tc>
        <w:tc>
          <w:tcPr>
            <w:tcW w:w="0" w:type="dxa"/>
            <w:vAlign w:val="bottom"/>
          </w:tcPr>
          <w:p>
            <w:pPr>
              <w:spacing w:after="0"/>
              <w:rPr>
                <w:sz w:val="1"/>
                <w:szCs w:val="1"/>
                <w:color w:val="auto"/>
              </w:rPr>
            </w:pPr>
          </w:p>
        </w:tc>
      </w:tr>
      <w:tr>
        <w:trPr>
          <w:trHeight w:val="184"/>
        </w:trPr>
        <w:tc>
          <w:tcPr>
            <w:tcW w:w="1540" w:type="dxa"/>
            <w:vAlign w:val="bottom"/>
            <w:tcBorders>
              <w:left w:val="single" w:sz="8" w:color="auto"/>
              <w:bottom w:val="single" w:sz="8" w:color="001446"/>
            </w:tcBorders>
            <w:shd w:val="clear" w:color="auto" w:fill="001446"/>
          </w:tcPr>
          <w:p>
            <w:pPr>
              <w:spacing w:after="0"/>
              <w:rPr>
                <w:sz w:val="16"/>
                <w:szCs w:val="16"/>
                <w:color w:val="auto"/>
              </w:rPr>
            </w:pPr>
          </w:p>
        </w:tc>
        <w:tc>
          <w:tcPr>
            <w:tcW w:w="1160" w:type="dxa"/>
            <w:vAlign w:val="bottom"/>
            <w:tcBorders>
              <w:bottom w:val="single" w:sz="8" w:color="001446"/>
            </w:tcBorders>
            <w:shd w:val="clear" w:color="auto" w:fill="001446"/>
          </w:tcPr>
          <w:p>
            <w:pPr>
              <w:spacing w:after="0"/>
              <w:rPr>
                <w:sz w:val="16"/>
                <w:szCs w:val="16"/>
                <w:color w:val="auto"/>
              </w:rPr>
            </w:pPr>
          </w:p>
        </w:tc>
        <w:tc>
          <w:tcPr>
            <w:tcW w:w="1340" w:type="dxa"/>
            <w:vAlign w:val="bottom"/>
            <w:tcBorders>
              <w:bottom w:val="single" w:sz="8" w:color="001446"/>
            </w:tcBorders>
            <w:shd w:val="clear" w:color="auto" w:fill="001446"/>
          </w:tcPr>
          <w:p>
            <w:pPr>
              <w:spacing w:after="0"/>
              <w:rPr>
                <w:sz w:val="16"/>
                <w:szCs w:val="16"/>
                <w:color w:val="auto"/>
              </w:rPr>
            </w:pPr>
          </w:p>
        </w:tc>
        <w:tc>
          <w:tcPr>
            <w:tcW w:w="1280" w:type="dxa"/>
            <w:vAlign w:val="bottom"/>
            <w:tcBorders>
              <w:bottom w:val="single" w:sz="8" w:color="001446"/>
            </w:tcBorders>
            <w:shd w:val="clear" w:color="auto" w:fill="001446"/>
          </w:tcPr>
          <w:p>
            <w:pPr>
              <w:spacing w:after="0"/>
              <w:rPr>
                <w:sz w:val="16"/>
                <w:szCs w:val="16"/>
                <w:color w:val="auto"/>
              </w:rPr>
            </w:pPr>
          </w:p>
        </w:tc>
        <w:tc>
          <w:tcPr>
            <w:tcW w:w="860" w:type="dxa"/>
            <w:vAlign w:val="bottom"/>
            <w:tcBorders>
              <w:bottom w:val="single" w:sz="8" w:color="001446"/>
            </w:tcBorders>
            <w:shd w:val="clear" w:color="auto" w:fill="001446"/>
          </w:tcPr>
          <w:p>
            <w:pPr>
              <w:spacing w:after="0"/>
              <w:rPr>
                <w:sz w:val="16"/>
                <w:szCs w:val="16"/>
                <w:color w:val="auto"/>
              </w:rPr>
            </w:pPr>
          </w:p>
        </w:tc>
        <w:tc>
          <w:tcPr>
            <w:tcW w:w="1120" w:type="dxa"/>
            <w:vAlign w:val="bottom"/>
            <w:tcBorders>
              <w:bottom w:val="single" w:sz="8" w:color="001446"/>
            </w:tcBorders>
            <w:shd w:val="clear" w:color="auto" w:fill="001446"/>
          </w:tcPr>
          <w:p>
            <w:pPr>
              <w:spacing w:after="0"/>
              <w:rPr>
                <w:sz w:val="16"/>
                <w:szCs w:val="16"/>
                <w:color w:val="auto"/>
              </w:rPr>
            </w:pPr>
          </w:p>
        </w:tc>
        <w:tc>
          <w:tcPr>
            <w:tcW w:w="1040" w:type="dxa"/>
            <w:vAlign w:val="bottom"/>
            <w:tcBorders>
              <w:bottom w:val="single" w:sz="8" w:color="001446"/>
            </w:tcBorders>
            <w:shd w:val="clear" w:color="auto" w:fill="001446"/>
          </w:tcPr>
          <w:p>
            <w:pPr>
              <w:spacing w:after="0"/>
              <w:rPr>
                <w:sz w:val="16"/>
                <w:szCs w:val="16"/>
                <w:color w:val="auto"/>
              </w:rPr>
            </w:pPr>
          </w:p>
        </w:tc>
        <w:tc>
          <w:tcPr>
            <w:tcW w:w="88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Vested (#)</w:t>
            </w:r>
          </w:p>
        </w:tc>
        <w:tc>
          <w:tcPr>
            <w:tcW w:w="1060" w:type="dxa"/>
            <w:vAlign w:val="bottom"/>
            <w:tcBorders>
              <w:bottom w:val="single" w:sz="8" w:color="001446"/>
            </w:tcBorders>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E8E8E8"/>
                <w:w w:val="95"/>
              </w:rPr>
              <w:t>Vested ($)*</w:t>
            </w:r>
          </w:p>
        </w:tc>
        <w:tc>
          <w:tcPr>
            <w:tcW w:w="0" w:type="dxa"/>
            <w:vAlign w:val="bottom"/>
          </w:tcPr>
          <w:p>
            <w:pPr>
              <w:spacing w:after="0"/>
              <w:rPr>
                <w:sz w:val="1"/>
                <w:szCs w:val="1"/>
                <w:color w:val="auto"/>
              </w:rPr>
            </w:pPr>
          </w:p>
        </w:tc>
      </w:tr>
      <w:tr>
        <w:trPr>
          <w:trHeight w:val="216"/>
        </w:trPr>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8"/>
              </w:rPr>
              <w:t>Shuki Nir</w:t>
            </w: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jc w:val="center"/>
              <w:ind w:left="37"/>
              <w:spacing w:after="0"/>
              <w:rPr>
                <w:sz w:val="20"/>
                <w:szCs w:val="20"/>
                <w:color w:val="auto"/>
              </w:rPr>
            </w:pPr>
            <w:r>
              <w:rPr>
                <w:rFonts w:ascii="Arial" w:cs="Arial" w:eastAsia="Arial" w:hAnsi="Arial"/>
                <w:sz w:val="13"/>
                <w:szCs w:val="13"/>
                <w:color w:val="auto"/>
                <w:w w:val="97"/>
              </w:rPr>
              <w:t>55,447 (1)</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$1,599,646</w:t>
            </w:r>
          </w:p>
        </w:tc>
        <w:tc>
          <w:tcPr>
            <w:tcW w:w="88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jc w:val="center"/>
              <w:ind w:left="37"/>
              <w:spacing w:after="0"/>
              <w:rPr>
                <w:sz w:val="20"/>
                <w:szCs w:val="20"/>
                <w:color w:val="auto"/>
              </w:rPr>
            </w:pPr>
            <w:r>
              <w:rPr>
                <w:rFonts w:ascii="Arial" w:cs="Arial" w:eastAsia="Arial" w:hAnsi="Arial"/>
                <w:sz w:val="13"/>
                <w:szCs w:val="13"/>
                <w:color w:val="auto"/>
                <w:w w:val="97"/>
              </w:rPr>
              <w:t>28,450 (2)</w:t>
            </w:r>
          </w:p>
        </w:tc>
        <w:tc>
          <w:tcPr>
            <w:tcW w:w="1040" w:type="dxa"/>
            <w:vAlign w:val="bottom"/>
          </w:tcPr>
          <w:p>
            <w:pPr>
              <w:jc w:val="center"/>
              <w:spacing w:after="0"/>
              <w:rPr>
                <w:sz w:val="20"/>
                <w:szCs w:val="20"/>
                <w:color w:val="auto"/>
              </w:rPr>
            </w:pPr>
            <w:r>
              <w:rPr>
                <w:rFonts w:ascii="Arial" w:cs="Arial" w:eastAsia="Arial" w:hAnsi="Arial"/>
                <w:sz w:val="13"/>
                <w:szCs w:val="13"/>
                <w:color w:val="001446"/>
                <w:w w:val="99"/>
              </w:rPr>
              <w:t>$820,783</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40" w:type="dxa"/>
            <w:vAlign w:val="bottom"/>
            <w:tcBorders>
              <w:left w:val="single" w:sz="8" w:color="F2F2F2"/>
            </w:tcBorders>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1040" w:type="dxa"/>
            <w:vAlign w:val="bottom"/>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71,122 (4)</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$2,051,870</w:t>
            </w:r>
          </w:p>
        </w:tc>
        <w:tc>
          <w:tcPr>
            <w:tcW w:w="0" w:type="dxa"/>
            <w:vAlign w:val="bottom"/>
          </w:tcPr>
          <w:p>
            <w:pPr>
              <w:spacing w:after="0"/>
              <w:rPr>
                <w:sz w:val="1"/>
                <w:szCs w:val="1"/>
                <w:color w:val="auto"/>
              </w:rPr>
            </w:pPr>
          </w:p>
        </w:tc>
      </w:tr>
      <w:tr>
        <w:trPr>
          <w:trHeight w:val="199"/>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center"/>
              <w:ind w:left="37"/>
              <w:spacing w:after="0"/>
              <w:rPr>
                <w:sz w:val="20"/>
                <w:szCs w:val="20"/>
                <w:color w:val="auto"/>
              </w:rPr>
            </w:pPr>
            <w:r>
              <w:rPr>
                <w:rFonts w:ascii="Arial" w:cs="Arial" w:eastAsia="Arial" w:hAnsi="Arial"/>
                <w:sz w:val="13"/>
                <w:szCs w:val="13"/>
                <w:color w:val="auto"/>
                <w:w w:val="99"/>
              </w:rPr>
              <w:t>115,287 (3)</w:t>
            </w:r>
          </w:p>
        </w:tc>
        <w:tc>
          <w:tcPr>
            <w:tcW w:w="1040" w:type="dxa"/>
            <w:vAlign w:val="bottom"/>
          </w:tcPr>
          <w:p>
            <w:pPr>
              <w:jc w:val="center"/>
              <w:spacing w:after="0"/>
              <w:rPr>
                <w:sz w:val="20"/>
                <w:szCs w:val="20"/>
                <w:color w:val="auto"/>
              </w:rPr>
            </w:pPr>
            <w:r>
              <w:rPr>
                <w:rFonts w:ascii="Arial" w:cs="Arial" w:eastAsia="Arial" w:hAnsi="Arial"/>
                <w:sz w:val="13"/>
                <w:szCs w:val="13"/>
                <w:color w:val="001446"/>
                <w:w w:val="98"/>
              </w:rPr>
              <w:t>$3,326,030</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Borders>
              <w:left w:val="single" w:sz="8" w:color="F2F2F2"/>
              <w:bottom w:val="single" w:sz="8" w:color="F2F2F2"/>
            </w:tcBorders>
            <w:shd w:val="clear" w:color="auto" w:fill="F2F2F2"/>
          </w:tcPr>
          <w:p>
            <w:pPr>
              <w:spacing w:after="0"/>
              <w:rPr>
                <w:sz w:val="17"/>
                <w:szCs w:val="17"/>
                <w:color w:val="auto"/>
              </w:rPr>
            </w:pPr>
          </w:p>
        </w:tc>
        <w:tc>
          <w:tcPr>
            <w:tcW w:w="1160" w:type="dxa"/>
            <w:vAlign w:val="bottom"/>
            <w:tcBorders>
              <w:bottom w:val="single" w:sz="8" w:color="F2F2F2"/>
            </w:tcBorders>
            <w:shd w:val="clear" w:color="auto" w:fill="F2F2F2"/>
          </w:tcPr>
          <w:p>
            <w:pPr>
              <w:spacing w:after="0"/>
              <w:rPr>
                <w:sz w:val="17"/>
                <w:szCs w:val="17"/>
                <w:color w:val="auto"/>
              </w:rPr>
            </w:pPr>
          </w:p>
        </w:tc>
        <w:tc>
          <w:tcPr>
            <w:tcW w:w="1340" w:type="dxa"/>
            <w:vAlign w:val="bottom"/>
            <w:tcBorders>
              <w:bottom w:val="single" w:sz="8" w:color="F2F2F2"/>
            </w:tcBorders>
            <w:shd w:val="clear" w:color="auto" w:fill="F2F2F2"/>
          </w:tcPr>
          <w:p>
            <w:pPr>
              <w:spacing w:after="0"/>
              <w:rPr>
                <w:sz w:val="17"/>
                <w:szCs w:val="17"/>
                <w:color w:val="auto"/>
              </w:rPr>
            </w:pPr>
          </w:p>
        </w:tc>
        <w:tc>
          <w:tcPr>
            <w:tcW w:w="1280" w:type="dxa"/>
            <w:vAlign w:val="bottom"/>
            <w:tcBorders>
              <w:bottom w:val="single" w:sz="8" w:color="F2F2F2"/>
            </w:tcBorders>
            <w:shd w:val="clear" w:color="auto" w:fill="F2F2F2"/>
          </w:tcPr>
          <w:p>
            <w:pPr>
              <w:spacing w:after="0"/>
              <w:rPr>
                <w:sz w:val="17"/>
                <w:szCs w:val="17"/>
                <w:color w:val="auto"/>
              </w:rPr>
            </w:pPr>
          </w:p>
        </w:tc>
        <w:tc>
          <w:tcPr>
            <w:tcW w:w="860" w:type="dxa"/>
            <w:vAlign w:val="bottom"/>
            <w:tcBorders>
              <w:bottom w:val="single" w:sz="8" w:color="F2F2F2"/>
            </w:tcBorders>
            <w:shd w:val="clear" w:color="auto" w:fill="F2F2F2"/>
          </w:tcPr>
          <w:p>
            <w:pPr>
              <w:spacing w:after="0"/>
              <w:rPr>
                <w:sz w:val="17"/>
                <w:szCs w:val="17"/>
                <w:color w:val="auto"/>
              </w:rPr>
            </w:pPr>
          </w:p>
        </w:tc>
        <w:tc>
          <w:tcPr>
            <w:tcW w:w="1120" w:type="dxa"/>
            <w:vAlign w:val="bottom"/>
            <w:tcBorders>
              <w:bottom w:val="single" w:sz="8" w:color="F2F2F2"/>
            </w:tcBorders>
            <w:shd w:val="clear" w:color="auto" w:fill="F2F2F2"/>
          </w:tcPr>
          <w:p>
            <w:pPr>
              <w:spacing w:after="0"/>
              <w:rPr>
                <w:sz w:val="17"/>
                <w:szCs w:val="17"/>
                <w:color w:val="auto"/>
              </w:rPr>
            </w:pPr>
          </w:p>
        </w:tc>
        <w:tc>
          <w:tcPr>
            <w:tcW w:w="1040" w:type="dxa"/>
            <w:vAlign w:val="bottom"/>
            <w:tcBorders>
              <w:bottom w:val="single" w:sz="8" w:color="F2F2F2"/>
            </w:tcBorders>
            <w:shd w:val="clear" w:color="auto" w:fill="F2F2F2"/>
          </w:tcPr>
          <w:p>
            <w:pPr>
              <w:spacing w:after="0"/>
              <w:rPr>
                <w:sz w:val="17"/>
                <w:szCs w:val="17"/>
                <w:color w:val="auto"/>
              </w:rPr>
            </w:pP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9"/>
              </w:rPr>
              <w:t>141,890 (4)</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8"/>
              </w:rPr>
              <w:t>$4,093,527</w:t>
            </w:r>
          </w:p>
        </w:tc>
        <w:tc>
          <w:tcPr>
            <w:tcW w:w="0" w:type="dxa"/>
            <w:vAlign w:val="bottom"/>
          </w:tcPr>
          <w:p>
            <w:pPr>
              <w:spacing w:after="0"/>
              <w:rPr>
                <w:sz w:val="1"/>
                <w:szCs w:val="1"/>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9"/>
              </w:rPr>
              <w:t>Asaf Alperovitz</w:t>
            </w:r>
          </w:p>
        </w:tc>
        <w:tc>
          <w:tcPr>
            <w:tcW w:w="1160" w:type="dxa"/>
            <w:vAlign w:val="bottom"/>
            <w:shd w:val="clear" w:color="auto" w:fill="F2F2F2"/>
          </w:tcPr>
          <w:p>
            <w:pPr>
              <w:spacing w:after="0"/>
              <w:rPr>
                <w:sz w:val="19"/>
                <w:szCs w:val="19"/>
                <w:color w:val="auto"/>
              </w:rPr>
            </w:pPr>
          </w:p>
        </w:tc>
        <w:tc>
          <w:tcPr>
            <w:tcW w:w="1340" w:type="dxa"/>
            <w:vAlign w:val="bottom"/>
            <w:shd w:val="clear" w:color="auto" w:fill="F2F2F2"/>
          </w:tcPr>
          <w:p>
            <w:pPr>
              <w:spacing w:after="0"/>
              <w:rPr>
                <w:sz w:val="19"/>
                <w:szCs w:val="19"/>
                <w:color w:val="auto"/>
              </w:rPr>
            </w:pPr>
          </w:p>
        </w:tc>
        <w:tc>
          <w:tcPr>
            <w:tcW w:w="1280" w:type="dxa"/>
            <w:vAlign w:val="bottom"/>
            <w:shd w:val="clear" w:color="auto" w:fill="F2F2F2"/>
          </w:tcPr>
          <w:p>
            <w:pPr>
              <w:spacing w:after="0"/>
              <w:rPr>
                <w:sz w:val="19"/>
                <w:szCs w:val="19"/>
                <w:color w:val="auto"/>
              </w:rPr>
            </w:pPr>
          </w:p>
        </w:tc>
        <w:tc>
          <w:tcPr>
            <w:tcW w:w="860" w:type="dxa"/>
            <w:vAlign w:val="bottom"/>
            <w:shd w:val="clear" w:color="auto" w:fill="F2F2F2"/>
          </w:tcPr>
          <w:p>
            <w:pPr>
              <w:spacing w:after="0"/>
              <w:rPr>
                <w:sz w:val="19"/>
                <w:szCs w:val="19"/>
                <w:color w:val="auto"/>
              </w:rPr>
            </w:pPr>
          </w:p>
        </w:tc>
        <w:tc>
          <w:tcPr>
            <w:tcW w:w="1120" w:type="dxa"/>
            <w:vAlign w:val="bottom"/>
            <w:shd w:val="clear" w:color="auto" w:fill="F2F2F2"/>
          </w:tcPr>
          <w:p>
            <w:pPr>
              <w:jc w:val="center"/>
              <w:ind w:left="37"/>
              <w:spacing w:after="0"/>
              <w:rPr>
                <w:sz w:val="20"/>
                <w:szCs w:val="20"/>
                <w:color w:val="auto"/>
              </w:rPr>
            </w:pPr>
            <w:r>
              <w:rPr>
                <w:rFonts w:ascii="Arial" w:cs="Arial" w:eastAsia="Arial" w:hAnsi="Arial"/>
                <w:sz w:val="13"/>
                <w:szCs w:val="13"/>
                <w:color w:val="auto"/>
                <w:w w:val="97"/>
              </w:rPr>
              <w:t>37,360 (5)</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$1,077,836</w:t>
            </w:r>
          </w:p>
        </w:tc>
        <w:tc>
          <w:tcPr>
            <w:tcW w:w="880" w:type="dxa"/>
            <w:vAlign w:val="bottom"/>
            <w:shd w:val="clear" w:color="auto" w:fill="F2F2F2"/>
          </w:tcPr>
          <w:p>
            <w:pPr>
              <w:spacing w:after="0"/>
              <w:rPr>
                <w:sz w:val="19"/>
                <w:szCs w:val="19"/>
                <w:color w:val="auto"/>
              </w:rPr>
            </w:pPr>
          </w:p>
        </w:tc>
        <w:tc>
          <w:tcPr>
            <w:tcW w:w="10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37,360 (4)</w:t>
            </w:r>
          </w:p>
        </w:tc>
        <w:tc>
          <w:tcPr>
            <w:tcW w:w="1060" w:type="dxa"/>
            <w:vAlign w:val="bottom"/>
          </w:tcPr>
          <w:p>
            <w:pPr>
              <w:jc w:val="center"/>
              <w:spacing w:after="0"/>
              <w:rPr>
                <w:sz w:val="20"/>
                <w:szCs w:val="20"/>
                <w:color w:val="auto"/>
              </w:rPr>
            </w:pPr>
            <w:r>
              <w:rPr>
                <w:rFonts w:ascii="Arial" w:cs="Arial" w:eastAsia="Arial" w:hAnsi="Arial"/>
                <w:sz w:val="13"/>
                <w:szCs w:val="13"/>
                <w:color w:val="001446"/>
                <w:w w:val="98"/>
              </w:rPr>
              <w:t>$1,077,836</w:t>
            </w:r>
          </w:p>
        </w:tc>
        <w:tc>
          <w:tcPr>
            <w:tcW w:w="0" w:type="dxa"/>
            <w:vAlign w:val="bottom"/>
          </w:tcPr>
          <w:p>
            <w:pPr>
              <w:spacing w:after="0"/>
              <w:rPr>
                <w:sz w:val="1"/>
                <w:szCs w:val="1"/>
                <w:color w:val="auto"/>
              </w:rPr>
            </w:pPr>
          </w:p>
        </w:tc>
      </w:tr>
      <w:tr>
        <w:trPr>
          <w:trHeight w:val="32"/>
        </w:trPr>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Uri Bechor</w:t>
            </w: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540" w:type="dxa"/>
            <w:vAlign w:val="bottom"/>
            <w:vMerge w:val="continue"/>
          </w:tcPr>
          <w:p>
            <w:pPr>
              <w:spacing w:after="0"/>
              <w:rPr>
                <w:sz w:val="17"/>
                <w:szCs w:val="17"/>
                <w:color w:val="auto"/>
              </w:rPr>
            </w:pPr>
          </w:p>
        </w:tc>
        <w:tc>
          <w:tcPr>
            <w:tcW w:w="1160" w:type="dxa"/>
            <w:vAlign w:val="bottom"/>
            <w:tcBorders>
              <w:bottom w:val="single" w:sz="8" w:color="F2F2F2"/>
            </w:tcBorders>
            <w:shd w:val="clear" w:color="auto" w:fill="F2F2F2"/>
          </w:tcPr>
          <w:p>
            <w:pPr>
              <w:jc w:val="center"/>
              <w:ind w:right="56"/>
              <w:spacing w:after="0"/>
              <w:rPr>
                <w:sz w:val="20"/>
                <w:szCs w:val="20"/>
                <w:color w:val="auto"/>
              </w:rPr>
            </w:pPr>
            <w:r>
              <w:rPr>
                <w:rFonts w:ascii="Arial" w:cs="Arial" w:eastAsia="Arial" w:hAnsi="Arial"/>
                <w:sz w:val="13"/>
                <w:szCs w:val="13"/>
                <w:color w:val="auto"/>
                <w:w w:val="98"/>
              </w:rPr>
              <w:t>3,815</w:t>
            </w:r>
          </w:p>
        </w:tc>
        <w:tc>
          <w:tcPr>
            <w:tcW w:w="13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F2F2F2"/>
            </w:tcBorders>
            <w:shd w:val="clear" w:color="auto" w:fill="F2F2F2"/>
          </w:tcPr>
          <w:p>
            <w:pPr>
              <w:jc w:val="center"/>
              <w:ind w:left="36"/>
              <w:spacing w:after="0"/>
              <w:rPr>
                <w:sz w:val="20"/>
                <w:szCs w:val="20"/>
                <w:color w:val="auto"/>
              </w:rPr>
            </w:pPr>
            <w:r>
              <w:rPr>
                <w:rFonts w:ascii="Arial" w:cs="Arial" w:eastAsia="Arial" w:hAnsi="Arial"/>
                <w:sz w:val="13"/>
                <w:szCs w:val="13"/>
                <w:color w:val="auto"/>
                <w:w w:val="97"/>
              </w:rPr>
              <w:t>$101.81</w:t>
            </w:r>
          </w:p>
        </w:tc>
        <w:tc>
          <w:tcPr>
            <w:tcW w:w="860" w:type="dxa"/>
            <w:vAlign w:val="bottom"/>
            <w:tcBorders>
              <w:bottom w:val="single" w:sz="8" w:color="F2F2F2"/>
            </w:tcBorders>
            <w:shd w:val="clear" w:color="auto" w:fill="F2F2F2"/>
          </w:tcPr>
          <w:p>
            <w:pPr>
              <w:jc w:val="right"/>
              <w:ind w:right="140"/>
              <w:spacing w:after="0"/>
              <w:rPr>
                <w:sz w:val="20"/>
                <w:szCs w:val="20"/>
                <w:color w:val="auto"/>
              </w:rPr>
            </w:pPr>
            <w:r>
              <w:rPr>
                <w:rFonts w:ascii="Arial" w:cs="Arial" w:eastAsia="Arial" w:hAnsi="Arial"/>
                <w:sz w:val="13"/>
                <w:szCs w:val="13"/>
                <w:color w:val="auto"/>
              </w:rPr>
              <w:t>01-02-30</w:t>
            </w:r>
          </w:p>
        </w:tc>
        <w:tc>
          <w:tcPr>
            <w:tcW w:w="1120" w:type="dxa"/>
            <w:vAlign w:val="bottom"/>
            <w:tcBorders>
              <w:bottom w:val="single" w:sz="8" w:color="F2F2F2"/>
            </w:tcBorders>
            <w:shd w:val="clear" w:color="auto" w:fill="F2F2F2"/>
          </w:tcPr>
          <w:p>
            <w:pPr>
              <w:spacing w:after="0"/>
              <w:rPr>
                <w:sz w:val="17"/>
                <w:szCs w:val="17"/>
                <w:color w:val="auto"/>
              </w:rPr>
            </w:pPr>
          </w:p>
        </w:tc>
        <w:tc>
          <w:tcPr>
            <w:tcW w:w="1040" w:type="dxa"/>
            <w:vAlign w:val="bottom"/>
            <w:tcBorders>
              <w:bottom w:val="single" w:sz="8" w:color="F2F2F2"/>
            </w:tcBorders>
            <w:shd w:val="clear" w:color="auto" w:fill="F2F2F2"/>
          </w:tcPr>
          <w:p>
            <w:pPr>
              <w:spacing w:after="0"/>
              <w:rPr>
                <w:sz w:val="17"/>
                <w:szCs w:val="17"/>
                <w:color w:val="auto"/>
              </w:rPr>
            </w:pPr>
          </w:p>
        </w:tc>
        <w:tc>
          <w:tcPr>
            <w:tcW w:w="880" w:type="dxa"/>
            <w:vAlign w:val="bottom"/>
            <w:tcBorders>
              <w:bottom w:val="single" w:sz="8" w:color="F2F2F2"/>
            </w:tcBorders>
            <w:shd w:val="clear" w:color="auto" w:fill="F2F2F2"/>
          </w:tcPr>
          <w:p>
            <w:pPr>
              <w:spacing w:after="0"/>
              <w:rPr>
                <w:sz w:val="17"/>
                <w:szCs w:val="17"/>
                <w:color w:val="auto"/>
              </w:rPr>
            </w:pPr>
          </w:p>
        </w:tc>
        <w:tc>
          <w:tcPr>
            <w:tcW w:w="106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1160" w:type="dxa"/>
            <w:vAlign w:val="bottom"/>
          </w:tcPr>
          <w:p>
            <w:pPr>
              <w:jc w:val="center"/>
              <w:ind w:right="56"/>
              <w:spacing w:after="0"/>
              <w:rPr>
                <w:sz w:val="20"/>
                <w:szCs w:val="20"/>
                <w:color w:val="auto"/>
              </w:rPr>
            </w:pPr>
            <w:r>
              <w:rPr>
                <w:rFonts w:ascii="Arial" w:cs="Arial" w:eastAsia="Arial" w:hAnsi="Arial"/>
                <w:sz w:val="13"/>
                <w:szCs w:val="13"/>
                <w:color w:val="auto"/>
                <w:w w:val="98"/>
              </w:rPr>
              <w:t>2,436</w:t>
            </w: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280" w:type="dxa"/>
            <w:vAlign w:val="bottom"/>
          </w:tcPr>
          <w:p>
            <w:pPr>
              <w:jc w:val="center"/>
              <w:ind w:left="36"/>
              <w:spacing w:after="0"/>
              <w:rPr>
                <w:sz w:val="20"/>
                <w:szCs w:val="20"/>
                <w:color w:val="auto"/>
              </w:rPr>
            </w:pPr>
            <w:r>
              <w:rPr>
                <w:rFonts w:ascii="Arial" w:cs="Arial" w:eastAsia="Arial" w:hAnsi="Arial"/>
                <w:sz w:val="13"/>
                <w:szCs w:val="13"/>
                <w:color w:val="auto"/>
                <w:w w:val="97"/>
              </w:rPr>
              <w:t>$311.35</w:t>
            </w:r>
          </w:p>
        </w:tc>
        <w:tc>
          <w:tcPr>
            <w:tcW w:w="860" w:type="dxa"/>
            <w:vAlign w:val="bottom"/>
          </w:tcPr>
          <w:p>
            <w:pPr>
              <w:jc w:val="center"/>
              <w:spacing w:after="0"/>
              <w:rPr>
                <w:sz w:val="20"/>
                <w:szCs w:val="20"/>
                <w:color w:val="auto"/>
              </w:rPr>
            </w:pPr>
            <w:r>
              <w:rPr>
                <w:rFonts w:ascii="Arial" w:cs="Arial" w:eastAsia="Arial" w:hAnsi="Arial"/>
                <w:sz w:val="13"/>
                <w:szCs w:val="13"/>
                <w:color w:val="001446"/>
                <w:w w:val="96"/>
              </w:rPr>
              <w:t>01-05-31</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1540" w:type="dxa"/>
            <w:vAlign w:val="bottom"/>
            <w:tcBorders>
              <w:left w:val="single" w:sz="8" w:color="F2F2F2"/>
            </w:tcBorders>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jc w:val="center"/>
              <w:ind w:left="37"/>
              <w:spacing w:after="0"/>
              <w:rPr>
                <w:sz w:val="20"/>
                <w:szCs w:val="20"/>
                <w:color w:val="auto"/>
              </w:rPr>
            </w:pPr>
            <w:r>
              <w:rPr>
                <w:rFonts w:ascii="Arial" w:cs="Arial" w:eastAsia="Arial" w:hAnsi="Arial"/>
                <w:sz w:val="13"/>
                <w:szCs w:val="13"/>
                <w:color w:val="001446"/>
              </w:rPr>
              <w:t>222 (6)</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5"/>
              </w:rPr>
              <w:t>$6,405</w:t>
            </w:r>
          </w:p>
        </w:tc>
        <w:tc>
          <w:tcPr>
            <w:tcW w:w="88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center"/>
              <w:ind w:left="37"/>
              <w:spacing w:after="0"/>
              <w:rPr>
                <w:sz w:val="20"/>
                <w:szCs w:val="20"/>
                <w:color w:val="auto"/>
              </w:rPr>
            </w:pPr>
            <w:r>
              <w:rPr>
                <w:rFonts w:ascii="Arial" w:cs="Arial" w:eastAsia="Arial" w:hAnsi="Arial"/>
                <w:sz w:val="13"/>
                <w:szCs w:val="13"/>
                <w:color w:val="001446"/>
                <w:w w:val="96"/>
              </w:rPr>
              <w:t>1,205 (7)</w:t>
            </w:r>
          </w:p>
        </w:tc>
        <w:tc>
          <w:tcPr>
            <w:tcW w:w="1040" w:type="dxa"/>
            <w:vAlign w:val="bottom"/>
          </w:tcPr>
          <w:p>
            <w:pPr>
              <w:jc w:val="center"/>
              <w:spacing w:after="0"/>
              <w:rPr>
                <w:sz w:val="20"/>
                <w:szCs w:val="20"/>
                <w:color w:val="auto"/>
              </w:rPr>
            </w:pPr>
            <w:r>
              <w:rPr>
                <w:rFonts w:ascii="Arial" w:cs="Arial" w:eastAsia="Arial" w:hAnsi="Arial"/>
                <w:sz w:val="13"/>
                <w:szCs w:val="13"/>
                <w:color w:val="001446"/>
                <w:w w:val="97"/>
              </w:rPr>
              <w:t>$34,764</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40" w:type="dxa"/>
            <w:vAlign w:val="bottom"/>
            <w:tcBorders>
              <w:left w:val="single" w:sz="8" w:color="F2F2F2"/>
            </w:tcBorders>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jc w:val="center"/>
              <w:ind w:left="37"/>
              <w:spacing w:after="0"/>
              <w:rPr>
                <w:sz w:val="20"/>
                <w:szCs w:val="20"/>
                <w:color w:val="auto"/>
              </w:rPr>
            </w:pPr>
            <w:r>
              <w:rPr>
                <w:rFonts w:ascii="Arial" w:cs="Arial" w:eastAsia="Arial" w:hAnsi="Arial"/>
                <w:sz w:val="13"/>
                <w:szCs w:val="13"/>
                <w:color w:val="001446"/>
                <w:w w:val="96"/>
              </w:rPr>
              <w:t>6,073 (8)</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9"/>
              </w:rPr>
              <w:t>$175,206</w:t>
            </w:r>
          </w:p>
        </w:tc>
        <w:tc>
          <w:tcPr>
            <w:tcW w:w="88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1446"/>
                <w:w w:val="96"/>
              </w:rPr>
              <w:t>9,986 (9)</w:t>
            </w:r>
          </w:p>
        </w:tc>
        <w:tc>
          <w:tcPr>
            <w:tcW w:w="1060" w:type="dxa"/>
            <w:vAlign w:val="bottom"/>
          </w:tcPr>
          <w:p>
            <w:pPr>
              <w:jc w:val="center"/>
              <w:spacing w:after="0"/>
              <w:rPr>
                <w:sz w:val="20"/>
                <w:szCs w:val="20"/>
                <w:color w:val="auto"/>
              </w:rPr>
            </w:pPr>
            <w:r>
              <w:rPr>
                <w:rFonts w:ascii="Arial" w:cs="Arial" w:eastAsia="Arial" w:hAnsi="Arial"/>
                <w:sz w:val="13"/>
                <w:szCs w:val="13"/>
                <w:color w:val="001446"/>
                <w:w w:val="95"/>
              </w:rPr>
              <w:t>$288,096</w:t>
            </w:r>
          </w:p>
        </w:tc>
        <w:tc>
          <w:tcPr>
            <w:tcW w:w="0" w:type="dxa"/>
            <w:vAlign w:val="bottom"/>
          </w:tcPr>
          <w:p>
            <w:pPr>
              <w:spacing w:after="0"/>
              <w:rPr>
                <w:sz w:val="1"/>
                <w:szCs w:val="1"/>
                <w:color w:val="auto"/>
              </w:rPr>
            </w:pPr>
          </w:p>
        </w:tc>
      </w:tr>
      <w:tr>
        <w:trPr>
          <w:trHeight w:val="218"/>
        </w:trPr>
        <w:tc>
          <w:tcPr>
            <w:tcW w:w="1540" w:type="dxa"/>
            <w:vAlign w:val="bottom"/>
            <w:tcBorders>
              <w:left w:val="single" w:sz="8" w:color="F2F2F2"/>
            </w:tcBorders>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jc w:val="center"/>
              <w:ind w:left="37"/>
              <w:spacing w:after="0"/>
              <w:rPr>
                <w:sz w:val="20"/>
                <w:szCs w:val="20"/>
                <w:color w:val="auto"/>
              </w:rPr>
            </w:pPr>
            <w:r>
              <w:rPr>
                <w:rFonts w:ascii="Arial" w:cs="Arial" w:eastAsia="Arial" w:hAnsi="Arial"/>
                <w:sz w:val="13"/>
                <w:szCs w:val="13"/>
                <w:color w:val="001446"/>
                <w:w w:val="99"/>
              </w:rPr>
              <w:t>90,000 (10)</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color w:val="001446"/>
              </w:rPr>
              <w:t>$2,596,500</w:t>
            </w:r>
          </w:p>
        </w:tc>
        <w:tc>
          <w:tcPr>
            <w:tcW w:w="88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1446"/>
                <w:w w:val="97"/>
              </w:rPr>
              <w:t>60,000 (4)</w:t>
            </w:r>
          </w:p>
        </w:tc>
        <w:tc>
          <w:tcPr>
            <w:tcW w:w="1060" w:type="dxa"/>
            <w:vAlign w:val="bottom"/>
          </w:tcPr>
          <w:p>
            <w:pPr>
              <w:jc w:val="center"/>
              <w:spacing w:after="0"/>
              <w:rPr>
                <w:sz w:val="20"/>
                <w:szCs w:val="20"/>
                <w:color w:val="auto"/>
              </w:rPr>
            </w:pPr>
            <w:r>
              <w:rPr>
                <w:rFonts w:ascii="Arial" w:cs="Arial" w:eastAsia="Arial" w:hAnsi="Arial"/>
                <w:sz w:val="13"/>
                <w:szCs w:val="13"/>
                <w:color w:val="001446"/>
                <w:w w:val="98"/>
              </w:rPr>
              <w:t>$1,731,000</w:t>
            </w:r>
          </w:p>
        </w:tc>
        <w:tc>
          <w:tcPr>
            <w:tcW w:w="0" w:type="dxa"/>
            <w:vAlign w:val="bottom"/>
          </w:tcPr>
          <w:p>
            <w:pPr>
              <w:spacing w:after="0"/>
              <w:rPr>
                <w:sz w:val="1"/>
                <w:szCs w:val="1"/>
                <w:color w:val="auto"/>
              </w:rPr>
            </w:pPr>
          </w:p>
        </w:tc>
      </w:tr>
      <w:tr>
        <w:trPr>
          <w:trHeight w:val="198"/>
        </w:trPr>
        <w:tc>
          <w:tcPr>
            <w:tcW w:w="1540" w:type="dxa"/>
            <w:vAlign w:val="bottom"/>
            <w:tcBorders>
              <w:left w:val="single" w:sz="8" w:color="F2F2F2"/>
              <w:bottom w:val="single" w:sz="8" w:color="F2F2F2"/>
            </w:tcBorders>
            <w:shd w:val="clear" w:color="auto" w:fill="F2F2F2"/>
          </w:tcPr>
          <w:p>
            <w:pPr>
              <w:spacing w:after="0"/>
              <w:rPr>
                <w:sz w:val="17"/>
                <w:szCs w:val="17"/>
                <w:color w:val="auto"/>
              </w:rPr>
            </w:pPr>
          </w:p>
        </w:tc>
        <w:tc>
          <w:tcPr>
            <w:tcW w:w="1160" w:type="dxa"/>
            <w:vAlign w:val="bottom"/>
            <w:tcBorders>
              <w:bottom w:val="single" w:sz="8" w:color="F2F2F2"/>
            </w:tcBorders>
            <w:shd w:val="clear" w:color="auto" w:fill="F2F2F2"/>
          </w:tcPr>
          <w:p>
            <w:pPr>
              <w:spacing w:after="0"/>
              <w:rPr>
                <w:sz w:val="17"/>
                <w:szCs w:val="17"/>
                <w:color w:val="auto"/>
              </w:rPr>
            </w:pPr>
          </w:p>
        </w:tc>
        <w:tc>
          <w:tcPr>
            <w:tcW w:w="1340" w:type="dxa"/>
            <w:vAlign w:val="bottom"/>
            <w:tcBorders>
              <w:bottom w:val="single" w:sz="8" w:color="F2F2F2"/>
            </w:tcBorders>
            <w:shd w:val="clear" w:color="auto" w:fill="F2F2F2"/>
          </w:tcPr>
          <w:p>
            <w:pPr>
              <w:spacing w:after="0"/>
              <w:rPr>
                <w:sz w:val="17"/>
                <w:szCs w:val="17"/>
                <w:color w:val="auto"/>
              </w:rPr>
            </w:pPr>
          </w:p>
        </w:tc>
        <w:tc>
          <w:tcPr>
            <w:tcW w:w="1280" w:type="dxa"/>
            <w:vAlign w:val="bottom"/>
            <w:tcBorders>
              <w:bottom w:val="single" w:sz="8" w:color="F2F2F2"/>
            </w:tcBorders>
            <w:shd w:val="clear" w:color="auto" w:fill="F2F2F2"/>
          </w:tcPr>
          <w:p>
            <w:pPr>
              <w:spacing w:after="0"/>
              <w:rPr>
                <w:sz w:val="17"/>
                <w:szCs w:val="17"/>
                <w:color w:val="auto"/>
              </w:rPr>
            </w:pPr>
          </w:p>
        </w:tc>
        <w:tc>
          <w:tcPr>
            <w:tcW w:w="860" w:type="dxa"/>
            <w:vAlign w:val="bottom"/>
            <w:tcBorders>
              <w:bottom w:val="single" w:sz="8" w:color="F2F2F2"/>
            </w:tcBorders>
            <w:shd w:val="clear" w:color="auto" w:fill="F2F2F2"/>
          </w:tcPr>
          <w:p>
            <w:pPr>
              <w:spacing w:after="0"/>
              <w:rPr>
                <w:sz w:val="17"/>
                <w:szCs w:val="17"/>
                <w:color w:val="auto"/>
              </w:rPr>
            </w:pPr>
          </w:p>
        </w:tc>
        <w:tc>
          <w:tcPr>
            <w:tcW w:w="1120" w:type="dxa"/>
            <w:vAlign w:val="bottom"/>
            <w:tcBorders>
              <w:bottom w:val="single" w:sz="8" w:color="F2F2F2"/>
            </w:tcBorders>
            <w:shd w:val="clear" w:color="auto" w:fill="F2F2F2"/>
          </w:tcPr>
          <w:p>
            <w:pPr>
              <w:jc w:val="center"/>
              <w:ind w:left="37"/>
              <w:spacing w:after="0"/>
              <w:rPr>
                <w:sz w:val="20"/>
                <w:szCs w:val="20"/>
                <w:color w:val="auto"/>
              </w:rPr>
            </w:pPr>
            <w:r>
              <w:rPr>
                <w:rFonts w:ascii="Arial" w:cs="Arial" w:eastAsia="Arial" w:hAnsi="Arial"/>
                <w:sz w:val="13"/>
                <w:szCs w:val="13"/>
                <w:color w:val="001446"/>
                <w:w w:val="97"/>
              </w:rPr>
              <w:t>32,939 (3)</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001446"/>
                <w:w w:val="99"/>
              </w:rPr>
              <w:t>$950,290</w:t>
            </w:r>
          </w:p>
        </w:tc>
        <w:tc>
          <w:tcPr>
            <w:tcW w:w="880" w:type="dxa"/>
            <w:vAlign w:val="bottom"/>
            <w:tcBorders>
              <w:bottom w:val="single" w:sz="8" w:color="F2F2F2"/>
            </w:tcBorders>
            <w:shd w:val="clear" w:color="auto" w:fill="F2F2F2"/>
          </w:tcPr>
          <w:p>
            <w:pPr>
              <w:spacing w:after="0"/>
              <w:rPr>
                <w:sz w:val="17"/>
                <w:szCs w:val="17"/>
                <w:color w:val="auto"/>
              </w:rPr>
            </w:pPr>
          </w:p>
        </w:tc>
        <w:tc>
          <w:tcPr>
            <w:tcW w:w="106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1446"/>
                <w:w w:val="97"/>
              </w:rPr>
              <w:t>40,540 (4)</w:t>
            </w:r>
          </w:p>
        </w:tc>
        <w:tc>
          <w:tcPr>
            <w:tcW w:w="1060" w:type="dxa"/>
            <w:vAlign w:val="bottom"/>
          </w:tcPr>
          <w:p>
            <w:pPr>
              <w:jc w:val="center"/>
              <w:spacing w:after="0"/>
              <w:rPr>
                <w:sz w:val="20"/>
                <w:szCs w:val="20"/>
                <w:color w:val="auto"/>
              </w:rPr>
            </w:pPr>
            <w:r>
              <w:rPr>
                <w:rFonts w:ascii="Arial" w:cs="Arial" w:eastAsia="Arial" w:hAnsi="Arial"/>
                <w:sz w:val="13"/>
                <w:szCs w:val="13"/>
                <w:color w:val="001446"/>
                <w:w w:val="98"/>
              </w:rPr>
              <w:t>$1,169,579</w:t>
            </w:r>
          </w:p>
        </w:tc>
        <w:tc>
          <w:tcPr>
            <w:tcW w:w="0" w:type="dxa"/>
            <w:vAlign w:val="bottom"/>
          </w:tcPr>
          <w:p>
            <w:pPr>
              <w:spacing w:after="0"/>
              <w:rPr>
                <w:sz w:val="1"/>
                <w:szCs w:val="1"/>
                <w:color w:val="auto"/>
              </w:rPr>
            </w:pPr>
          </w:p>
        </w:tc>
      </w:tr>
      <w:tr>
        <w:trPr>
          <w:trHeight w:val="27"/>
        </w:trPr>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Daniel Huber</w:t>
            </w: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540" w:type="dxa"/>
            <w:vAlign w:val="bottom"/>
            <w:vMerge w:val="continue"/>
          </w:tcPr>
          <w:p>
            <w:pPr>
              <w:spacing w:after="0"/>
              <w:rPr>
                <w:sz w:val="17"/>
                <w:szCs w:val="17"/>
                <w:color w:val="auto"/>
              </w:rPr>
            </w:pPr>
          </w:p>
        </w:tc>
        <w:tc>
          <w:tcPr>
            <w:tcW w:w="1160" w:type="dxa"/>
            <w:vAlign w:val="bottom"/>
            <w:tcBorders>
              <w:bottom w:val="single" w:sz="8" w:color="F2F2F2"/>
            </w:tcBorders>
            <w:shd w:val="clear" w:color="auto" w:fill="F2F2F2"/>
          </w:tcPr>
          <w:p>
            <w:pPr>
              <w:spacing w:after="0"/>
              <w:rPr>
                <w:sz w:val="17"/>
                <w:szCs w:val="17"/>
                <w:color w:val="auto"/>
              </w:rPr>
            </w:pPr>
          </w:p>
        </w:tc>
        <w:tc>
          <w:tcPr>
            <w:tcW w:w="1340" w:type="dxa"/>
            <w:vAlign w:val="bottom"/>
            <w:tcBorders>
              <w:bottom w:val="single" w:sz="8" w:color="F2F2F2"/>
            </w:tcBorders>
            <w:shd w:val="clear" w:color="auto" w:fill="F2F2F2"/>
          </w:tcPr>
          <w:p>
            <w:pPr>
              <w:spacing w:after="0"/>
              <w:rPr>
                <w:sz w:val="17"/>
                <w:szCs w:val="17"/>
                <w:color w:val="auto"/>
              </w:rPr>
            </w:pPr>
          </w:p>
        </w:tc>
        <w:tc>
          <w:tcPr>
            <w:tcW w:w="1280" w:type="dxa"/>
            <w:vAlign w:val="bottom"/>
            <w:tcBorders>
              <w:bottom w:val="single" w:sz="8" w:color="F2F2F2"/>
            </w:tcBorders>
            <w:shd w:val="clear" w:color="auto" w:fill="F2F2F2"/>
          </w:tcPr>
          <w:p>
            <w:pPr>
              <w:spacing w:after="0"/>
              <w:rPr>
                <w:sz w:val="17"/>
                <w:szCs w:val="17"/>
                <w:color w:val="auto"/>
              </w:rPr>
            </w:pPr>
          </w:p>
        </w:tc>
        <w:tc>
          <w:tcPr>
            <w:tcW w:w="860" w:type="dxa"/>
            <w:vAlign w:val="bottom"/>
            <w:tcBorders>
              <w:bottom w:val="single" w:sz="8" w:color="F2F2F2"/>
            </w:tcBorders>
            <w:shd w:val="clear" w:color="auto" w:fill="F2F2F2"/>
          </w:tcPr>
          <w:p>
            <w:pPr>
              <w:spacing w:after="0"/>
              <w:rPr>
                <w:sz w:val="17"/>
                <w:szCs w:val="17"/>
                <w:color w:val="auto"/>
              </w:rPr>
            </w:pPr>
          </w:p>
        </w:tc>
        <w:tc>
          <w:tcPr>
            <w:tcW w:w="1120" w:type="dxa"/>
            <w:vAlign w:val="bottom"/>
            <w:tcBorders>
              <w:bottom w:val="single" w:sz="8" w:color="F2F2F2"/>
            </w:tcBorders>
            <w:shd w:val="clear" w:color="auto" w:fill="F2F2F2"/>
          </w:tcPr>
          <w:p>
            <w:pPr>
              <w:jc w:val="center"/>
              <w:ind w:left="37"/>
              <w:spacing w:after="0"/>
              <w:rPr>
                <w:sz w:val="20"/>
                <w:szCs w:val="20"/>
                <w:color w:val="auto"/>
              </w:rPr>
            </w:pPr>
            <w:r>
              <w:rPr>
                <w:rFonts w:ascii="Arial" w:cs="Arial" w:eastAsia="Arial" w:hAnsi="Arial"/>
                <w:sz w:val="13"/>
                <w:szCs w:val="13"/>
                <w:color w:val="auto"/>
                <w:w w:val="94"/>
              </w:rPr>
              <w:t>702 (11)</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7"/>
              </w:rPr>
              <w:t>$20,253</w:t>
            </w:r>
          </w:p>
        </w:tc>
        <w:tc>
          <w:tcPr>
            <w:tcW w:w="880" w:type="dxa"/>
            <w:vAlign w:val="bottom"/>
            <w:tcBorders>
              <w:bottom w:val="single" w:sz="8" w:color="F2F2F2"/>
            </w:tcBorders>
            <w:shd w:val="clear" w:color="auto" w:fill="F2F2F2"/>
          </w:tcPr>
          <w:p>
            <w:pPr>
              <w:spacing w:after="0"/>
              <w:rPr>
                <w:sz w:val="17"/>
                <w:szCs w:val="17"/>
                <w:color w:val="auto"/>
              </w:rPr>
            </w:pPr>
          </w:p>
        </w:tc>
        <w:tc>
          <w:tcPr>
            <w:tcW w:w="106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jc w:val="center"/>
              <w:ind w:left="37"/>
              <w:spacing w:after="0"/>
              <w:rPr>
                <w:sz w:val="20"/>
                <w:szCs w:val="20"/>
                <w:color w:val="auto"/>
              </w:rPr>
            </w:pPr>
            <w:r>
              <w:rPr>
                <w:rFonts w:ascii="Arial" w:cs="Arial" w:eastAsia="Arial" w:hAnsi="Arial"/>
                <w:sz w:val="13"/>
                <w:szCs w:val="13"/>
                <w:color w:val="auto"/>
                <w:w w:val="96"/>
              </w:rPr>
              <w:t>1,994 (8)</w:t>
            </w:r>
          </w:p>
        </w:tc>
        <w:tc>
          <w:tcPr>
            <w:tcW w:w="1040" w:type="dxa"/>
            <w:vAlign w:val="bottom"/>
          </w:tcPr>
          <w:p>
            <w:pPr>
              <w:jc w:val="center"/>
              <w:spacing w:after="0"/>
              <w:rPr>
                <w:sz w:val="20"/>
                <w:szCs w:val="20"/>
                <w:color w:val="auto"/>
              </w:rPr>
            </w:pPr>
            <w:r>
              <w:rPr>
                <w:rFonts w:ascii="Arial" w:cs="Arial" w:eastAsia="Arial" w:hAnsi="Arial"/>
                <w:sz w:val="13"/>
                <w:szCs w:val="13"/>
                <w:color w:val="001446"/>
                <w:w w:val="97"/>
              </w:rPr>
              <w:t>$57,527</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40" w:type="dxa"/>
            <w:vAlign w:val="bottom"/>
            <w:tcBorders>
              <w:left w:val="single" w:sz="8" w:color="F2F2F2"/>
            </w:tcBorders>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1040" w:type="dxa"/>
            <w:vAlign w:val="bottom"/>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6"/>
              </w:rPr>
              <w:t>3,278 (9)</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$94,570</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center"/>
              <w:ind w:left="37"/>
              <w:spacing w:after="0"/>
              <w:rPr>
                <w:sz w:val="20"/>
                <w:szCs w:val="20"/>
                <w:color w:val="auto"/>
              </w:rPr>
            </w:pPr>
            <w:r>
              <w:rPr>
                <w:rFonts w:ascii="Arial" w:cs="Arial" w:eastAsia="Arial" w:hAnsi="Arial"/>
                <w:sz w:val="13"/>
                <w:szCs w:val="13"/>
                <w:color w:val="auto"/>
                <w:w w:val="97"/>
              </w:rPr>
              <w:t>27,449 (3)</w:t>
            </w:r>
          </w:p>
        </w:tc>
        <w:tc>
          <w:tcPr>
            <w:tcW w:w="1040" w:type="dxa"/>
            <w:vAlign w:val="bottom"/>
          </w:tcPr>
          <w:p>
            <w:pPr>
              <w:jc w:val="center"/>
              <w:spacing w:after="0"/>
              <w:rPr>
                <w:sz w:val="20"/>
                <w:szCs w:val="20"/>
                <w:color w:val="auto"/>
              </w:rPr>
            </w:pPr>
            <w:r>
              <w:rPr>
                <w:rFonts w:ascii="Arial" w:cs="Arial" w:eastAsia="Arial" w:hAnsi="Arial"/>
                <w:sz w:val="13"/>
                <w:szCs w:val="13"/>
                <w:color w:val="001446"/>
                <w:w w:val="99"/>
              </w:rPr>
              <w:t>$791,904</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40" w:type="dxa"/>
            <w:vAlign w:val="bottom"/>
            <w:tcBorders>
              <w:left w:val="single" w:sz="8" w:color="F2F2F2"/>
            </w:tcBorders>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1040" w:type="dxa"/>
            <w:vAlign w:val="bottom"/>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33,782 (4)</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5"/>
              </w:rPr>
              <w:t>$974,611</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center"/>
              <w:ind w:left="37"/>
              <w:spacing w:after="0"/>
              <w:rPr>
                <w:sz w:val="20"/>
                <w:szCs w:val="20"/>
                <w:color w:val="auto"/>
              </w:rPr>
            </w:pPr>
            <w:r>
              <w:rPr>
                <w:rFonts w:ascii="Arial" w:cs="Arial" w:eastAsia="Arial" w:hAnsi="Arial"/>
                <w:sz w:val="13"/>
                <w:szCs w:val="13"/>
                <w:color w:val="auto"/>
                <w:w w:val="99"/>
              </w:rPr>
              <w:t>11,250 (10)</w:t>
            </w:r>
          </w:p>
        </w:tc>
        <w:tc>
          <w:tcPr>
            <w:tcW w:w="1040" w:type="dxa"/>
            <w:vAlign w:val="bottom"/>
          </w:tcPr>
          <w:p>
            <w:pPr>
              <w:jc w:val="center"/>
              <w:spacing w:after="0"/>
              <w:rPr>
                <w:sz w:val="20"/>
                <w:szCs w:val="20"/>
                <w:color w:val="auto"/>
              </w:rPr>
            </w:pPr>
            <w:r>
              <w:rPr>
                <w:rFonts w:ascii="Arial" w:cs="Arial" w:eastAsia="Arial" w:hAnsi="Arial"/>
                <w:sz w:val="13"/>
                <w:szCs w:val="13"/>
                <w:color w:val="001446"/>
                <w:w w:val="99"/>
              </w:rPr>
              <w:t>$324,563</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40" w:type="dxa"/>
            <w:vAlign w:val="bottom"/>
            <w:tcBorders>
              <w:left w:val="single" w:sz="8" w:color="F2F2F2"/>
            </w:tcBorders>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1340" w:type="dxa"/>
            <w:vAlign w:val="bottom"/>
            <w:shd w:val="clear" w:color="auto" w:fill="F2F2F2"/>
          </w:tcPr>
          <w:p>
            <w:pPr>
              <w:spacing w:after="0"/>
              <w:rPr>
                <w:sz w:val="17"/>
                <w:szCs w:val="17"/>
                <w:color w:val="auto"/>
              </w:rPr>
            </w:pPr>
          </w:p>
        </w:tc>
        <w:tc>
          <w:tcPr>
            <w:tcW w:w="128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120" w:type="dxa"/>
            <w:vAlign w:val="bottom"/>
            <w:shd w:val="clear" w:color="auto" w:fill="F2F2F2"/>
          </w:tcPr>
          <w:p>
            <w:pPr>
              <w:jc w:val="center"/>
              <w:ind w:left="37"/>
              <w:spacing w:after="0"/>
              <w:rPr>
                <w:sz w:val="20"/>
                <w:szCs w:val="20"/>
                <w:color w:val="auto"/>
              </w:rPr>
            </w:pPr>
            <w:r>
              <w:rPr>
                <w:rFonts w:ascii="Arial" w:cs="Arial" w:eastAsia="Arial" w:hAnsi="Arial"/>
                <w:sz w:val="13"/>
                <w:szCs w:val="13"/>
                <w:color w:val="auto"/>
                <w:w w:val="99"/>
              </w:rPr>
              <w:t>18,750 (12)</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9"/>
              </w:rPr>
              <w:t>$540,938</w:t>
            </w: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F2F2F2"/>
            </w:tcBorders>
            <w:shd w:val="clear" w:color="auto" w:fill="F2F2F2"/>
          </w:tcPr>
          <w:p>
            <w:pPr>
              <w:spacing w:after="0"/>
              <w:rPr>
                <w:sz w:val="2"/>
                <w:szCs w:val="2"/>
                <w:color w:val="auto"/>
              </w:rPr>
            </w:pPr>
          </w:p>
        </w:tc>
        <w:tc>
          <w:tcPr>
            <w:tcW w:w="1160" w:type="dxa"/>
            <w:vAlign w:val="bottom"/>
            <w:shd w:val="clear" w:color="auto" w:fill="F2F2F2"/>
          </w:tcPr>
          <w:p>
            <w:pPr>
              <w:spacing w:after="0"/>
              <w:rPr>
                <w:sz w:val="2"/>
                <w:szCs w:val="2"/>
                <w:color w:val="auto"/>
              </w:rPr>
            </w:pPr>
          </w:p>
        </w:tc>
        <w:tc>
          <w:tcPr>
            <w:tcW w:w="1340" w:type="dxa"/>
            <w:vAlign w:val="bottom"/>
            <w:shd w:val="clear" w:color="auto" w:fill="F2F2F2"/>
          </w:tcPr>
          <w:p>
            <w:pPr>
              <w:spacing w:after="0"/>
              <w:rPr>
                <w:sz w:val="2"/>
                <w:szCs w:val="2"/>
                <w:color w:val="auto"/>
              </w:rPr>
            </w:pPr>
          </w:p>
        </w:tc>
        <w:tc>
          <w:tcPr>
            <w:tcW w:w="1280" w:type="dxa"/>
            <w:vAlign w:val="bottom"/>
            <w:shd w:val="clear" w:color="auto" w:fill="F2F2F2"/>
          </w:tcPr>
          <w:p>
            <w:pPr>
              <w:spacing w:after="0"/>
              <w:rPr>
                <w:sz w:val="2"/>
                <w:szCs w:val="2"/>
                <w:color w:val="auto"/>
              </w:rPr>
            </w:pPr>
          </w:p>
        </w:tc>
        <w:tc>
          <w:tcPr>
            <w:tcW w:w="860" w:type="dxa"/>
            <w:vAlign w:val="bottom"/>
            <w:shd w:val="clear" w:color="auto" w:fill="F2F2F2"/>
          </w:tcPr>
          <w:p>
            <w:pPr>
              <w:spacing w:after="0"/>
              <w:rPr>
                <w:sz w:val="2"/>
                <w:szCs w:val="2"/>
                <w:color w:val="auto"/>
              </w:rPr>
            </w:pPr>
          </w:p>
        </w:tc>
        <w:tc>
          <w:tcPr>
            <w:tcW w:w="1120" w:type="dxa"/>
            <w:vAlign w:val="bottom"/>
            <w:shd w:val="clear" w:color="auto" w:fill="F2F2F2"/>
          </w:tcPr>
          <w:p>
            <w:pPr>
              <w:spacing w:after="0"/>
              <w:rPr>
                <w:sz w:val="2"/>
                <w:szCs w:val="2"/>
                <w:color w:val="auto"/>
              </w:rPr>
            </w:pPr>
          </w:p>
        </w:tc>
        <w:tc>
          <w:tcPr>
            <w:tcW w:w="1040" w:type="dxa"/>
            <w:vAlign w:val="bottom"/>
            <w:shd w:val="clear" w:color="auto" w:fill="F2F2F2"/>
          </w:tcPr>
          <w:p>
            <w:pPr>
              <w:spacing w:after="0"/>
              <w:rPr>
                <w:sz w:val="2"/>
                <w:szCs w:val="2"/>
                <w:color w:val="auto"/>
              </w:rPr>
            </w:pPr>
          </w:p>
        </w:tc>
        <w:tc>
          <w:tcPr>
            <w:tcW w:w="880" w:type="dxa"/>
            <w:vAlign w:val="bottom"/>
            <w:shd w:val="clear" w:color="auto" w:fill="F2F2F2"/>
          </w:tcPr>
          <w:p>
            <w:pPr>
              <w:spacing w:after="0"/>
              <w:rPr>
                <w:sz w:val="2"/>
                <w:szCs w:val="2"/>
                <w:color w:val="auto"/>
              </w:rPr>
            </w:pPr>
          </w:p>
        </w:tc>
        <w:tc>
          <w:tcPr>
            <w:tcW w:w="106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137160</wp:posOffset>
                </wp:positionV>
                <wp:extent cx="6532245" cy="58420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395" o:spid="_x0000_s1420" style="position:absolute;margin-left:-0.1499pt;margin-top:10.8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549275</wp:posOffset>
                </wp:positionV>
                <wp:extent cx="6532245"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prstDash val="dash"/>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3.25pt" to="514.15pt,43.25pt" o:allowincell="f" strokecolor="#000000" strokeweight="1.6199pt">
                <v:stroke dashstyle="dash"/>
              </v:line>
            </w:pict>
          </mc:Fallback>
        </mc:AlternateContent>
      </w:r>
    </w:p>
    <w:p>
      <w:pPr>
        <w:sectPr>
          <w:pgSz w:w="11900" w:h="16840" w:orient="portrait"/>
          <w:cols w:equalWidth="0" w:num="1">
            <w:col w:w="10280"/>
          </w:cols>
          <w:pgMar w:left="820" w:top="1139" w:right="804" w:bottom="1440" w:gutter="0" w:footer="0" w:header="0"/>
        </w:sectPr>
      </w:pPr>
    </w:p>
    <w:bookmarkStart w:id="206" w:name="page207"/>
    <w:bookmarkEnd w:id="206"/>
    <w:p>
      <w:pPr>
        <w:ind w:left="444" w:hanging="444"/>
        <w:spacing w:after="0"/>
        <w:tabs>
          <w:tab w:leader="none" w:pos="444" w:val="left"/>
        </w:tabs>
        <w:numPr>
          <w:ilvl w:val="0"/>
          <w:numId w:val="118"/>
        </w:numPr>
        <w:rPr>
          <w:rFonts w:ascii="Arial" w:cs="Arial" w:eastAsia="Arial" w:hAnsi="Arial"/>
          <w:sz w:val="12"/>
          <w:szCs w:val="12"/>
          <w:color w:val="001446"/>
        </w:rPr>
      </w:pPr>
      <w:r>
        <w:rPr>
          <w:rFonts w:ascii="Arial" w:cs="Arial" w:eastAsia="Arial" w:hAnsi="Arial"/>
          <w:sz w:val="12"/>
          <w:szCs w:val="12"/>
          <w:color w:val="001446"/>
        </w:rPr>
        <w:t>The market value of shares or units of stock that have not vested is based on the number of shares or units of stock that have not vested multiplied by the closing price of our</w:t>
      </w:r>
    </w:p>
    <w:p>
      <w:pPr>
        <w:spacing w:after="0" w:line="5" w:lineRule="exact"/>
        <w:rPr>
          <w:sz w:val="20"/>
          <w:szCs w:val="20"/>
          <w:color w:val="auto"/>
        </w:rPr>
      </w:pPr>
    </w:p>
    <w:p>
      <w:pPr>
        <w:ind w:left="444"/>
        <w:spacing w:after="0"/>
        <w:rPr>
          <w:sz w:val="20"/>
          <w:szCs w:val="20"/>
          <w:color w:val="auto"/>
        </w:rPr>
      </w:pPr>
      <w:r>
        <w:rPr>
          <w:rFonts w:ascii="Arial" w:cs="Arial" w:eastAsia="Arial" w:hAnsi="Arial"/>
          <w:sz w:val="13"/>
          <w:szCs w:val="13"/>
          <w:color w:val="001446"/>
        </w:rPr>
        <w:t>common stock on the last trading day of the year ended December 31, 2025 ($28.85).</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September 02, 2024 and vest as to 25% on May 31, 2025 and quarterly thereafter through May 31, 2028.</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December 05, 2024 and vest as to 25% on February 28, 2026 and quarterly thereafter through February 28, 2029.</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January 02, 2025 and vest in equal quarterly installments through February 28, 2029.</w:t>
      </w:r>
    </w:p>
    <w:p>
      <w:pPr>
        <w:ind w:left="444" w:right="120"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 PSU awards were granted on December 05, 2024, January 02, 2025 and March 24, 2025 and vests upon achievement of a 30-day successive average trading price of $40 or more (with respect to 50% of the target PSUs), $70 or more (with respect to 50% of the target PSUs) and $100 or more (with respect to a potential upside of an additional 50% of the target PSUs), during the three-year performance period ending on December 31, 2027 and based on a minimum employment period of two years. In accordance with SEC rules, the number of PSUs shown reflects achievement of threshold level performance (stock price hurdle of $40).</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March 24, 2025 and vest as to 25% on May 31, 2026 and quarterly thereafter through May 31, 2029.</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January 03, 2022 and vest in equal quarterly installments through February 28, 2026.</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January 04, 2023 and vest in equal quarterly installments through February 28, 2027.</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January 03, 2024 and vest in equal quarterly installments through February 28, 2028.</w:t>
      </w:r>
    </w:p>
    <w:p>
      <w:pPr>
        <w:ind w:left="444" w:right="240" w:hanging="444"/>
        <w:spacing w:after="0" w:line="250" w:lineRule="auto"/>
        <w:tabs>
          <w:tab w:leader="none" w:pos="444" w:val="left"/>
        </w:tabs>
        <w:numPr>
          <w:ilvl w:val="0"/>
          <w:numId w:val="119"/>
        </w:numPr>
        <w:rPr>
          <w:rFonts w:ascii="Arial" w:cs="Arial" w:eastAsia="Arial" w:hAnsi="Arial"/>
          <w:sz w:val="12"/>
          <w:szCs w:val="12"/>
          <w:color w:val="001446"/>
        </w:rPr>
      </w:pPr>
      <w:r>
        <w:rPr>
          <w:rFonts w:ascii="Arial" w:cs="Arial" w:eastAsia="Arial" w:hAnsi="Arial"/>
          <w:sz w:val="12"/>
          <w:szCs w:val="12"/>
          <w:color w:val="001446"/>
        </w:rPr>
        <w:t>The PSU awards were granted on January 16, 2024 and vests following a three-year performance period ending on December 31, 2026 based on the Company’s relative TSR performance during such performance period. In accordance with SEC rules, the number of PSUs shown reflects achievement of threshold level TSR performance.</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October 14, 2024 and December 05, 2024 and vest in equal quarterly installments through November 30, 2028.</w:t>
      </w:r>
    </w:p>
    <w:p>
      <w:pPr>
        <w:ind w:left="444" w:hanging="444"/>
        <w:spacing w:after="0" w:line="231" w:lineRule="auto"/>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October 30, 2022 and vest in equal quarterly installments through November 30, 2026.</w:t>
      </w:r>
    </w:p>
    <w:p>
      <w:pPr>
        <w:ind w:left="444" w:hanging="444"/>
        <w:spacing w:after="0"/>
        <w:tabs>
          <w:tab w:leader="none" w:pos="444" w:val="left"/>
        </w:tabs>
        <w:numPr>
          <w:ilvl w:val="0"/>
          <w:numId w:val="119"/>
        </w:numPr>
        <w:rPr>
          <w:rFonts w:ascii="Arial" w:cs="Arial" w:eastAsia="Arial" w:hAnsi="Arial"/>
          <w:sz w:val="13"/>
          <w:szCs w:val="13"/>
          <w:color w:val="001446"/>
        </w:rPr>
      </w:pPr>
      <w:r>
        <w:rPr>
          <w:rFonts w:ascii="Arial" w:cs="Arial" w:eastAsia="Arial" w:hAnsi="Arial"/>
          <w:sz w:val="13"/>
          <w:szCs w:val="13"/>
          <w:color w:val="001446"/>
        </w:rPr>
        <w:t>These RSUs were granted on September 15, 2025 and vest in equal quarterly installments through August 31, 2029.</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22"/>
          <w:szCs w:val="22"/>
          <w:color w:val="001446"/>
        </w:rPr>
        <w:t>Stock Vested Table</w:t>
      </w:r>
    </w:p>
    <w:p>
      <w:pPr>
        <w:spacing w:after="0" w:line="183" w:lineRule="exact"/>
        <w:rPr>
          <w:sz w:val="20"/>
          <w:szCs w:val="20"/>
          <w:color w:val="auto"/>
        </w:rPr>
      </w:pPr>
    </w:p>
    <w:p>
      <w:pPr>
        <w:ind w:left="4" w:right="280"/>
        <w:spacing w:after="0" w:line="299" w:lineRule="auto"/>
        <w:rPr>
          <w:sz w:val="20"/>
          <w:szCs w:val="20"/>
          <w:color w:val="auto"/>
        </w:rPr>
      </w:pPr>
      <w:r>
        <w:rPr>
          <w:rFonts w:ascii="Arial" w:cs="Arial" w:eastAsia="Arial" w:hAnsi="Arial"/>
          <w:sz w:val="14"/>
          <w:szCs w:val="14"/>
          <w:color w:val="001446"/>
        </w:rPr>
        <w:t>The following table provides information regarding stock vested during the year ended December 31, 2025, for each NEO. No NEOs exercised options during such year.</w:t>
      </w:r>
    </w:p>
    <w:p>
      <w:pPr>
        <w:spacing w:after="0" w:line="134"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2000" w:type="dxa"/>
            <w:vAlign w:val="bottom"/>
            <w:vMerge w:val="restart"/>
            <w:shd w:val="clear" w:color="auto" w:fill="001446"/>
          </w:tcPr>
          <w:p>
            <w:pPr>
              <w:spacing w:after="0"/>
              <w:rPr>
                <w:sz w:val="20"/>
                <w:szCs w:val="20"/>
                <w:color w:val="auto"/>
              </w:rPr>
            </w:pPr>
            <w:r>
              <w:rPr>
                <w:rFonts w:ascii="Arial" w:cs="Arial" w:eastAsia="Arial" w:hAnsi="Arial"/>
                <w:sz w:val="14"/>
                <w:szCs w:val="14"/>
                <w:b w:val="1"/>
                <w:bCs w:val="1"/>
                <w:color w:val="F2F2F2"/>
              </w:rPr>
              <w:t>Name</w:t>
            </w:r>
          </w:p>
        </w:tc>
        <w:tc>
          <w:tcPr>
            <w:tcW w:w="3680" w:type="dxa"/>
            <w:vAlign w:val="bottom"/>
            <w:shd w:val="clear" w:color="auto" w:fill="001446"/>
          </w:tcPr>
          <w:p>
            <w:pPr>
              <w:spacing w:after="0"/>
              <w:rPr>
                <w:sz w:val="24"/>
                <w:szCs w:val="24"/>
                <w:color w:val="auto"/>
              </w:rPr>
            </w:pPr>
          </w:p>
        </w:tc>
        <w:tc>
          <w:tcPr>
            <w:tcW w:w="4600" w:type="dxa"/>
            <w:vAlign w:val="bottom"/>
            <w:shd w:val="clear" w:color="auto" w:fill="001446"/>
          </w:tcPr>
          <w:p>
            <w:pPr>
              <w:ind w:left="6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80"/>
        </w:trPr>
        <w:tc>
          <w:tcPr>
            <w:tcW w:w="2000" w:type="dxa"/>
            <w:vAlign w:val="bottom"/>
            <w:vMerge w:val="continue"/>
            <w:shd w:val="clear" w:color="auto" w:fill="001446"/>
          </w:tcPr>
          <w:p>
            <w:pPr>
              <w:spacing w:after="0"/>
              <w:rPr>
                <w:sz w:val="15"/>
                <w:szCs w:val="15"/>
                <w:color w:val="auto"/>
              </w:rPr>
            </w:pPr>
          </w:p>
        </w:tc>
        <w:tc>
          <w:tcPr>
            <w:tcW w:w="3680" w:type="dxa"/>
            <w:vAlign w:val="bottom"/>
            <w:vMerge w:val="restart"/>
            <w:shd w:val="clear" w:color="auto" w:fill="001446"/>
          </w:tcPr>
          <w:p>
            <w:pPr>
              <w:ind w:left="940"/>
              <w:spacing w:after="0"/>
              <w:rPr>
                <w:sz w:val="20"/>
                <w:szCs w:val="20"/>
                <w:color w:val="auto"/>
              </w:rPr>
            </w:pPr>
            <w:r>
              <w:rPr>
                <w:rFonts w:ascii="Arial" w:cs="Arial" w:eastAsia="Arial" w:hAnsi="Arial"/>
                <w:sz w:val="14"/>
                <w:szCs w:val="14"/>
                <w:b w:val="1"/>
                <w:bCs w:val="1"/>
                <w:color w:val="F2F2F2"/>
              </w:rPr>
              <w:t>Number of Shares Acquired on Vesting</w:t>
            </w:r>
          </w:p>
        </w:tc>
        <w:tc>
          <w:tcPr>
            <w:tcW w:w="4600" w:type="dxa"/>
            <w:vAlign w:val="bottom"/>
            <w:vMerge w:val="restart"/>
            <w:shd w:val="clear" w:color="auto" w:fill="001446"/>
          </w:tcPr>
          <w:p>
            <w:pPr>
              <w:ind w:left="1560"/>
              <w:spacing w:after="0"/>
              <w:rPr>
                <w:sz w:val="20"/>
                <w:szCs w:val="20"/>
                <w:color w:val="auto"/>
              </w:rPr>
            </w:pPr>
            <w:r>
              <w:rPr>
                <w:rFonts w:ascii="Arial" w:cs="Arial" w:eastAsia="Arial" w:hAnsi="Arial"/>
                <w:sz w:val="14"/>
                <w:szCs w:val="14"/>
                <w:b w:val="1"/>
                <w:bCs w:val="1"/>
                <w:color w:val="F2F2F2"/>
              </w:rPr>
              <w:t>Value Realized on Vesting ($)(1)</w:t>
            </w:r>
          </w:p>
        </w:tc>
        <w:tc>
          <w:tcPr>
            <w:tcW w:w="0" w:type="dxa"/>
            <w:vAlign w:val="bottom"/>
          </w:tcPr>
          <w:p>
            <w:pPr>
              <w:spacing w:after="0"/>
              <w:rPr>
                <w:sz w:val="1"/>
                <w:szCs w:val="1"/>
                <w:color w:val="auto"/>
              </w:rPr>
            </w:pPr>
          </w:p>
        </w:tc>
      </w:tr>
      <w:tr>
        <w:trPr>
          <w:trHeight w:val="180"/>
        </w:trPr>
        <w:tc>
          <w:tcPr>
            <w:tcW w:w="2000" w:type="dxa"/>
            <w:vAlign w:val="bottom"/>
            <w:shd w:val="clear" w:color="auto" w:fill="001446"/>
          </w:tcPr>
          <w:p>
            <w:pPr>
              <w:spacing w:after="0"/>
              <w:rPr>
                <w:sz w:val="15"/>
                <w:szCs w:val="15"/>
                <w:color w:val="auto"/>
              </w:rPr>
            </w:pPr>
          </w:p>
        </w:tc>
        <w:tc>
          <w:tcPr>
            <w:tcW w:w="3680" w:type="dxa"/>
            <w:vAlign w:val="bottom"/>
            <w:vMerge w:val="continue"/>
            <w:shd w:val="clear" w:color="auto" w:fill="001446"/>
          </w:tcPr>
          <w:p>
            <w:pPr>
              <w:spacing w:after="0"/>
              <w:rPr>
                <w:sz w:val="15"/>
                <w:szCs w:val="15"/>
                <w:color w:val="auto"/>
              </w:rPr>
            </w:pPr>
          </w:p>
        </w:tc>
        <w:tc>
          <w:tcPr>
            <w:tcW w:w="4600" w:type="dxa"/>
            <w:vAlign w:val="bottom"/>
            <w:vMerge w:val="continue"/>
            <w:shd w:val="clear" w:color="auto" w:fill="001446"/>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00" w:type="dxa"/>
            <w:vAlign w:val="bottom"/>
            <w:shd w:val="clear" w:color="auto" w:fill="001446"/>
          </w:tcPr>
          <w:p>
            <w:pPr>
              <w:spacing w:after="0"/>
              <w:rPr>
                <w:sz w:val="6"/>
                <w:szCs w:val="6"/>
                <w:color w:val="auto"/>
              </w:rPr>
            </w:pPr>
          </w:p>
        </w:tc>
        <w:tc>
          <w:tcPr>
            <w:tcW w:w="3680" w:type="dxa"/>
            <w:vAlign w:val="bottom"/>
            <w:shd w:val="clear" w:color="auto" w:fill="001446"/>
          </w:tcPr>
          <w:p>
            <w:pPr>
              <w:spacing w:after="0"/>
              <w:rPr>
                <w:sz w:val="6"/>
                <w:szCs w:val="6"/>
                <w:color w:val="auto"/>
              </w:rPr>
            </w:pPr>
          </w:p>
        </w:tc>
        <w:tc>
          <w:tcPr>
            <w:tcW w:w="4600" w:type="dxa"/>
            <w:vAlign w:val="bottom"/>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Shuki Nir</w:t>
            </w:r>
          </w:p>
        </w:tc>
        <w:tc>
          <w:tcPr>
            <w:tcW w:w="3680" w:type="dxa"/>
            <w:vAlign w:val="bottom"/>
            <w:shd w:val="clear" w:color="auto" w:fill="D9D9D9"/>
          </w:tcPr>
          <w:p>
            <w:pPr>
              <w:jc w:val="center"/>
              <w:ind w:left="768"/>
              <w:spacing w:after="0"/>
              <w:rPr>
                <w:sz w:val="20"/>
                <w:szCs w:val="20"/>
                <w:color w:val="auto"/>
              </w:rPr>
            </w:pPr>
            <w:r>
              <w:rPr>
                <w:rFonts w:ascii="Arial" w:cs="Arial" w:eastAsia="Arial" w:hAnsi="Arial"/>
                <w:sz w:val="14"/>
                <w:szCs w:val="14"/>
                <w:color w:val="001446"/>
              </w:rPr>
              <w:t>59,872</w:t>
            </w:r>
          </w:p>
        </w:tc>
        <w:tc>
          <w:tcPr>
            <w:tcW w:w="4600" w:type="dxa"/>
            <w:vAlign w:val="bottom"/>
            <w:shd w:val="clear" w:color="auto" w:fill="D9D9D9"/>
          </w:tcPr>
          <w:p>
            <w:pPr>
              <w:jc w:val="center"/>
              <w:ind w:left="628"/>
              <w:spacing w:after="0"/>
              <w:rPr>
                <w:sz w:val="20"/>
                <w:szCs w:val="20"/>
                <w:color w:val="auto"/>
              </w:rPr>
            </w:pPr>
            <w:r>
              <w:rPr>
                <w:rFonts w:ascii="Arial" w:cs="Arial" w:eastAsia="Arial" w:hAnsi="Arial"/>
                <w:sz w:val="14"/>
                <w:szCs w:val="14"/>
                <w:color w:val="001446"/>
              </w:rPr>
              <w:t>$1,568,436</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b w:val="1"/>
                <w:bCs w:val="1"/>
                <w:color w:val="001446"/>
              </w:rPr>
              <w:t>Ariel Porat</w:t>
            </w:r>
          </w:p>
        </w:tc>
        <w:tc>
          <w:tcPr>
            <w:tcW w:w="3680" w:type="dxa"/>
            <w:vAlign w:val="bottom"/>
          </w:tcPr>
          <w:p>
            <w:pPr>
              <w:jc w:val="center"/>
              <w:ind w:left="768"/>
              <w:spacing w:after="0"/>
              <w:rPr>
                <w:sz w:val="20"/>
                <w:szCs w:val="20"/>
                <w:color w:val="auto"/>
              </w:rPr>
            </w:pPr>
            <w:r>
              <w:rPr>
                <w:rFonts w:ascii="Arial" w:cs="Arial" w:eastAsia="Arial" w:hAnsi="Arial"/>
                <w:sz w:val="14"/>
                <w:szCs w:val="14"/>
                <w:color w:val="001446"/>
              </w:rPr>
              <w:t>19,180</w:t>
            </w:r>
          </w:p>
        </w:tc>
        <w:tc>
          <w:tcPr>
            <w:tcW w:w="4600" w:type="dxa"/>
            <w:vAlign w:val="bottom"/>
          </w:tcPr>
          <w:p>
            <w:pPr>
              <w:jc w:val="center"/>
              <w:ind w:left="628"/>
              <w:spacing w:after="0"/>
              <w:rPr>
                <w:sz w:val="20"/>
                <w:szCs w:val="20"/>
                <w:color w:val="auto"/>
              </w:rPr>
            </w:pPr>
            <w:r>
              <w:rPr>
                <w:rFonts w:ascii="Arial" w:cs="Arial" w:eastAsia="Arial" w:hAnsi="Arial"/>
                <w:sz w:val="14"/>
                <w:szCs w:val="14"/>
                <w:color w:val="001446"/>
              </w:rPr>
              <w:t>$608,241</w:t>
            </w:r>
          </w:p>
        </w:tc>
        <w:tc>
          <w:tcPr>
            <w:tcW w:w="0" w:type="dxa"/>
            <w:vAlign w:val="bottom"/>
          </w:tcPr>
          <w:p>
            <w:pPr>
              <w:spacing w:after="0"/>
              <w:rPr>
                <w:sz w:val="1"/>
                <w:szCs w:val="1"/>
                <w:color w:val="auto"/>
              </w:rPr>
            </w:pPr>
          </w:p>
        </w:tc>
      </w:tr>
      <w:tr>
        <w:trPr>
          <w:trHeight w:val="180"/>
        </w:trPr>
        <w:tc>
          <w:tcPr>
            <w:tcW w:w="200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Asaf Alperovitz</w:t>
            </w:r>
          </w:p>
        </w:tc>
        <w:tc>
          <w:tcPr>
            <w:tcW w:w="3680" w:type="dxa"/>
            <w:vAlign w:val="bottom"/>
            <w:shd w:val="clear" w:color="auto" w:fill="D9D9D9"/>
          </w:tcPr>
          <w:p>
            <w:pPr>
              <w:jc w:val="center"/>
              <w:ind w:left="768"/>
              <w:spacing w:after="0"/>
              <w:rPr>
                <w:sz w:val="20"/>
                <w:szCs w:val="20"/>
                <w:color w:val="auto"/>
              </w:rPr>
            </w:pPr>
            <w:r>
              <w:rPr>
                <w:rFonts w:ascii="Arial" w:cs="Arial" w:eastAsia="Arial" w:hAnsi="Arial"/>
                <w:sz w:val="14"/>
                <w:szCs w:val="14"/>
                <w:color w:val="001446"/>
                <w:w w:val="84"/>
              </w:rPr>
              <w:t>-</w:t>
            </w:r>
          </w:p>
        </w:tc>
        <w:tc>
          <w:tcPr>
            <w:tcW w:w="4600" w:type="dxa"/>
            <w:vAlign w:val="bottom"/>
            <w:shd w:val="clear" w:color="auto" w:fill="D9D9D9"/>
          </w:tcPr>
          <w:p>
            <w:pPr>
              <w:jc w:val="center"/>
              <w:ind w:left="628"/>
              <w:spacing w:after="0"/>
              <w:rPr>
                <w:sz w:val="20"/>
                <w:szCs w:val="20"/>
                <w:color w:val="auto"/>
              </w:rPr>
            </w:pPr>
            <w:r>
              <w:rPr>
                <w:rFonts w:ascii="Arial" w:cs="Arial" w:eastAsia="Arial" w:hAnsi="Arial"/>
                <w:sz w:val="14"/>
                <w:szCs w:val="14"/>
                <w:color w:val="001446"/>
              </w:rPr>
              <w:t>-</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b w:val="1"/>
                <w:bCs w:val="1"/>
                <w:color w:val="001446"/>
              </w:rPr>
              <w:t>Uri Bechor</w:t>
            </w:r>
          </w:p>
        </w:tc>
        <w:tc>
          <w:tcPr>
            <w:tcW w:w="3680" w:type="dxa"/>
            <w:vAlign w:val="bottom"/>
          </w:tcPr>
          <w:p>
            <w:pPr>
              <w:jc w:val="center"/>
              <w:ind w:left="768"/>
              <w:spacing w:after="0"/>
              <w:rPr>
                <w:sz w:val="20"/>
                <w:szCs w:val="20"/>
                <w:color w:val="auto"/>
              </w:rPr>
            </w:pPr>
            <w:r>
              <w:rPr>
                <w:rFonts w:ascii="Arial" w:cs="Arial" w:eastAsia="Arial" w:hAnsi="Arial"/>
                <w:sz w:val="14"/>
                <w:szCs w:val="14"/>
                <w:color w:val="001446"/>
              </w:rPr>
              <w:t>42,470</w:t>
            </w:r>
          </w:p>
        </w:tc>
        <w:tc>
          <w:tcPr>
            <w:tcW w:w="4600" w:type="dxa"/>
            <w:vAlign w:val="bottom"/>
          </w:tcPr>
          <w:p>
            <w:pPr>
              <w:jc w:val="center"/>
              <w:ind w:left="628"/>
              <w:spacing w:after="0"/>
              <w:rPr>
                <w:sz w:val="20"/>
                <w:szCs w:val="20"/>
                <w:color w:val="auto"/>
              </w:rPr>
            </w:pPr>
            <w:r>
              <w:rPr>
                <w:rFonts w:ascii="Arial" w:cs="Arial" w:eastAsia="Arial" w:hAnsi="Arial"/>
                <w:sz w:val="14"/>
                <w:szCs w:val="14"/>
                <w:color w:val="001446"/>
              </w:rPr>
              <w:t>$1,145,616</w:t>
            </w:r>
          </w:p>
        </w:tc>
        <w:tc>
          <w:tcPr>
            <w:tcW w:w="0" w:type="dxa"/>
            <w:vAlign w:val="bottom"/>
          </w:tcPr>
          <w:p>
            <w:pPr>
              <w:spacing w:after="0"/>
              <w:rPr>
                <w:sz w:val="1"/>
                <w:szCs w:val="1"/>
                <w:color w:val="auto"/>
              </w:rPr>
            </w:pPr>
          </w:p>
        </w:tc>
      </w:tr>
      <w:tr>
        <w:trPr>
          <w:trHeight w:val="180"/>
        </w:trPr>
        <w:tc>
          <w:tcPr>
            <w:tcW w:w="2000" w:type="dxa"/>
            <w:vAlign w:val="bottom"/>
            <w:shd w:val="clear" w:color="auto" w:fill="D4D4D4"/>
          </w:tcPr>
          <w:p>
            <w:pPr>
              <w:spacing w:after="0"/>
              <w:rPr>
                <w:sz w:val="20"/>
                <w:szCs w:val="20"/>
                <w:color w:val="auto"/>
              </w:rPr>
            </w:pPr>
            <w:r>
              <w:rPr>
                <w:rFonts w:ascii="Arial" w:cs="Arial" w:eastAsia="Arial" w:hAnsi="Arial"/>
                <w:sz w:val="14"/>
                <w:szCs w:val="14"/>
                <w:b w:val="1"/>
                <w:bCs w:val="1"/>
                <w:color w:val="001446"/>
              </w:rPr>
              <w:t>Daniel Huber</w:t>
            </w:r>
          </w:p>
        </w:tc>
        <w:tc>
          <w:tcPr>
            <w:tcW w:w="3680" w:type="dxa"/>
            <w:vAlign w:val="bottom"/>
            <w:shd w:val="clear" w:color="auto" w:fill="D4D4D4"/>
          </w:tcPr>
          <w:p>
            <w:pPr>
              <w:jc w:val="center"/>
              <w:ind w:left="768"/>
              <w:spacing w:after="0"/>
              <w:rPr>
                <w:sz w:val="20"/>
                <w:szCs w:val="20"/>
                <w:color w:val="auto"/>
              </w:rPr>
            </w:pPr>
            <w:r>
              <w:rPr>
                <w:rFonts w:ascii="Arial" w:cs="Arial" w:eastAsia="Arial" w:hAnsi="Arial"/>
                <w:sz w:val="14"/>
                <w:szCs w:val="14"/>
                <w:color w:val="001446"/>
              </w:rPr>
              <w:t>13,660</w:t>
            </w:r>
          </w:p>
        </w:tc>
        <w:tc>
          <w:tcPr>
            <w:tcW w:w="4600" w:type="dxa"/>
            <w:vAlign w:val="bottom"/>
            <w:shd w:val="clear" w:color="auto" w:fill="D4D4D4"/>
          </w:tcPr>
          <w:p>
            <w:pPr>
              <w:jc w:val="center"/>
              <w:ind w:left="628"/>
              <w:spacing w:after="0"/>
              <w:rPr>
                <w:sz w:val="20"/>
                <w:szCs w:val="20"/>
                <w:color w:val="auto"/>
              </w:rPr>
            </w:pPr>
            <w:r>
              <w:rPr>
                <w:rFonts w:ascii="Arial" w:cs="Arial" w:eastAsia="Arial" w:hAnsi="Arial"/>
                <w:sz w:val="14"/>
                <w:szCs w:val="14"/>
                <w:color w:val="001446"/>
              </w:rPr>
              <w:t>$392,059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04" w:right="640" w:hanging="568"/>
        <w:spacing w:after="0" w:line="267" w:lineRule="auto"/>
        <w:tabs>
          <w:tab w:leader="none" w:pos="60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value realized on vesting is calculated by multiplying (A) the closing price of a common share on the vesting date and (B) the number of shares acquired on vesting before withholding taxes.</w:t>
      </w:r>
    </w:p>
    <w:p>
      <w:pPr>
        <w:spacing w:after="0" w:line="112" w:lineRule="exact"/>
        <w:rPr>
          <w:sz w:val="20"/>
          <w:szCs w:val="20"/>
          <w:color w:val="auto"/>
        </w:rPr>
      </w:pPr>
    </w:p>
    <w:p>
      <w:pPr>
        <w:ind w:left="4" w:right="340"/>
        <w:spacing w:after="0" w:line="291" w:lineRule="auto"/>
        <w:rPr>
          <w:sz w:val="20"/>
          <w:szCs w:val="20"/>
          <w:color w:val="auto"/>
        </w:rPr>
      </w:pPr>
      <w:r>
        <w:rPr>
          <w:rFonts w:ascii="Arial" w:cs="Arial" w:eastAsia="Arial" w:hAnsi="Arial"/>
          <w:sz w:val="22"/>
          <w:szCs w:val="22"/>
          <w:color w:val="001446"/>
        </w:rPr>
        <w:t>Potential Payments and Acceleration of Equity upon Termination or Termination in Connection with a Change in Control</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6"/>
          <w:szCs w:val="16"/>
          <w:color w:val="2E90D6"/>
        </w:rPr>
        <w:t>Severance</w:t>
      </w:r>
    </w:p>
    <w:p>
      <w:pPr>
        <w:spacing w:after="0" w:line="6" w:lineRule="exact"/>
        <w:rPr>
          <w:sz w:val="20"/>
          <w:szCs w:val="20"/>
          <w:color w:val="auto"/>
        </w:rPr>
      </w:pPr>
    </w:p>
    <w:p>
      <w:pPr>
        <w:ind w:left="4" w:right="320"/>
        <w:spacing w:after="0" w:line="293" w:lineRule="auto"/>
        <w:rPr>
          <w:sz w:val="20"/>
          <w:szCs w:val="20"/>
          <w:color w:val="auto"/>
        </w:rPr>
      </w:pPr>
      <w:r>
        <w:rPr>
          <w:rFonts w:ascii="Arial" w:cs="Arial" w:eastAsia="Arial" w:hAnsi="Arial"/>
          <w:sz w:val="14"/>
          <w:szCs w:val="14"/>
          <w:color w:val="001446"/>
        </w:rPr>
        <w:t>Pursuant to the terms of the employment agreements with the NEOs, as well as in accordance with Israeli law, upon a termination of the NEO’s employment, each NEO is entitled to the payments we have made on behalf of each NEO to the Manager’s Insurance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77470</wp:posOffset>
                </wp:positionV>
                <wp:extent cx="6532880" cy="58420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397" o:spid="_x0000_s1422" style="position:absolute;margin-left:0pt;margin-top:6.1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53"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538480</wp:posOffset>
                </wp:positionV>
                <wp:extent cx="6532245"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4pt" to="514.35pt,42.4pt" o:allowincell="f" strokecolor="#000000" strokeweight="1.6199pt"/>
            </w:pict>
          </mc:Fallback>
        </mc:AlternateContent>
      </w:r>
    </w:p>
    <w:p>
      <w:pPr>
        <w:sectPr>
          <w:pgSz w:w="11900" w:h="16840" w:orient="portrait"/>
          <w:cols w:equalWidth="0" w:num="1">
            <w:col w:w="10284"/>
          </w:cols>
          <w:pgMar w:left="816" w:top="1167" w:right="804"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2E90D6"/>
        </w:rPr>
        <w:t>Equity Acceleration</w:t>
      </w:r>
    </w:p>
    <w:p>
      <w:pPr>
        <w:spacing w:after="0" w:line="12" w:lineRule="exact"/>
        <w:rPr>
          <w:sz w:val="20"/>
          <w:szCs w:val="20"/>
          <w:color w:val="auto"/>
        </w:rPr>
      </w:pPr>
    </w:p>
    <w:p>
      <w:pPr>
        <w:spacing w:after="0" w:line="275" w:lineRule="auto"/>
        <w:rPr>
          <w:sz w:val="20"/>
          <w:szCs w:val="20"/>
          <w:color w:val="auto"/>
        </w:rPr>
      </w:pPr>
      <w:r>
        <w:rPr>
          <w:rFonts w:ascii="Arial" w:cs="Arial" w:eastAsia="Arial" w:hAnsi="Arial"/>
          <w:sz w:val="14"/>
          <w:szCs w:val="14"/>
          <w:color w:val="001446"/>
        </w:rPr>
        <w:t>Pursuant to the terms of the respective employment agreements with Messrs. Nir, Porat, Alperovitz and Bechor, if within twelve months following the occurrence of a “change in control” any of these NEOs is terminated without “cause” or if any of these NEOs terminates his employment due to “justifiable reasons” (each such term as defined in the NEOs employment agreements), the NEO will be entitled to full acceleration of any unvested equity, including PSUs, RSUs or stock options held by the NEO at the time of such termination. Pursuant to the terms of the amended employment agreement with Mr. Huber, entered into as of January 1, 2026, if within 12 months following the occurrence of a “change in control” his employment is terminated without “cause” or if he terminates his employment due to “justifiable reasons” (each as defined in Mr. Huber’s employment agreement), Mr. Huber will be entitled to full acceleration of any unvested equity, including PSUs, RSUs or stock options granted to him following January 1, 2026.</w:t>
      </w:r>
    </w:p>
    <w:p>
      <w:pPr>
        <w:spacing w:after="0" w:line="133"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001446"/>
        </w:rPr>
        <w:t>Under our PSU Award Agreement, in the event that a Change in Control (as defined in the PSU award agreement) occurs prior to the completion of the Performance Period, the PSUs shall be converted into time- based RSUs based on performance through the date of the Change in Control that will vest in full on the last day of the applicable performance period, subject to Continuous Service through each such date. In the event of a termination by the Company without Cause (as defined in the PSU award agreement) within 12 months following the date of the Change in Control, any unvested time-based RSUs that were converted pursuant to the previous sentence will accelerate on the date of such termination. Upon termination due to death or Disability (as defined in our Amended and Restated 2015 Global Incentive Plan), the unvested PSU awards will vest with respect to the target number of PSUs.</w:t>
      </w:r>
    </w:p>
    <w:p>
      <w:pPr>
        <w:spacing w:after="0" w:line="123"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001446"/>
        </w:rPr>
        <w:t>Upon termination due to death or “disability” (as defined in our 2015 Global Incentive Plan), any unvested equity, including PSUs, RSUs or stock options held by our Shuki Nir, Asaf Alperovitz, and Uri Bechor will immediately vest, and any unvested equity of Daniel Huber granted after January 1, 2026 shall immediately vest. With respect to PSUs, upon termination due to death or disability prior to the completion of the Performance Period, vesting shall apply with respect to the applicable target number of PSUs..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89535</wp:posOffset>
                </wp:positionV>
                <wp:extent cx="6532245" cy="58420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399" o:spid="_x0000_s1424" style="position:absolute;margin-left:-0.1499pt;margin-top:7.0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538480</wp:posOffset>
                </wp:positionV>
                <wp:extent cx="6532245"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5">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2.4pt" to="514.15pt,42.4pt" o:allowincell="f" strokecolor="#000000" strokeweight="1.6201pt"/>
            </w:pict>
          </mc:Fallback>
        </mc:AlternateContent>
      </w:r>
    </w:p>
    <w:p>
      <w:pPr>
        <w:sectPr>
          <w:pgSz w:w="11900" w:h="16840" w:orient="portrait"/>
          <w:cols w:equalWidth="0" w:num="1">
            <w:col w:w="10280"/>
          </w:cols>
          <w:pgMar w:left="820" w:top="1150" w:right="804" w:bottom="1440" w:gutter="0" w:footer="0" w:header="0"/>
        </w:sectPr>
      </w:pPr>
    </w:p>
    <w:bookmarkStart w:id="208" w:name="page209"/>
    <w:bookmarkEnd w:id="208"/>
    <w:p>
      <w:pPr>
        <w:ind w:left="4"/>
        <w:spacing w:after="0"/>
        <w:rPr>
          <w:sz w:val="20"/>
          <w:szCs w:val="20"/>
          <w:color w:val="auto"/>
        </w:rPr>
      </w:pPr>
      <w:r>
        <w:rPr>
          <w:rFonts w:ascii="Arial" w:cs="Arial" w:eastAsia="Arial" w:hAnsi="Arial"/>
          <w:sz w:val="22"/>
          <w:szCs w:val="22"/>
          <w:color w:val="001446"/>
        </w:rPr>
        <w:t>Potential Payments as of December 31, 2025</w:t>
      </w:r>
    </w:p>
    <w:p>
      <w:pPr>
        <w:spacing w:after="0" w:line="184" w:lineRule="exact"/>
        <w:rPr>
          <w:sz w:val="20"/>
          <w:szCs w:val="20"/>
          <w:color w:val="auto"/>
        </w:rPr>
      </w:pPr>
    </w:p>
    <w:p>
      <w:pPr>
        <w:ind w:left="4" w:right="260"/>
        <w:spacing w:after="0" w:line="275" w:lineRule="auto"/>
        <w:rPr>
          <w:sz w:val="20"/>
          <w:szCs w:val="20"/>
          <w:color w:val="auto"/>
        </w:rPr>
      </w:pPr>
      <w:r>
        <w:rPr>
          <w:rFonts w:ascii="Arial" w:cs="Arial" w:eastAsia="Arial" w:hAnsi="Arial"/>
          <w:sz w:val="14"/>
          <w:szCs w:val="14"/>
          <w:color w:val="001446"/>
        </w:rPr>
        <w:t>The following tables show the value of the potential payments and benefits our NEOs as of December 31, 2025 would receive in various scenarios involving a termination of their employment or a change in control or other qualifying corporate transaction, assuming a December 31, 2025, triggering date and, where applicable, using a price per share for our common stock of $28.85 (the closing price of a share of our common stock on December 31, 2025).</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40" w:type="dxa"/>
            <w:vAlign w:val="bottom"/>
            <w:shd w:val="clear" w:color="auto" w:fill="001446"/>
          </w:tcPr>
          <w:p>
            <w:pPr>
              <w:spacing w:after="0"/>
              <w:rPr>
                <w:sz w:val="16"/>
                <w:szCs w:val="16"/>
                <w:color w:val="auto"/>
              </w:rPr>
            </w:pPr>
          </w:p>
        </w:tc>
        <w:tc>
          <w:tcPr>
            <w:tcW w:w="1800" w:type="dxa"/>
            <w:vAlign w:val="bottom"/>
            <w:shd w:val="clear" w:color="auto" w:fill="001446"/>
          </w:tcPr>
          <w:p>
            <w:pPr>
              <w:spacing w:after="0"/>
              <w:rPr>
                <w:sz w:val="16"/>
                <w:szCs w:val="16"/>
                <w:color w:val="auto"/>
              </w:rPr>
            </w:pPr>
          </w:p>
        </w:tc>
        <w:tc>
          <w:tcPr>
            <w:tcW w:w="2340" w:type="dxa"/>
            <w:vAlign w:val="bottom"/>
            <w:vMerge w:val="restart"/>
            <w:shd w:val="clear" w:color="auto" w:fill="001446"/>
          </w:tcPr>
          <w:p>
            <w:pPr>
              <w:jc w:val="center"/>
              <w:ind w:left="476"/>
              <w:spacing w:after="0"/>
              <w:rPr>
                <w:sz w:val="20"/>
                <w:szCs w:val="20"/>
                <w:color w:val="auto"/>
              </w:rPr>
            </w:pPr>
            <w:r>
              <w:rPr>
                <w:rFonts w:ascii="Arial" w:cs="Arial" w:eastAsia="Arial" w:hAnsi="Arial"/>
                <w:sz w:val="13"/>
                <w:szCs w:val="13"/>
                <w:b w:val="1"/>
                <w:bCs w:val="1"/>
                <w:color w:val="FFFFFF"/>
                <w:w w:val="98"/>
              </w:rPr>
              <w:t>Termination upon</w:t>
            </w:r>
          </w:p>
        </w:tc>
        <w:tc>
          <w:tcPr>
            <w:tcW w:w="14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 for</w:t>
            </w:r>
          </w:p>
        </w:tc>
        <w:tc>
          <w:tcPr>
            <w:tcW w:w="15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w:t>
            </w:r>
          </w:p>
        </w:tc>
        <w:tc>
          <w:tcPr>
            <w:tcW w:w="164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 w/o</w:t>
            </w:r>
          </w:p>
        </w:tc>
        <w:tc>
          <w:tcPr>
            <w:tcW w:w="0" w:type="dxa"/>
            <w:vAlign w:val="bottom"/>
          </w:tcPr>
          <w:p>
            <w:pPr>
              <w:spacing w:after="0"/>
              <w:rPr>
                <w:sz w:val="1"/>
                <w:szCs w:val="1"/>
                <w:color w:val="auto"/>
              </w:rPr>
            </w:pPr>
          </w:p>
        </w:tc>
      </w:tr>
      <w:tr>
        <w:trPr>
          <w:trHeight w:val="72"/>
        </w:trPr>
        <w:tc>
          <w:tcPr>
            <w:tcW w:w="1440" w:type="dxa"/>
            <w:vAlign w:val="bottom"/>
            <w:shd w:val="clear" w:color="auto" w:fill="001446"/>
          </w:tcPr>
          <w:p>
            <w:pPr>
              <w:spacing w:after="0"/>
              <w:rPr>
                <w:sz w:val="6"/>
                <w:szCs w:val="6"/>
                <w:color w:val="auto"/>
              </w:rPr>
            </w:pPr>
          </w:p>
        </w:tc>
        <w:tc>
          <w:tcPr>
            <w:tcW w:w="1800" w:type="dxa"/>
            <w:vAlign w:val="bottom"/>
            <w:shd w:val="clear" w:color="auto" w:fill="001446"/>
          </w:tcPr>
          <w:p>
            <w:pPr>
              <w:spacing w:after="0"/>
              <w:rPr>
                <w:sz w:val="6"/>
                <w:szCs w:val="6"/>
                <w:color w:val="auto"/>
              </w:rPr>
            </w:pPr>
          </w:p>
        </w:tc>
        <w:tc>
          <w:tcPr>
            <w:tcW w:w="2340" w:type="dxa"/>
            <w:vAlign w:val="bottom"/>
            <w:vMerge w:val="continue"/>
            <w:shd w:val="clear" w:color="auto" w:fill="001446"/>
          </w:tcPr>
          <w:p>
            <w:pPr>
              <w:spacing w:after="0"/>
              <w:rPr>
                <w:sz w:val="6"/>
                <w:szCs w:val="6"/>
                <w:color w:val="auto"/>
              </w:rPr>
            </w:pPr>
          </w:p>
        </w:tc>
        <w:tc>
          <w:tcPr>
            <w:tcW w:w="1480" w:type="dxa"/>
            <w:vAlign w:val="bottom"/>
            <w:vMerge w:val="continue"/>
            <w:shd w:val="clear" w:color="auto" w:fill="001446"/>
          </w:tcPr>
          <w:p>
            <w:pPr>
              <w:spacing w:after="0"/>
              <w:rPr>
                <w:sz w:val="6"/>
                <w:szCs w:val="6"/>
                <w:color w:val="auto"/>
              </w:rPr>
            </w:pPr>
          </w:p>
        </w:tc>
        <w:tc>
          <w:tcPr>
            <w:tcW w:w="1580" w:type="dxa"/>
            <w:vAlign w:val="bottom"/>
            <w:vMerge w:val="continue"/>
            <w:shd w:val="clear" w:color="auto" w:fill="001446"/>
          </w:tcPr>
          <w:p>
            <w:pPr>
              <w:spacing w:after="0"/>
              <w:rPr>
                <w:sz w:val="6"/>
                <w:szCs w:val="6"/>
                <w:color w:val="auto"/>
              </w:rPr>
            </w:pPr>
          </w:p>
        </w:tc>
        <w:tc>
          <w:tcPr>
            <w:tcW w:w="164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FFFFFF"/>
                <w:w w:val="97"/>
              </w:rPr>
              <w:t>Cause within 12</w:t>
            </w:r>
          </w:p>
        </w:tc>
        <w:tc>
          <w:tcPr>
            <w:tcW w:w="0" w:type="dxa"/>
            <w:vAlign w:val="bottom"/>
          </w:tcPr>
          <w:p>
            <w:pPr>
              <w:spacing w:after="0"/>
              <w:rPr>
                <w:sz w:val="1"/>
                <w:szCs w:val="1"/>
                <w:color w:val="auto"/>
              </w:rPr>
            </w:pPr>
          </w:p>
        </w:tc>
      </w:tr>
      <w:tr>
        <w:trPr>
          <w:trHeight w:val="72"/>
        </w:trPr>
        <w:tc>
          <w:tcPr>
            <w:tcW w:w="1440" w:type="dxa"/>
            <w:vAlign w:val="bottom"/>
            <w:shd w:val="clear" w:color="auto" w:fill="001446"/>
          </w:tcPr>
          <w:p>
            <w:pPr>
              <w:spacing w:after="0"/>
              <w:rPr>
                <w:sz w:val="6"/>
                <w:szCs w:val="6"/>
                <w:color w:val="auto"/>
              </w:rPr>
            </w:pPr>
          </w:p>
        </w:tc>
        <w:tc>
          <w:tcPr>
            <w:tcW w:w="1800" w:type="dxa"/>
            <w:vAlign w:val="bottom"/>
            <w:vMerge w:val="restart"/>
            <w:shd w:val="clear" w:color="auto" w:fill="001446"/>
          </w:tcPr>
          <w:p>
            <w:pPr>
              <w:ind w:left="80"/>
              <w:spacing w:after="0" w:line="144" w:lineRule="exact"/>
              <w:rPr>
                <w:sz w:val="20"/>
                <w:szCs w:val="20"/>
                <w:color w:val="auto"/>
              </w:rPr>
            </w:pPr>
            <w:r>
              <w:rPr>
                <w:rFonts w:ascii="Arial" w:cs="Arial" w:eastAsia="Arial" w:hAnsi="Arial"/>
                <w:sz w:val="13"/>
                <w:szCs w:val="13"/>
                <w:b w:val="1"/>
                <w:bCs w:val="1"/>
                <w:color w:val="FFFFFF"/>
              </w:rPr>
              <w:t>Name</w:t>
            </w:r>
          </w:p>
        </w:tc>
        <w:tc>
          <w:tcPr>
            <w:tcW w:w="2340" w:type="dxa"/>
            <w:vAlign w:val="bottom"/>
            <w:vMerge w:val="restart"/>
            <w:shd w:val="clear" w:color="auto" w:fill="001446"/>
          </w:tcPr>
          <w:p>
            <w:pPr>
              <w:jc w:val="center"/>
              <w:ind w:left="476"/>
              <w:spacing w:after="0" w:line="144" w:lineRule="exact"/>
              <w:rPr>
                <w:sz w:val="20"/>
                <w:szCs w:val="20"/>
                <w:color w:val="auto"/>
              </w:rPr>
            </w:pPr>
            <w:r>
              <w:rPr>
                <w:rFonts w:ascii="Arial" w:cs="Arial" w:eastAsia="Arial" w:hAnsi="Arial"/>
                <w:sz w:val="13"/>
                <w:szCs w:val="13"/>
                <w:b w:val="1"/>
                <w:bCs w:val="1"/>
                <w:color w:val="FFFFFF"/>
                <w:w w:val="98"/>
              </w:rPr>
              <w:t>Death or Disability of</w:t>
            </w:r>
          </w:p>
        </w:tc>
        <w:tc>
          <w:tcPr>
            <w:tcW w:w="1480" w:type="dxa"/>
            <w:vAlign w:val="bottom"/>
            <w:vMerge w:val="continue"/>
            <w:shd w:val="clear" w:color="auto" w:fill="001446"/>
          </w:tcPr>
          <w:p>
            <w:pPr>
              <w:spacing w:after="0"/>
              <w:rPr>
                <w:sz w:val="6"/>
                <w:szCs w:val="6"/>
                <w:color w:val="auto"/>
              </w:rPr>
            </w:pPr>
          </w:p>
        </w:tc>
        <w:tc>
          <w:tcPr>
            <w:tcW w:w="158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FFFFFF"/>
                <w:w w:val="98"/>
              </w:rPr>
              <w:t>without Cause by</w:t>
            </w:r>
          </w:p>
        </w:tc>
        <w:tc>
          <w:tcPr>
            <w:tcW w:w="164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440" w:type="dxa"/>
            <w:vAlign w:val="bottom"/>
            <w:shd w:val="clear" w:color="auto" w:fill="001446"/>
          </w:tcPr>
          <w:p>
            <w:pPr>
              <w:spacing w:after="0"/>
              <w:rPr>
                <w:sz w:val="6"/>
                <w:szCs w:val="6"/>
                <w:color w:val="auto"/>
              </w:rPr>
            </w:pPr>
          </w:p>
        </w:tc>
        <w:tc>
          <w:tcPr>
            <w:tcW w:w="1800" w:type="dxa"/>
            <w:vAlign w:val="bottom"/>
            <w:vMerge w:val="continue"/>
            <w:shd w:val="clear" w:color="auto" w:fill="001446"/>
          </w:tcPr>
          <w:p>
            <w:pPr>
              <w:spacing w:after="0"/>
              <w:rPr>
                <w:sz w:val="6"/>
                <w:szCs w:val="6"/>
                <w:color w:val="auto"/>
              </w:rPr>
            </w:pPr>
          </w:p>
        </w:tc>
        <w:tc>
          <w:tcPr>
            <w:tcW w:w="2340" w:type="dxa"/>
            <w:vAlign w:val="bottom"/>
            <w:vMerge w:val="continue"/>
            <w:shd w:val="clear" w:color="auto" w:fill="001446"/>
          </w:tcPr>
          <w:p>
            <w:pPr>
              <w:spacing w:after="0"/>
              <w:rPr>
                <w:sz w:val="6"/>
                <w:szCs w:val="6"/>
                <w:color w:val="auto"/>
              </w:rPr>
            </w:pPr>
          </w:p>
        </w:tc>
        <w:tc>
          <w:tcPr>
            <w:tcW w:w="148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FFFFFF"/>
                <w:w w:val="99"/>
              </w:rPr>
              <w:t>Cause ($)</w:t>
            </w:r>
          </w:p>
        </w:tc>
        <w:tc>
          <w:tcPr>
            <w:tcW w:w="1580" w:type="dxa"/>
            <w:vAlign w:val="bottom"/>
            <w:vMerge w:val="continue"/>
            <w:shd w:val="clear" w:color="auto" w:fill="001446"/>
          </w:tcPr>
          <w:p>
            <w:pPr>
              <w:spacing w:after="0"/>
              <w:rPr>
                <w:sz w:val="6"/>
                <w:szCs w:val="6"/>
                <w:color w:val="auto"/>
              </w:rPr>
            </w:pPr>
          </w:p>
        </w:tc>
        <w:tc>
          <w:tcPr>
            <w:tcW w:w="1640" w:type="dxa"/>
            <w:vAlign w:val="bottom"/>
            <w:vMerge w:val="restart"/>
            <w:shd w:val="clear" w:color="auto" w:fill="001446"/>
          </w:tcPr>
          <w:p>
            <w:pPr>
              <w:jc w:val="center"/>
              <w:spacing w:after="0" w:line="144" w:lineRule="exact"/>
              <w:rPr>
                <w:sz w:val="20"/>
                <w:szCs w:val="20"/>
                <w:color w:val="auto"/>
              </w:rPr>
            </w:pPr>
            <w:r>
              <w:rPr>
                <w:rFonts w:ascii="Arial" w:cs="Arial" w:eastAsia="Arial" w:hAnsi="Arial"/>
                <w:sz w:val="13"/>
                <w:szCs w:val="13"/>
                <w:b w:val="1"/>
                <w:bCs w:val="1"/>
                <w:color w:val="FFFFFF"/>
                <w:w w:val="98"/>
              </w:rPr>
              <w:t>months of Change</w:t>
            </w:r>
          </w:p>
        </w:tc>
        <w:tc>
          <w:tcPr>
            <w:tcW w:w="0" w:type="dxa"/>
            <w:vAlign w:val="bottom"/>
          </w:tcPr>
          <w:p>
            <w:pPr>
              <w:spacing w:after="0"/>
              <w:rPr>
                <w:sz w:val="1"/>
                <w:szCs w:val="1"/>
                <w:color w:val="auto"/>
              </w:rPr>
            </w:pPr>
          </w:p>
        </w:tc>
      </w:tr>
      <w:tr>
        <w:trPr>
          <w:trHeight w:val="72"/>
        </w:trPr>
        <w:tc>
          <w:tcPr>
            <w:tcW w:w="1440" w:type="dxa"/>
            <w:vAlign w:val="bottom"/>
            <w:shd w:val="clear" w:color="auto" w:fill="001446"/>
          </w:tcPr>
          <w:p>
            <w:pPr>
              <w:spacing w:after="0"/>
              <w:rPr>
                <w:sz w:val="6"/>
                <w:szCs w:val="6"/>
                <w:color w:val="auto"/>
              </w:rPr>
            </w:pPr>
          </w:p>
        </w:tc>
        <w:tc>
          <w:tcPr>
            <w:tcW w:w="1800" w:type="dxa"/>
            <w:vAlign w:val="bottom"/>
            <w:shd w:val="clear" w:color="auto" w:fill="001446"/>
          </w:tcPr>
          <w:p>
            <w:pPr>
              <w:spacing w:after="0"/>
              <w:rPr>
                <w:sz w:val="6"/>
                <w:szCs w:val="6"/>
                <w:color w:val="auto"/>
              </w:rPr>
            </w:pPr>
          </w:p>
        </w:tc>
        <w:tc>
          <w:tcPr>
            <w:tcW w:w="2340" w:type="dxa"/>
            <w:vAlign w:val="bottom"/>
            <w:vMerge w:val="restart"/>
            <w:shd w:val="clear" w:color="auto" w:fill="001446"/>
          </w:tcPr>
          <w:p>
            <w:pPr>
              <w:jc w:val="center"/>
              <w:ind w:left="476"/>
              <w:spacing w:after="0"/>
              <w:rPr>
                <w:sz w:val="20"/>
                <w:szCs w:val="20"/>
                <w:color w:val="auto"/>
              </w:rPr>
            </w:pPr>
            <w:r>
              <w:rPr>
                <w:rFonts w:ascii="Arial" w:cs="Arial" w:eastAsia="Arial" w:hAnsi="Arial"/>
                <w:sz w:val="13"/>
                <w:szCs w:val="13"/>
                <w:b w:val="1"/>
                <w:bCs w:val="1"/>
                <w:color w:val="FFFFFF"/>
                <w:w w:val="98"/>
              </w:rPr>
              <w:t>Employee ($)</w:t>
            </w:r>
          </w:p>
        </w:tc>
        <w:tc>
          <w:tcPr>
            <w:tcW w:w="1480" w:type="dxa"/>
            <w:vAlign w:val="bottom"/>
            <w:vMerge w:val="continue"/>
            <w:shd w:val="clear" w:color="auto" w:fill="001446"/>
          </w:tcPr>
          <w:p>
            <w:pPr>
              <w:spacing w:after="0"/>
              <w:rPr>
                <w:sz w:val="6"/>
                <w:szCs w:val="6"/>
                <w:color w:val="auto"/>
              </w:rPr>
            </w:pPr>
          </w:p>
        </w:tc>
        <w:tc>
          <w:tcPr>
            <w:tcW w:w="15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the Company ($)</w:t>
            </w:r>
          </w:p>
        </w:tc>
        <w:tc>
          <w:tcPr>
            <w:tcW w:w="164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440" w:type="dxa"/>
            <w:vAlign w:val="bottom"/>
            <w:shd w:val="clear" w:color="auto" w:fill="001446"/>
          </w:tcPr>
          <w:p>
            <w:pPr>
              <w:spacing w:after="0"/>
              <w:rPr>
                <w:sz w:val="9"/>
                <w:szCs w:val="9"/>
                <w:color w:val="auto"/>
              </w:rPr>
            </w:pPr>
          </w:p>
        </w:tc>
        <w:tc>
          <w:tcPr>
            <w:tcW w:w="1800" w:type="dxa"/>
            <w:vAlign w:val="bottom"/>
            <w:shd w:val="clear" w:color="auto" w:fill="001446"/>
          </w:tcPr>
          <w:p>
            <w:pPr>
              <w:spacing w:after="0"/>
              <w:rPr>
                <w:sz w:val="9"/>
                <w:szCs w:val="9"/>
                <w:color w:val="auto"/>
              </w:rPr>
            </w:pPr>
          </w:p>
        </w:tc>
        <w:tc>
          <w:tcPr>
            <w:tcW w:w="2340" w:type="dxa"/>
            <w:vAlign w:val="bottom"/>
            <w:vMerge w:val="continue"/>
            <w:shd w:val="clear" w:color="auto" w:fill="001446"/>
          </w:tcPr>
          <w:p>
            <w:pPr>
              <w:spacing w:after="0"/>
              <w:rPr>
                <w:sz w:val="9"/>
                <w:szCs w:val="9"/>
                <w:color w:val="auto"/>
              </w:rPr>
            </w:pPr>
          </w:p>
        </w:tc>
        <w:tc>
          <w:tcPr>
            <w:tcW w:w="1480" w:type="dxa"/>
            <w:vAlign w:val="bottom"/>
            <w:shd w:val="clear" w:color="auto" w:fill="001446"/>
          </w:tcPr>
          <w:p>
            <w:pPr>
              <w:spacing w:after="0"/>
              <w:rPr>
                <w:sz w:val="9"/>
                <w:szCs w:val="9"/>
                <w:color w:val="auto"/>
              </w:rPr>
            </w:pPr>
          </w:p>
        </w:tc>
        <w:tc>
          <w:tcPr>
            <w:tcW w:w="1580" w:type="dxa"/>
            <w:vAlign w:val="bottom"/>
            <w:vMerge w:val="continue"/>
            <w:shd w:val="clear" w:color="auto" w:fill="001446"/>
          </w:tcPr>
          <w:p>
            <w:pPr>
              <w:spacing w:after="0"/>
              <w:rPr>
                <w:sz w:val="9"/>
                <w:szCs w:val="9"/>
                <w:color w:val="auto"/>
              </w:rPr>
            </w:pPr>
          </w:p>
        </w:tc>
        <w:tc>
          <w:tcPr>
            <w:tcW w:w="16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in Control ($)</w:t>
            </w:r>
          </w:p>
        </w:tc>
        <w:tc>
          <w:tcPr>
            <w:tcW w:w="0" w:type="dxa"/>
            <w:vAlign w:val="bottom"/>
          </w:tcPr>
          <w:p>
            <w:pPr>
              <w:spacing w:after="0"/>
              <w:rPr>
                <w:sz w:val="1"/>
                <w:szCs w:val="1"/>
                <w:color w:val="auto"/>
              </w:rPr>
            </w:pPr>
          </w:p>
        </w:tc>
      </w:tr>
      <w:tr>
        <w:trPr>
          <w:trHeight w:val="95"/>
        </w:trPr>
        <w:tc>
          <w:tcPr>
            <w:tcW w:w="1440" w:type="dxa"/>
            <w:vAlign w:val="bottom"/>
            <w:tcBorders>
              <w:bottom w:val="single" w:sz="8" w:color="001446"/>
            </w:tcBorders>
            <w:shd w:val="clear" w:color="auto" w:fill="001446"/>
          </w:tcPr>
          <w:p>
            <w:pPr>
              <w:spacing w:after="0"/>
              <w:rPr>
                <w:sz w:val="8"/>
                <w:szCs w:val="8"/>
                <w:color w:val="auto"/>
              </w:rPr>
            </w:pPr>
          </w:p>
        </w:tc>
        <w:tc>
          <w:tcPr>
            <w:tcW w:w="1800" w:type="dxa"/>
            <w:vAlign w:val="bottom"/>
            <w:tcBorders>
              <w:bottom w:val="single" w:sz="8" w:color="001446"/>
            </w:tcBorders>
            <w:shd w:val="clear" w:color="auto" w:fill="001446"/>
          </w:tcPr>
          <w:p>
            <w:pPr>
              <w:spacing w:after="0"/>
              <w:rPr>
                <w:sz w:val="8"/>
                <w:szCs w:val="8"/>
                <w:color w:val="auto"/>
              </w:rPr>
            </w:pPr>
          </w:p>
        </w:tc>
        <w:tc>
          <w:tcPr>
            <w:tcW w:w="2340" w:type="dxa"/>
            <w:vAlign w:val="bottom"/>
            <w:tcBorders>
              <w:bottom w:val="single" w:sz="8" w:color="001446"/>
            </w:tcBorders>
            <w:shd w:val="clear" w:color="auto" w:fill="001446"/>
          </w:tcPr>
          <w:p>
            <w:pPr>
              <w:spacing w:after="0"/>
              <w:rPr>
                <w:sz w:val="8"/>
                <w:szCs w:val="8"/>
                <w:color w:val="auto"/>
              </w:rPr>
            </w:pPr>
          </w:p>
        </w:tc>
        <w:tc>
          <w:tcPr>
            <w:tcW w:w="1480" w:type="dxa"/>
            <w:vAlign w:val="bottom"/>
            <w:tcBorders>
              <w:bottom w:val="single" w:sz="8" w:color="001446"/>
            </w:tcBorders>
            <w:shd w:val="clear" w:color="auto" w:fill="001446"/>
          </w:tcPr>
          <w:p>
            <w:pPr>
              <w:spacing w:after="0"/>
              <w:rPr>
                <w:sz w:val="8"/>
                <w:szCs w:val="8"/>
                <w:color w:val="auto"/>
              </w:rPr>
            </w:pPr>
          </w:p>
        </w:tc>
        <w:tc>
          <w:tcPr>
            <w:tcW w:w="1580" w:type="dxa"/>
            <w:vAlign w:val="bottom"/>
            <w:tcBorders>
              <w:bottom w:val="single" w:sz="8" w:color="001446"/>
            </w:tcBorders>
            <w:shd w:val="clear" w:color="auto" w:fill="001446"/>
          </w:tcPr>
          <w:p>
            <w:pPr>
              <w:spacing w:after="0"/>
              <w:rPr>
                <w:sz w:val="8"/>
                <w:szCs w:val="8"/>
                <w:color w:val="auto"/>
              </w:rPr>
            </w:pPr>
          </w:p>
        </w:tc>
        <w:tc>
          <w:tcPr>
            <w:tcW w:w="1640" w:type="dxa"/>
            <w:vAlign w:val="bottom"/>
            <w:tcBorders>
              <w:bottom w:val="single" w:sz="8" w:color="001446"/>
            </w:tcBorders>
            <w:vMerge w:val="continue"/>
            <w:shd w:val="clear" w:color="auto" w:fill="001446"/>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800" w:type="dxa"/>
            <w:vAlign w:val="bottom"/>
          </w:tcPr>
          <w:p>
            <w:pPr>
              <w:ind w:left="80"/>
              <w:spacing w:after="0"/>
              <w:rPr>
                <w:sz w:val="20"/>
                <w:szCs w:val="20"/>
                <w:color w:val="auto"/>
              </w:rPr>
            </w:pPr>
            <w:r>
              <w:rPr>
                <w:rFonts w:ascii="Arial" w:cs="Arial" w:eastAsia="Arial" w:hAnsi="Arial"/>
                <w:sz w:val="13"/>
                <w:szCs w:val="13"/>
                <w:b w:val="1"/>
                <w:bCs w:val="1"/>
                <w:color w:val="001446"/>
              </w:rPr>
              <w:t>Shuki Nir</w:t>
            </w:r>
          </w:p>
        </w:tc>
        <w:tc>
          <w:tcPr>
            <w:tcW w:w="2340" w:type="dxa"/>
            <w:vAlign w:val="bottom"/>
          </w:tcPr>
          <w:p>
            <w:pPr>
              <w:jc w:val="center"/>
              <w:ind w:left="476"/>
              <w:spacing w:after="0"/>
              <w:rPr>
                <w:sz w:val="20"/>
                <w:szCs w:val="20"/>
                <w:color w:val="auto"/>
              </w:rPr>
            </w:pPr>
            <w:r>
              <w:rPr>
                <w:rFonts w:ascii="Arial" w:cs="Arial" w:eastAsia="Arial" w:hAnsi="Arial"/>
                <w:sz w:val="13"/>
                <w:szCs w:val="13"/>
                <w:b w:val="1"/>
                <w:bCs w:val="1"/>
                <w:color w:val="001446"/>
                <w:w w:val="98"/>
              </w:rPr>
              <w:t>14,964,553</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640" w:type="dxa"/>
            <w:vAlign w:val="bottom"/>
          </w:tcPr>
          <w:p>
            <w:pPr>
              <w:jc w:val="right"/>
              <w:ind w:right="196"/>
              <w:spacing w:after="0"/>
              <w:rPr>
                <w:sz w:val="20"/>
                <w:szCs w:val="20"/>
                <w:color w:val="auto"/>
              </w:rPr>
            </w:pPr>
            <w:r>
              <w:rPr>
                <w:rFonts w:ascii="Arial" w:cs="Arial" w:eastAsia="Arial" w:hAnsi="Arial"/>
                <w:sz w:val="13"/>
                <w:szCs w:val="13"/>
                <w:color w:val="001446"/>
              </w:rPr>
              <w:t>14,964,553</w:t>
            </w:r>
          </w:p>
        </w:tc>
        <w:tc>
          <w:tcPr>
            <w:tcW w:w="0" w:type="dxa"/>
            <w:vAlign w:val="bottom"/>
          </w:tcPr>
          <w:p>
            <w:pPr>
              <w:spacing w:after="0"/>
              <w:rPr>
                <w:sz w:val="1"/>
                <w:szCs w:val="1"/>
                <w:color w:val="auto"/>
              </w:rPr>
            </w:pPr>
          </w:p>
        </w:tc>
      </w:tr>
      <w:tr>
        <w:trPr>
          <w:trHeight w:val="214"/>
        </w:trPr>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8"/>
              </w:rPr>
              <w:t>Equity Grants</w:t>
            </w:r>
          </w:p>
        </w:tc>
        <w:tc>
          <w:tcPr>
            <w:tcW w:w="1800" w:type="dxa"/>
            <w:vAlign w:val="bottom"/>
            <w:shd w:val="clear" w:color="auto" w:fill="F2F2F2"/>
          </w:tcPr>
          <w:p>
            <w:pPr>
              <w:ind w:left="80"/>
              <w:spacing w:after="0"/>
              <w:rPr>
                <w:sz w:val="20"/>
                <w:szCs w:val="20"/>
                <w:color w:val="auto"/>
              </w:rPr>
            </w:pPr>
            <w:r>
              <w:rPr>
                <w:rFonts w:ascii="Arial" w:cs="Arial" w:eastAsia="Arial" w:hAnsi="Arial"/>
                <w:sz w:val="13"/>
                <w:szCs w:val="13"/>
                <w:b w:val="1"/>
                <w:bCs w:val="1"/>
                <w:color w:val="001446"/>
              </w:rPr>
              <w:t>Asaf Alperovitz</w:t>
            </w:r>
          </w:p>
        </w:tc>
        <w:tc>
          <w:tcPr>
            <w:tcW w:w="2340" w:type="dxa"/>
            <w:vAlign w:val="bottom"/>
            <w:shd w:val="clear" w:color="auto" w:fill="F2F2F2"/>
          </w:tcPr>
          <w:p>
            <w:pPr>
              <w:jc w:val="center"/>
              <w:ind w:left="476"/>
              <w:spacing w:after="0"/>
              <w:rPr>
                <w:sz w:val="20"/>
                <w:szCs w:val="20"/>
                <w:color w:val="auto"/>
              </w:rPr>
            </w:pPr>
            <w:r>
              <w:rPr>
                <w:rFonts w:ascii="Arial" w:cs="Arial" w:eastAsia="Arial" w:hAnsi="Arial"/>
                <w:sz w:val="13"/>
                <w:szCs w:val="13"/>
                <w:b w:val="1"/>
                <w:bCs w:val="1"/>
                <w:color w:val="001446"/>
                <w:w w:val="96"/>
              </w:rPr>
              <w:t>2,694,590</w:t>
            </w:r>
          </w:p>
        </w:tc>
        <w:tc>
          <w:tcPr>
            <w:tcW w:w="14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5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640" w:type="dxa"/>
            <w:vAlign w:val="bottom"/>
            <w:shd w:val="clear" w:color="auto" w:fill="F2F2F2"/>
          </w:tcPr>
          <w:p>
            <w:pPr>
              <w:jc w:val="right"/>
              <w:ind w:right="176"/>
              <w:spacing w:after="0"/>
              <w:rPr>
                <w:sz w:val="20"/>
                <w:szCs w:val="20"/>
                <w:color w:val="auto"/>
              </w:rPr>
            </w:pPr>
            <w:r>
              <w:rPr>
                <w:rFonts w:ascii="Arial" w:cs="Arial" w:eastAsia="Arial" w:hAnsi="Arial"/>
                <w:sz w:val="13"/>
                <w:szCs w:val="13"/>
                <w:color w:val="001446"/>
              </w:rPr>
              <w:t>2,694,590</w:t>
            </w:r>
          </w:p>
        </w:tc>
        <w:tc>
          <w:tcPr>
            <w:tcW w:w="0" w:type="dxa"/>
            <w:vAlign w:val="bottom"/>
          </w:tcPr>
          <w:p>
            <w:pPr>
              <w:spacing w:after="0"/>
              <w:rPr>
                <w:sz w:val="1"/>
                <w:szCs w:val="1"/>
                <w:color w:val="auto"/>
              </w:rPr>
            </w:pPr>
          </w:p>
        </w:tc>
      </w:tr>
      <w:tr>
        <w:trPr>
          <w:trHeight w:val="202"/>
        </w:trPr>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Vesting (1)</w:t>
            </w:r>
          </w:p>
        </w:tc>
        <w:tc>
          <w:tcPr>
            <w:tcW w:w="1800" w:type="dxa"/>
            <w:vAlign w:val="bottom"/>
          </w:tcPr>
          <w:p>
            <w:pPr>
              <w:ind w:left="80"/>
              <w:spacing w:after="0"/>
              <w:rPr>
                <w:sz w:val="20"/>
                <w:szCs w:val="20"/>
                <w:color w:val="auto"/>
              </w:rPr>
            </w:pPr>
            <w:r>
              <w:rPr>
                <w:rFonts w:ascii="Arial" w:cs="Arial" w:eastAsia="Arial" w:hAnsi="Arial"/>
                <w:sz w:val="13"/>
                <w:szCs w:val="13"/>
                <w:b w:val="1"/>
                <w:bCs w:val="1"/>
                <w:color w:val="001446"/>
              </w:rPr>
              <w:t>Uri Bechor</w:t>
            </w:r>
          </w:p>
        </w:tc>
        <w:tc>
          <w:tcPr>
            <w:tcW w:w="2340" w:type="dxa"/>
            <w:vAlign w:val="bottom"/>
          </w:tcPr>
          <w:p>
            <w:pPr>
              <w:jc w:val="center"/>
              <w:ind w:left="476"/>
              <w:spacing w:after="0"/>
              <w:rPr>
                <w:sz w:val="20"/>
                <w:szCs w:val="20"/>
                <w:color w:val="auto"/>
              </w:rPr>
            </w:pPr>
            <w:r>
              <w:rPr>
                <w:rFonts w:ascii="Arial" w:cs="Arial" w:eastAsia="Arial" w:hAnsi="Arial"/>
                <w:sz w:val="13"/>
                <w:szCs w:val="13"/>
                <w:b w:val="1"/>
                <w:bCs w:val="1"/>
                <w:color w:val="001446"/>
                <w:w w:val="96"/>
              </w:rPr>
              <w:t>8,503,105</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640" w:type="dxa"/>
            <w:vAlign w:val="bottom"/>
          </w:tcPr>
          <w:p>
            <w:pPr>
              <w:jc w:val="right"/>
              <w:ind w:right="236"/>
              <w:spacing w:after="0"/>
              <w:rPr>
                <w:sz w:val="20"/>
                <w:szCs w:val="20"/>
                <w:color w:val="auto"/>
              </w:rPr>
            </w:pPr>
            <w:r>
              <w:rPr>
                <w:rFonts w:ascii="Arial" w:cs="Arial" w:eastAsia="Arial" w:hAnsi="Arial"/>
                <w:sz w:val="13"/>
                <w:szCs w:val="13"/>
                <w:color w:val="001446"/>
              </w:rPr>
              <w:t>8,503,105</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180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001446"/>
              </w:rPr>
              <w:t>Daniel Huber</w:t>
            </w:r>
          </w:p>
        </w:tc>
        <w:tc>
          <w:tcPr>
            <w:tcW w:w="2340" w:type="dxa"/>
            <w:vAlign w:val="bottom"/>
            <w:tcBorders>
              <w:bottom w:val="single" w:sz="8" w:color="auto"/>
            </w:tcBorders>
            <w:shd w:val="clear" w:color="auto" w:fill="F2F2F2"/>
          </w:tcPr>
          <w:p>
            <w:pPr>
              <w:jc w:val="center"/>
              <w:ind w:left="476"/>
              <w:spacing w:after="0"/>
              <w:rPr>
                <w:sz w:val="20"/>
                <w:szCs w:val="20"/>
                <w:color w:val="auto"/>
              </w:rPr>
            </w:pPr>
            <w:r>
              <w:rPr>
                <w:rFonts w:ascii="Arial" w:cs="Arial" w:eastAsia="Arial" w:hAnsi="Arial"/>
                <w:sz w:val="13"/>
                <w:szCs w:val="13"/>
                <w:b w:val="1"/>
                <w:bCs w:val="1"/>
                <w:color w:val="001446"/>
                <w:w w:val="96"/>
              </w:rPr>
              <w:t>3,291,670</w:t>
            </w:r>
          </w:p>
        </w:tc>
        <w:tc>
          <w:tcPr>
            <w:tcW w:w="14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640" w:type="dxa"/>
            <w:vAlign w:val="bottom"/>
            <w:tcBorders>
              <w:bottom w:val="single" w:sz="8" w:color="auto"/>
            </w:tcBorders>
            <w:shd w:val="clear" w:color="auto" w:fill="F2F2F2"/>
          </w:tcPr>
          <w:p>
            <w:pPr>
              <w:jc w:val="right"/>
              <w:ind w:right="176"/>
              <w:spacing w:after="0"/>
              <w:rPr>
                <w:sz w:val="20"/>
                <w:szCs w:val="20"/>
                <w:color w:val="auto"/>
              </w:rPr>
            </w:pPr>
            <w:r>
              <w:rPr>
                <w:rFonts w:ascii="Arial" w:cs="Arial" w:eastAsia="Arial" w:hAnsi="Arial"/>
                <w:sz w:val="13"/>
                <w:szCs w:val="13"/>
                <w:color w:val="001446"/>
              </w:rPr>
              <w:t>3,291,670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84" w:right="260" w:hanging="284"/>
        <w:spacing w:after="0" w:line="243" w:lineRule="auto"/>
        <w:tabs>
          <w:tab w:leader="none" w:pos="284" w:val="left"/>
        </w:tabs>
        <w:numPr>
          <w:ilvl w:val="0"/>
          <w:numId w:val="121"/>
        </w:numPr>
        <w:rPr>
          <w:rFonts w:ascii="Arial" w:cs="Arial" w:eastAsia="Arial" w:hAnsi="Arial"/>
          <w:sz w:val="13"/>
          <w:szCs w:val="13"/>
          <w:color w:val="001446"/>
        </w:rPr>
      </w:pPr>
      <w:r>
        <w:rPr>
          <w:rFonts w:ascii="Arial" w:cs="Arial" w:eastAsia="Arial" w:hAnsi="Arial"/>
          <w:sz w:val="13"/>
          <w:szCs w:val="13"/>
          <w:color w:val="001446"/>
        </w:rPr>
        <w:t>The value realized is based on the difference between the exercise price of the stock options and the closing price of our common stock on December 31, 2025 ($28.85); however, no value is reflected herein for outstanding stock options, as the exercise price of all outstanding stock options exceeded the closing price of our common stock on December 31, 2025. In the case of RSUs and PSUs, the number of units that would have vested multiplied by the closing price of our common stock on December 31, 2025 ($28.85).</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22"/>
          <w:szCs w:val="22"/>
          <w:color w:val="001446"/>
        </w:rPr>
        <w:t>2025 CEO Pay Ratio</w:t>
      </w:r>
    </w:p>
    <w:p>
      <w:pPr>
        <w:spacing w:after="0" w:line="183" w:lineRule="exact"/>
        <w:rPr>
          <w:sz w:val="20"/>
          <w:szCs w:val="20"/>
          <w:color w:val="auto"/>
        </w:rPr>
      </w:pPr>
    </w:p>
    <w:p>
      <w:pPr>
        <w:ind w:left="4" w:right="640"/>
        <w:spacing w:after="0" w:line="253" w:lineRule="auto"/>
        <w:rPr>
          <w:sz w:val="20"/>
          <w:szCs w:val="20"/>
          <w:color w:val="auto"/>
        </w:rPr>
      </w:pPr>
      <w:r>
        <w:rPr>
          <w:rFonts w:ascii="Arial" w:cs="Arial" w:eastAsia="Arial" w:hAnsi="Arial"/>
          <w:sz w:val="14"/>
          <w:szCs w:val="14"/>
          <w:color w:val="001446"/>
        </w:rPr>
        <w:t>Under the Dodd- Frank Wall Street Reform and Consumer Protection Act and Item 402(u) of Regulation S-K, we are required to disclose the annual total compensation of our median employee, the annual total compensation of our CEO, Mr. Shuki Nir, and the ratio of these two amounts. For 2025,</w:t>
      </w:r>
    </w:p>
    <w:p>
      <w:pPr>
        <w:spacing w:after="0" w:line="1" w:lineRule="exact"/>
        <w:rPr>
          <w:sz w:val="20"/>
          <w:szCs w:val="20"/>
          <w:color w:val="auto"/>
        </w:rPr>
      </w:pPr>
    </w:p>
    <w:p>
      <w:pPr>
        <w:ind w:left="864" w:right="200" w:hanging="288"/>
        <w:spacing w:after="0" w:line="250" w:lineRule="auto"/>
        <w:tabs>
          <w:tab w:leader="none" w:pos="864" w:val="left"/>
        </w:tabs>
        <w:numPr>
          <w:ilvl w:val="0"/>
          <w:numId w:val="122"/>
        </w:numPr>
        <w:rPr>
          <w:rFonts w:ascii="Arial" w:cs="Arial" w:eastAsia="Arial" w:hAnsi="Arial"/>
          <w:sz w:val="14"/>
          <w:szCs w:val="14"/>
          <w:color w:val="FF0000"/>
        </w:rPr>
      </w:pPr>
      <w:r>
        <w:rPr>
          <w:rFonts w:ascii="Arial" w:cs="Arial" w:eastAsia="Arial" w:hAnsi="Arial"/>
          <w:sz w:val="14"/>
          <w:szCs w:val="14"/>
          <w:color w:val="001446"/>
        </w:rPr>
        <w:t>The annual total compensation of the median compensated of all of our employees who were employed as of December 31, 2025, other than Mr. Nir, was $74,248.</w:t>
      </w:r>
    </w:p>
    <w:p>
      <w:pPr>
        <w:ind w:left="864" w:right="200" w:hanging="288"/>
        <w:spacing w:after="0" w:line="293" w:lineRule="auto"/>
        <w:tabs>
          <w:tab w:leader="none" w:pos="864" w:val="left"/>
        </w:tabs>
        <w:numPr>
          <w:ilvl w:val="0"/>
          <w:numId w:val="122"/>
        </w:numPr>
        <w:rPr>
          <w:rFonts w:ascii="Arial" w:cs="Arial" w:eastAsia="Arial" w:hAnsi="Arial"/>
          <w:sz w:val="14"/>
          <w:szCs w:val="14"/>
          <w:color w:val="FF0000"/>
        </w:rPr>
      </w:pPr>
      <w:r>
        <w:rPr>
          <w:rFonts w:ascii="Arial" w:cs="Arial" w:eastAsia="Arial" w:hAnsi="Arial"/>
          <w:sz w:val="14"/>
          <w:szCs w:val="14"/>
          <w:color w:val="001446"/>
        </w:rPr>
        <w:t>Mr. Nir’s annual total compensation was $5,061,438. Based on this information, the ratio of the annual total compensation of Mr. Nir to the annual total compensation of our median employee is 68.17 to 1.</w:t>
      </w:r>
    </w:p>
    <w:p>
      <w:pPr>
        <w:spacing w:after="0" w:line="107" w:lineRule="exact"/>
        <w:rPr>
          <w:sz w:val="20"/>
          <w:szCs w:val="20"/>
          <w:color w:val="auto"/>
        </w:rPr>
      </w:pPr>
    </w:p>
    <w:p>
      <w:pPr>
        <w:ind w:left="4" w:right="340"/>
        <w:spacing w:after="0" w:line="266" w:lineRule="auto"/>
        <w:rPr>
          <w:sz w:val="20"/>
          <w:szCs w:val="20"/>
          <w:color w:val="auto"/>
        </w:rPr>
      </w:pPr>
      <w:r>
        <w:rPr>
          <w:rFonts w:ascii="Arial" w:cs="Arial" w:eastAsia="Arial" w:hAnsi="Arial"/>
          <w:sz w:val="14"/>
          <w:szCs w:val="14"/>
          <w:color w:val="001446"/>
        </w:rPr>
        <w:t>Our pay ratio is a reasonable estimate calculated in a manner consistent with SEC rules based on our payroll and employment records and the methodology described below. To identify the “median employee,” we utilized the 2025 base salary earned during the year and target annual cash incentive for the 2025 performance year, which we annualized for any permanent employee who did not work for the entire year. Earnings of our employees outside the U.S. were converted to U.S. dollars using annual average currency exchange rates.</w:t>
      </w:r>
    </w:p>
    <w:p>
      <w:pPr>
        <w:spacing w:after="0" w:line="126" w:lineRule="exact"/>
        <w:rPr>
          <w:sz w:val="20"/>
          <w:szCs w:val="20"/>
          <w:color w:val="auto"/>
        </w:rPr>
      </w:pPr>
    </w:p>
    <w:p>
      <w:pPr>
        <w:ind w:left="4" w:right="80"/>
        <w:spacing w:after="0" w:line="253" w:lineRule="auto"/>
        <w:rPr>
          <w:sz w:val="20"/>
          <w:szCs w:val="20"/>
          <w:color w:val="auto"/>
        </w:rPr>
      </w:pPr>
      <w:r>
        <w:rPr>
          <w:rFonts w:ascii="Arial" w:cs="Arial" w:eastAsia="Arial" w:hAnsi="Arial"/>
          <w:sz w:val="14"/>
          <w:szCs w:val="14"/>
          <w:color w:val="001446"/>
        </w:rPr>
        <w:t>Using the measure described above, we identified a “median employee” who is a full-time employee located in US and calculated the median employee’s annual total compensation for our pay ratio in accordance with applicable SEC rules for calculating Summary Compensation Table total compensation.</w:t>
      </w:r>
    </w:p>
    <w:p>
      <w:pPr>
        <w:spacing w:after="0" w:line="1" w:lineRule="exact"/>
        <w:rPr>
          <w:sz w:val="20"/>
          <w:szCs w:val="20"/>
          <w:color w:val="auto"/>
        </w:rPr>
      </w:pPr>
    </w:p>
    <w:p>
      <w:pPr>
        <w:ind w:left="4"/>
        <w:spacing w:after="0" w:line="259" w:lineRule="auto"/>
        <w:rPr>
          <w:sz w:val="20"/>
          <w:szCs w:val="20"/>
          <w:color w:val="auto"/>
        </w:rPr>
      </w:pPr>
      <w:r>
        <w:rPr>
          <w:rFonts w:ascii="Arial" w:cs="Arial" w:eastAsia="Arial" w:hAnsi="Arial"/>
          <w:sz w:val="14"/>
          <w:szCs w:val="14"/>
          <w:color w:val="001446"/>
        </w:rPr>
        <w:t>SolarEdge is a global company, with operations worldwide and with its executive officers and a majority of its employees located in Israel, the country in which our headquarters office is located. Because the SEC rules for identifying our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for our Company, as other companies have headquarters offices in different countries, have different employee populations and compensation practices and may utilize different methodologies, exclusions, estimates and assumptions in calculating their pay ratios.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92710</wp:posOffset>
                </wp:positionV>
                <wp:extent cx="6532880" cy="5842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401" o:spid="_x0000_s1426" style="position:absolute;margin-left:0pt;margin-top:7.3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6"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539115</wp:posOffset>
                </wp:positionV>
                <wp:extent cx="653224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45pt" to="514.35pt,42.45pt" o:allowincell="f" strokecolor="#000000" strokeweight="1.6199pt"/>
            </w:pict>
          </mc:Fallback>
        </mc:AlternateContent>
      </w:r>
    </w:p>
    <w:p>
      <w:pPr>
        <w:sectPr>
          <w:pgSz w:w="11900" w:h="16840" w:orient="portrait"/>
          <w:cols w:equalWidth="0" w:num="1">
            <w:col w:w="10284"/>
          </w:cols>
          <w:pgMar w:left="816" w:top="971" w:right="804" w:bottom="1440" w:gutter="0" w:footer="0" w:header="0"/>
        </w:sectPr>
      </w:pPr>
    </w:p>
    <w:bookmarkStart w:id="209" w:name="page210"/>
    <w:bookmarkEnd w:id="209"/>
    <w:p>
      <w:pPr>
        <w:ind w:left="4"/>
        <w:spacing w:after="0"/>
        <w:rPr>
          <w:sz w:val="20"/>
          <w:szCs w:val="20"/>
          <w:color w:val="auto"/>
        </w:rPr>
      </w:pPr>
      <w:r>
        <w:rPr>
          <w:rFonts w:ascii="Arial" w:cs="Arial" w:eastAsia="Arial" w:hAnsi="Arial"/>
          <w:sz w:val="22"/>
          <w:szCs w:val="22"/>
          <w:color w:val="001446"/>
        </w:rPr>
        <w:t>2025 Pay Versus Performance Disclosure</w:t>
      </w:r>
    </w:p>
    <w:p>
      <w:pPr>
        <w:spacing w:after="0" w:line="184" w:lineRule="exact"/>
        <w:rPr>
          <w:sz w:val="20"/>
          <w:szCs w:val="20"/>
          <w:color w:val="auto"/>
        </w:rPr>
      </w:pPr>
    </w:p>
    <w:p>
      <w:pPr>
        <w:ind w:left="4" w:right="220"/>
        <w:spacing w:after="0" w:line="266" w:lineRule="auto"/>
        <w:rPr>
          <w:sz w:val="20"/>
          <w:szCs w:val="20"/>
          <w:color w:val="auto"/>
        </w:rPr>
      </w:pPr>
      <w:r>
        <w:rPr>
          <w:rFonts w:ascii="Arial" w:cs="Arial" w:eastAsia="Arial" w:hAnsi="Arial"/>
          <w:sz w:val="14"/>
          <w:szCs w:val="14"/>
          <w:color w:val="001446"/>
        </w:rPr>
        <w:t>As required by Section 953(a) of the Dodd- 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pay for performance philosophy and how the Company aligns executive compensation with the Company’s performance, refer to “Executive Compensation – Compensation Discussion and Analysis.”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400" w:type="dxa"/>
            <w:vAlign w:val="bottom"/>
            <w:shd w:val="clear" w:color="auto" w:fill="002060"/>
          </w:tcPr>
          <w:p>
            <w:pPr>
              <w:spacing w:after="0"/>
              <w:rPr>
                <w:sz w:val="15"/>
                <w:szCs w:val="15"/>
                <w:color w:val="auto"/>
              </w:rPr>
            </w:pPr>
          </w:p>
        </w:tc>
        <w:tc>
          <w:tcPr>
            <w:tcW w:w="88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1540" w:type="dxa"/>
            <w:vAlign w:val="bottom"/>
            <w:gridSpan w:val="3"/>
            <w:shd w:val="clear" w:color="auto" w:fill="002060"/>
          </w:tcPr>
          <w:p>
            <w:pPr>
              <w:jc w:val="center"/>
              <w:spacing w:after="0"/>
              <w:rPr>
                <w:sz w:val="20"/>
                <w:szCs w:val="20"/>
                <w:color w:val="auto"/>
              </w:rPr>
            </w:pPr>
            <w:r>
              <w:rPr>
                <w:rFonts w:ascii="Arial" w:cs="Arial" w:eastAsia="Arial" w:hAnsi="Arial"/>
                <w:sz w:val="13"/>
                <w:szCs w:val="13"/>
                <w:color w:val="FFFFFF"/>
                <w:w w:val="97"/>
              </w:rPr>
              <w:t>Value of Initial Fixed</w:t>
            </w:r>
          </w:p>
        </w:tc>
        <w:tc>
          <w:tcPr>
            <w:tcW w:w="760" w:type="dxa"/>
            <w:vAlign w:val="bottom"/>
            <w:shd w:val="clear" w:color="auto" w:fill="002060"/>
          </w:tcPr>
          <w:p>
            <w:pPr>
              <w:spacing w:after="0"/>
              <w:rPr>
                <w:sz w:val="15"/>
                <w:szCs w:val="15"/>
                <w:color w:val="auto"/>
              </w:rPr>
            </w:pPr>
          </w:p>
        </w:tc>
        <w:tc>
          <w:tcPr>
            <w:tcW w:w="360" w:type="dxa"/>
            <w:vAlign w:val="bottom"/>
            <w:shd w:val="clear" w:color="auto" w:fill="002060"/>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0" w:type="dxa"/>
            <w:vAlign w:val="bottom"/>
            <w:shd w:val="clear" w:color="auto" w:fill="002060"/>
          </w:tcPr>
          <w:p>
            <w:pPr>
              <w:spacing w:after="0"/>
              <w:rPr>
                <w:sz w:val="12"/>
                <w:szCs w:val="12"/>
                <w:color w:val="auto"/>
              </w:rPr>
            </w:pPr>
          </w:p>
        </w:tc>
        <w:tc>
          <w:tcPr>
            <w:tcW w:w="880" w:type="dxa"/>
            <w:vAlign w:val="bottom"/>
            <w:shd w:val="clear" w:color="auto" w:fill="002060"/>
          </w:tcPr>
          <w:p>
            <w:pPr>
              <w:spacing w:after="0"/>
              <w:rPr>
                <w:sz w:val="12"/>
                <w:szCs w:val="12"/>
                <w:color w:val="auto"/>
              </w:rPr>
            </w:pPr>
          </w:p>
        </w:tc>
        <w:tc>
          <w:tcPr>
            <w:tcW w:w="920" w:type="dxa"/>
            <w:vAlign w:val="bottom"/>
            <w:shd w:val="clear" w:color="auto" w:fill="002060"/>
          </w:tcPr>
          <w:p>
            <w:pPr>
              <w:spacing w:after="0"/>
              <w:rPr>
                <w:sz w:val="12"/>
                <w:szCs w:val="12"/>
                <w:color w:val="auto"/>
              </w:rPr>
            </w:pPr>
          </w:p>
        </w:tc>
        <w:tc>
          <w:tcPr>
            <w:tcW w:w="920" w:type="dxa"/>
            <w:vAlign w:val="bottom"/>
            <w:shd w:val="clear" w:color="auto" w:fill="002060"/>
          </w:tcPr>
          <w:p>
            <w:pPr>
              <w:spacing w:after="0"/>
              <w:rPr>
                <w:sz w:val="12"/>
                <w:szCs w:val="12"/>
                <w:color w:val="auto"/>
              </w:rPr>
            </w:pPr>
          </w:p>
        </w:tc>
        <w:tc>
          <w:tcPr>
            <w:tcW w:w="920" w:type="dxa"/>
            <w:vAlign w:val="bottom"/>
            <w:shd w:val="clear" w:color="auto" w:fill="002060"/>
          </w:tcPr>
          <w:p>
            <w:pPr>
              <w:spacing w:after="0"/>
              <w:rPr>
                <w:sz w:val="12"/>
                <w:szCs w:val="12"/>
                <w:color w:val="auto"/>
              </w:rPr>
            </w:pPr>
          </w:p>
        </w:tc>
        <w:tc>
          <w:tcPr>
            <w:tcW w:w="920" w:type="dxa"/>
            <w:vAlign w:val="bottom"/>
            <w:shd w:val="clear" w:color="auto" w:fill="002060"/>
          </w:tcPr>
          <w:p>
            <w:pPr>
              <w:spacing w:after="0"/>
              <w:rPr>
                <w:sz w:val="12"/>
                <w:szCs w:val="12"/>
                <w:color w:val="auto"/>
              </w:rPr>
            </w:pPr>
          </w:p>
        </w:tc>
        <w:tc>
          <w:tcPr>
            <w:tcW w:w="920" w:type="dxa"/>
            <w:vAlign w:val="bottom"/>
            <w:shd w:val="clear" w:color="auto" w:fill="002060"/>
          </w:tcPr>
          <w:p>
            <w:pPr>
              <w:spacing w:after="0"/>
              <w:rPr>
                <w:sz w:val="12"/>
                <w:szCs w:val="12"/>
                <w:color w:val="auto"/>
              </w:rPr>
            </w:pP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9"/>
              </w:rPr>
              <w:t>Average</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9"/>
              </w:rPr>
              <w:t>Average</w:t>
            </w:r>
          </w:p>
        </w:tc>
        <w:tc>
          <w:tcPr>
            <w:tcW w:w="1540" w:type="dxa"/>
            <w:vAlign w:val="bottom"/>
            <w:gridSpan w:val="3"/>
            <w:shd w:val="clear" w:color="auto" w:fill="002060"/>
          </w:tcPr>
          <w:p>
            <w:pPr>
              <w:jc w:val="center"/>
              <w:spacing w:after="0" w:line="144" w:lineRule="exact"/>
              <w:rPr>
                <w:sz w:val="20"/>
                <w:szCs w:val="20"/>
                <w:color w:val="auto"/>
              </w:rPr>
            </w:pPr>
            <w:r>
              <w:rPr>
                <w:rFonts w:ascii="Arial" w:cs="Arial" w:eastAsia="Arial" w:hAnsi="Arial"/>
                <w:sz w:val="13"/>
                <w:szCs w:val="13"/>
                <w:color w:val="FFFFFF"/>
                <w:w w:val="98"/>
              </w:rPr>
              <w:t>$100 Investment Based</w:t>
            </w:r>
          </w:p>
        </w:tc>
        <w:tc>
          <w:tcPr>
            <w:tcW w:w="760" w:type="dxa"/>
            <w:vAlign w:val="bottom"/>
            <w:shd w:val="clear" w:color="auto" w:fill="002060"/>
          </w:tcPr>
          <w:p>
            <w:pPr>
              <w:spacing w:after="0"/>
              <w:rPr>
                <w:sz w:val="12"/>
                <w:szCs w:val="12"/>
                <w:color w:val="auto"/>
              </w:rPr>
            </w:pPr>
          </w:p>
        </w:tc>
        <w:tc>
          <w:tcPr>
            <w:tcW w:w="360" w:type="dxa"/>
            <w:vAlign w:val="bottom"/>
            <w:shd w:val="clear" w:color="auto" w:fill="002060"/>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00" w:type="dxa"/>
            <w:vAlign w:val="bottom"/>
            <w:shd w:val="clear" w:color="auto" w:fill="002060"/>
          </w:tcPr>
          <w:p>
            <w:pPr>
              <w:spacing w:after="0"/>
              <w:rPr>
                <w:sz w:val="4"/>
                <w:szCs w:val="4"/>
                <w:color w:val="auto"/>
              </w:rPr>
            </w:pPr>
          </w:p>
        </w:tc>
        <w:tc>
          <w:tcPr>
            <w:tcW w:w="880" w:type="dxa"/>
            <w:vAlign w:val="bottom"/>
            <w:shd w:val="clear" w:color="auto" w:fill="002060"/>
          </w:tcPr>
          <w:p>
            <w:pPr>
              <w:spacing w:after="0"/>
              <w:rPr>
                <w:sz w:val="4"/>
                <w:szCs w:val="4"/>
                <w:color w:val="auto"/>
              </w:rPr>
            </w:pPr>
          </w:p>
        </w:tc>
        <w:tc>
          <w:tcPr>
            <w:tcW w:w="920" w:type="dxa"/>
            <w:vAlign w:val="bottom"/>
            <w:shd w:val="clear" w:color="auto" w:fill="002060"/>
          </w:tcPr>
          <w:p>
            <w:pPr>
              <w:spacing w:after="0"/>
              <w:rPr>
                <w:sz w:val="4"/>
                <w:szCs w:val="4"/>
                <w:color w:val="auto"/>
              </w:rPr>
            </w:pPr>
          </w:p>
        </w:tc>
        <w:tc>
          <w:tcPr>
            <w:tcW w:w="920" w:type="dxa"/>
            <w:vAlign w:val="bottom"/>
            <w:shd w:val="clear" w:color="auto" w:fill="002060"/>
          </w:tcPr>
          <w:p>
            <w:pPr>
              <w:spacing w:after="0"/>
              <w:rPr>
                <w:sz w:val="4"/>
                <w:szCs w:val="4"/>
                <w:color w:val="auto"/>
              </w:rPr>
            </w:pPr>
          </w:p>
        </w:tc>
        <w:tc>
          <w:tcPr>
            <w:tcW w:w="920" w:type="dxa"/>
            <w:vAlign w:val="bottom"/>
            <w:shd w:val="clear" w:color="auto" w:fill="002060"/>
          </w:tcPr>
          <w:p>
            <w:pPr>
              <w:spacing w:after="0"/>
              <w:rPr>
                <w:sz w:val="4"/>
                <w:szCs w:val="4"/>
                <w:color w:val="auto"/>
              </w:rPr>
            </w:pPr>
          </w:p>
        </w:tc>
        <w:tc>
          <w:tcPr>
            <w:tcW w:w="920" w:type="dxa"/>
            <w:vAlign w:val="bottom"/>
            <w:shd w:val="clear" w:color="auto" w:fill="002060"/>
          </w:tcPr>
          <w:p>
            <w:pPr>
              <w:spacing w:after="0"/>
              <w:rPr>
                <w:sz w:val="4"/>
                <w:szCs w:val="4"/>
                <w:color w:val="auto"/>
              </w:rPr>
            </w:pPr>
          </w:p>
        </w:tc>
        <w:tc>
          <w:tcPr>
            <w:tcW w:w="920" w:type="dxa"/>
            <w:vAlign w:val="bottom"/>
            <w:shd w:val="clear" w:color="auto" w:fill="002060"/>
          </w:tcPr>
          <w:p>
            <w:pPr>
              <w:spacing w:after="0"/>
              <w:rPr>
                <w:sz w:val="4"/>
                <w:szCs w:val="4"/>
                <w:color w:val="auto"/>
              </w:rPr>
            </w:pPr>
          </w:p>
        </w:tc>
        <w:tc>
          <w:tcPr>
            <w:tcW w:w="920" w:type="dxa"/>
            <w:vAlign w:val="bottom"/>
            <w:vMerge w:val="continue"/>
            <w:shd w:val="clear" w:color="auto" w:fill="002060"/>
          </w:tcPr>
          <w:p>
            <w:pPr>
              <w:spacing w:after="0"/>
              <w:rPr>
                <w:sz w:val="4"/>
                <w:szCs w:val="4"/>
                <w:color w:val="auto"/>
              </w:rPr>
            </w:pPr>
          </w:p>
        </w:tc>
        <w:tc>
          <w:tcPr>
            <w:tcW w:w="920" w:type="dxa"/>
            <w:vAlign w:val="bottom"/>
            <w:vMerge w:val="continue"/>
            <w:shd w:val="clear" w:color="auto" w:fill="002060"/>
          </w:tcPr>
          <w:p>
            <w:pPr>
              <w:spacing w:after="0"/>
              <w:rPr>
                <w:sz w:val="4"/>
                <w:szCs w:val="4"/>
                <w:color w:val="auto"/>
              </w:rPr>
            </w:pPr>
          </w:p>
        </w:tc>
        <w:tc>
          <w:tcPr>
            <w:tcW w:w="620" w:type="dxa"/>
            <w:vAlign w:val="bottom"/>
            <w:shd w:val="clear" w:color="auto" w:fill="002060"/>
          </w:tcPr>
          <w:p>
            <w:pPr>
              <w:spacing w:after="0"/>
              <w:rPr>
                <w:sz w:val="4"/>
                <w:szCs w:val="4"/>
                <w:color w:val="auto"/>
              </w:rPr>
            </w:pPr>
          </w:p>
        </w:tc>
        <w:tc>
          <w:tcPr>
            <w:tcW w:w="920" w:type="dxa"/>
            <w:vAlign w:val="bottom"/>
            <w:gridSpan w:val="2"/>
            <w:vMerge w:val="restart"/>
            <w:shd w:val="clear" w:color="auto" w:fill="002060"/>
          </w:tcPr>
          <w:p>
            <w:pPr>
              <w:jc w:val="center"/>
              <w:ind w:right="536"/>
              <w:spacing w:after="0" w:line="120" w:lineRule="exact"/>
              <w:rPr>
                <w:sz w:val="20"/>
                <w:szCs w:val="20"/>
                <w:color w:val="auto"/>
              </w:rPr>
            </w:pPr>
            <w:r>
              <w:rPr>
                <w:rFonts w:ascii="Arial" w:cs="Arial" w:eastAsia="Arial" w:hAnsi="Arial"/>
                <w:sz w:val="13"/>
                <w:szCs w:val="13"/>
                <w:color w:val="FFFFFF"/>
                <w:w w:val="95"/>
              </w:rPr>
              <w:t>On:</w:t>
            </w:r>
          </w:p>
        </w:tc>
        <w:tc>
          <w:tcPr>
            <w:tcW w:w="760" w:type="dxa"/>
            <w:vAlign w:val="bottom"/>
            <w:shd w:val="clear" w:color="auto" w:fill="002060"/>
          </w:tcPr>
          <w:p>
            <w:pPr>
              <w:spacing w:after="0"/>
              <w:rPr>
                <w:sz w:val="4"/>
                <w:szCs w:val="4"/>
                <w:color w:val="auto"/>
              </w:rPr>
            </w:pPr>
          </w:p>
        </w:tc>
        <w:tc>
          <w:tcPr>
            <w:tcW w:w="360" w:type="dxa"/>
            <w:vAlign w:val="bottom"/>
            <w:shd w:val="clear" w:color="auto" w:fill="002060"/>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400" w:type="dxa"/>
            <w:vAlign w:val="bottom"/>
            <w:shd w:val="clear" w:color="auto" w:fill="002060"/>
          </w:tcPr>
          <w:p>
            <w:pPr>
              <w:spacing w:after="0"/>
              <w:rPr>
                <w:sz w:val="6"/>
                <w:szCs w:val="6"/>
                <w:color w:val="auto"/>
              </w:rPr>
            </w:pPr>
          </w:p>
        </w:tc>
        <w:tc>
          <w:tcPr>
            <w:tcW w:w="88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7"/>
              </w:rPr>
              <w:t>Summary</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7"/>
              </w:rPr>
              <w:t>Compensation</w:t>
            </w: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rPr>
              <w:t>Summary</w:t>
            </w:r>
          </w:p>
        </w:tc>
        <w:tc>
          <w:tcPr>
            <w:tcW w:w="920" w:type="dxa"/>
            <w:vAlign w:val="bottom"/>
            <w:vMerge w:val="continue"/>
            <w:shd w:val="clear" w:color="auto" w:fill="002060"/>
          </w:tcPr>
          <w:p>
            <w:pPr>
              <w:spacing w:after="0"/>
              <w:rPr>
                <w:sz w:val="6"/>
                <w:szCs w:val="6"/>
                <w:color w:val="auto"/>
              </w:rPr>
            </w:pPr>
          </w:p>
        </w:tc>
        <w:tc>
          <w:tcPr>
            <w:tcW w:w="620" w:type="dxa"/>
            <w:vAlign w:val="bottom"/>
            <w:shd w:val="clear" w:color="auto" w:fill="002060"/>
          </w:tcPr>
          <w:p>
            <w:pPr>
              <w:spacing w:after="0"/>
              <w:rPr>
                <w:sz w:val="6"/>
                <w:szCs w:val="6"/>
                <w:color w:val="auto"/>
              </w:rPr>
            </w:pPr>
          </w:p>
        </w:tc>
        <w:tc>
          <w:tcPr>
            <w:tcW w:w="920" w:type="dxa"/>
            <w:vAlign w:val="bottom"/>
            <w:gridSpan w:val="2"/>
            <w:vMerge w:val="continue"/>
            <w:shd w:val="clear" w:color="auto" w:fill="002060"/>
          </w:tcPr>
          <w:p>
            <w:pPr>
              <w:spacing w:after="0"/>
              <w:rPr>
                <w:sz w:val="6"/>
                <w:szCs w:val="6"/>
                <w:color w:val="auto"/>
              </w:rPr>
            </w:pPr>
          </w:p>
        </w:tc>
        <w:tc>
          <w:tcPr>
            <w:tcW w:w="760" w:type="dxa"/>
            <w:vAlign w:val="bottom"/>
            <w:shd w:val="clear" w:color="auto" w:fill="002060"/>
          </w:tcPr>
          <w:p>
            <w:pPr>
              <w:spacing w:after="0"/>
              <w:rPr>
                <w:sz w:val="6"/>
                <w:szCs w:val="6"/>
                <w:color w:val="auto"/>
              </w:rPr>
            </w:pPr>
          </w:p>
        </w:tc>
        <w:tc>
          <w:tcPr>
            <w:tcW w:w="36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0" w:type="dxa"/>
            <w:vAlign w:val="bottom"/>
            <w:shd w:val="clear" w:color="auto" w:fill="002060"/>
          </w:tcPr>
          <w:p>
            <w:pPr>
              <w:spacing w:after="0"/>
              <w:rPr>
                <w:sz w:val="6"/>
                <w:szCs w:val="6"/>
                <w:color w:val="auto"/>
              </w:rPr>
            </w:pPr>
          </w:p>
        </w:tc>
        <w:tc>
          <w:tcPr>
            <w:tcW w:w="88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rPr>
              <w:t>Compensation</w:t>
            </w:r>
          </w:p>
        </w:tc>
        <w:tc>
          <w:tcPr>
            <w:tcW w:w="620" w:type="dxa"/>
            <w:vAlign w:val="bottom"/>
            <w:shd w:val="clear" w:color="auto" w:fill="002060"/>
          </w:tcPr>
          <w:p>
            <w:pPr>
              <w:spacing w:after="0"/>
              <w:rPr>
                <w:sz w:val="6"/>
                <w:szCs w:val="6"/>
                <w:color w:val="auto"/>
              </w:rPr>
            </w:pPr>
          </w:p>
        </w:tc>
        <w:tc>
          <w:tcPr>
            <w:tcW w:w="160" w:type="dxa"/>
            <w:vAlign w:val="bottom"/>
            <w:shd w:val="clear" w:color="auto" w:fill="002060"/>
          </w:tcPr>
          <w:p>
            <w:pPr>
              <w:spacing w:after="0"/>
              <w:rPr>
                <w:sz w:val="6"/>
                <w:szCs w:val="6"/>
                <w:color w:val="auto"/>
              </w:rPr>
            </w:pPr>
          </w:p>
        </w:tc>
        <w:tc>
          <w:tcPr>
            <w:tcW w:w="760" w:type="dxa"/>
            <w:vAlign w:val="bottom"/>
            <w:shd w:val="clear" w:color="auto" w:fill="002060"/>
          </w:tcPr>
          <w:p>
            <w:pPr>
              <w:spacing w:after="0"/>
              <w:rPr>
                <w:sz w:val="6"/>
                <w:szCs w:val="6"/>
                <w:color w:val="auto"/>
              </w:rPr>
            </w:pPr>
          </w:p>
        </w:tc>
        <w:tc>
          <w:tcPr>
            <w:tcW w:w="76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8"/>
              </w:rPr>
              <w:t>Net</w:t>
            </w:r>
          </w:p>
        </w:tc>
        <w:tc>
          <w:tcPr>
            <w:tcW w:w="360" w:type="dxa"/>
            <w:vAlign w:val="bottom"/>
            <w:vMerge w:val="restart"/>
            <w:shd w:val="clear" w:color="auto" w:fill="002060"/>
          </w:tcPr>
          <w:p>
            <w:pPr>
              <w:ind w:left="100"/>
              <w:spacing w:after="0" w:line="144" w:lineRule="exact"/>
              <w:rPr>
                <w:sz w:val="20"/>
                <w:szCs w:val="20"/>
                <w:color w:val="auto"/>
              </w:rPr>
            </w:pPr>
            <w:r>
              <w:rPr>
                <w:rFonts w:ascii="Arial" w:cs="Arial" w:eastAsia="Arial" w:hAnsi="Arial"/>
                <w:sz w:val="13"/>
                <w:szCs w:val="13"/>
                <w:color w:val="FFFFFF"/>
              </w:rPr>
              <w:t>Rev</w:t>
            </w:r>
          </w:p>
        </w:tc>
        <w:tc>
          <w:tcPr>
            <w:tcW w:w="0" w:type="dxa"/>
            <w:vAlign w:val="bottom"/>
          </w:tcPr>
          <w:p>
            <w:pPr>
              <w:spacing w:after="0"/>
              <w:rPr>
                <w:sz w:val="1"/>
                <w:szCs w:val="1"/>
                <w:color w:val="auto"/>
              </w:rPr>
            </w:pPr>
          </w:p>
        </w:tc>
      </w:tr>
      <w:tr>
        <w:trPr>
          <w:trHeight w:val="72"/>
        </w:trPr>
        <w:tc>
          <w:tcPr>
            <w:tcW w:w="400" w:type="dxa"/>
            <w:vAlign w:val="bottom"/>
            <w:shd w:val="clear" w:color="auto" w:fill="002060"/>
          </w:tcPr>
          <w:p>
            <w:pPr>
              <w:spacing w:after="0"/>
              <w:rPr>
                <w:sz w:val="6"/>
                <w:szCs w:val="6"/>
                <w:color w:val="auto"/>
              </w:rPr>
            </w:pPr>
          </w:p>
        </w:tc>
        <w:tc>
          <w:tcPr>
            <w:tcW w:w="88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Compensation</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8"/>
              </w:rPr>
              <w:t>Actually Paid</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Summary</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Compensation</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Summary</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Compensation</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Compensation</w:t>
            </w:r>
          </w:p>
        </w:tc>
        <w:tc>
          <w:tcPr>
            <w:tcW w:w="920" w:type="dxa"/>
            <w:vAlign w:val="bottom"/>
            <w:vMerge w:val="continue"/>
            <w:shd w:val="clear" w:color="auto" w:fill="002060"/>
          </w:tcPr>
          <w:p>
            <w:pPr>
              <w:spacing w:after="0"/>
              <w:rPr>
                <w:sz w:val="6"/>
                <w:szCs w:val="6"/>
                <w:color w:val="auto"/>
              </w:rPr>
            </w:pPr>
          </w:p>
        </w:tc>
        <w:tc>
          <w:tcPr>
            <w:tcW w:w="620" w:type="dxa"/>
            <w:vAlign w:val="bottom"/>
            <w:shd w:val="clear" w:color="auto" w:fill="002060"/>
          </w:tcPr>
          <w:p>
            <w:pPr>
              <w:spacing w:after="0"/>
              <w:rPr>
                <w:sz w:val="6"/>
                <w:szCs w:val="6"/>
                <w:color w:val="auto"/>
              </w:rPr>
            </w:pPr>
          </w:p>
        </w:tc>
        <w:tc>
          <w:tcPr>
            <w:tcW w:w="160" w:type="dxa"/>
            <w:vAlign w:val="bottom"/>
            <w:shd w:val="clear" w:color="auto" w:fill="002060"/>
          </w:tcPr>
          <w:p>
            <w:pPr>
              <w:spacing w:after="0"/>
              <w:rPr>
                <w:sz w:val="6"/>
                <w:szCs w:val="6"/>
                <w:color w:val="auto"/>
              </w:rPr>
            </w:pPr>
          </w:p>
        </w:tc>
        <w:tc>
          <w:tcPr>
            <w:tcW w:w="76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Peer Group</w:t>
            </w:r>
          </w:p>
        </w:tc>
        <w:tc>
          <w:tcPr>
            <w:tcW w:w="760" w:type="dxa"/>
            <w:vAlign w:val="bottom"/>
            <w:vMerge w:val="continue"/>
            <w:shd w:val="clear" w:color="auto" w:fill="002060"/>
          </w:tcPr>
          <w:p>
            <w:pPr>
              <w:spacing w:after="0"/>
              <w:rPr>
                <w:sz w:val="6"/>
                <w:szCs w:val="6"/>
                <w:color w:val="auto"/>
              </w:rPr>
            </w:pPr>
          </w:p>
        </w:tc>
        <w:tc>
          <w:tcPr>
            <w:tcW w:w="360" w:type="dxa"/>
            <w:vAlign w:val="bottom"/>
            <w:vMerge w:val="continue"/>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400" w:type="dxa"/>
            <w:vAlign w:val="bottom"/>
            <w:shd w:val="clear" w:color="auto" w:fill="002060"/>
          </w:tcPr>
          <w:p>
            <w:pPr>
              <w:jc w:val="right"/>
              <w:ind w:right="36"/>
              <w:spacing w:after="0" w:line="133" w:lineRule="exact"/>
              <w:rPr>
                <w:sz w:val="20"/>
                <w:szCs w:val="20"/>
                <w:color w:val="auto"/>
              </w:rPr>
            </w:pPr>
            <w:r>
              <w:rPr>
                <w:rFonts w:ascii="Arial" w:cs="Arial" w:eastAsia="Arial" w:hAnsi="Arial"/>
                <w:sz w:val="13"/>
                <w:szCs w:val="13"/>
                <w:color w:val="FFFFFF"/>
              </w:rPr>
              <w:t>Year</w:t>
            </w:r>
          </w:p>
        </w:tc>
        <w:tc>
          <w:tcPr>
            <w:tcW w:w="880" w:type="dxa"/>
            <w:vAlign w:val="bottom"/>
            <w:vMerge w:val="continue"/>
            <w:shd w:val="clear" w:color="auto" w:fill="002060"/>
          </w:tcPr>
          <w:p>
            <w:pPr>
              <w:spacing w:after="0"/>
              <w:rPr>
                <w:sz w:val="11"/>
                <w:szCs w:val="11"/>
                <w:color w:val="auto"/>
              </w:rPr>
            </w:pPr>
          </w:p>
        </w:tc>
        <w:tc>
          <w:tcPr>
            <w:tcW w:w="920" w:type="dxa"/>
            <w:vAlign w:val="bottom"/>
            <w:vMerge w:val="continue"/>
            <w:shd w:val="clear" w:color="auto" w:fill="002060"/>
          </w:tcPr>
          <w:p>
            <w:pPr>
              <w:spacing w:after="0"/>
              <w:rPr>
                <w:sz w:val="11"/>
                <w:szCs w:val="11"/>
                <w:color w:val="auto"/>
              </w:rPr>
            </w:pPr>
          </w:p>
        </w:tc>
        <w:tc>
          <w:tcPr>
            <w:tcW w:w="920" w:type="dxa"/>
            <w:vAlign w:val="bottom"/>
            <w:vMerge w:val="continue"/>
            <w:shd w:val="clear" w:color="auto" w:fill="002060"/>
          </w:tcPr>
          <w:p>
            <w:pPr>
              <w:spacing w:after="0"/>
              <w:rPr>
                <w:sz w:val="11"/>
                <w:szCs w:val="11"/>
                <w:color w:val="auto"/>
              </w:rPr>
            </w:pPr>
          </w:p>
        </w:tc>
        <w:tc>
          <w:tcPr>
            <w:tcW w:w="920" w:type="dxa"/>
            <w:vAlign w:val="bottom"/>
            <w:vMerge w:val="continue"/>
            <w:shd w:val="clear" w:color="auto" w:fill="002060"/>
          </w:tcPr>
          <w:p>
            <w:pPr>
              <w:spacing w:after="0"/>
              <w:rPr>
                <w:sz w:val="11"/>
                <w:szCs w:val="11"/>
                <w:color w:val="auto"/>
              </w:rPr>
            </w:pPr>
          </w:p>
        </w:tc>
        <w:tc>
          <w:tcPr>
            <w:tcW w:w="920" w:type="dxa"/>
            <w:vAlign w:val="bottom"/>
            <w:vMerge w:val="continue"/>
            <w:shd w:val="clear" w:color="auto" w:fill="002060"/>
          </w:tcPr>
          <w:p>
            <w:pPr>
              <w:spacing w:after="0"/>
              <w:rPr>
                <w:sz w:val="11"/>
                <w:szCs w:val="11"/>
                <w:color w:val="auto"/>
              </w:rPr>
            </w:pPr>
          </w:p>
        </w:tc>
        <w:tc>
          <w:tcPr>
            <w:tcW w:w="920" w:type="dxa"/>
            <w:vAlign w:val="bottom"/>
            <w:vMerge w:val="continue"/>
            <w:shd w:val="clear" w:color="auto" w:fill="002060"/>
          </w:tcPr>
          <w:p>
            <w:pPr>
              <w:spacing w:after="0"/>
              <w:rPr>
                <w:sz w:val="11"/>
                <w:szCs w:val="11"/>
                <w:color w:val="auto"/>
              </w:rPr>
            </w:pPr>
          </w:p>
        </w:tc>
        <w:tc>
          <w:tcPr>
            <w:tcW w:w="920" w:type="dxa"/>
            <w:vAlign w:val="bottom"/>
            <w:vMerge w:val="continue"/>
            <w:shd w:val="clear" w:color="auto" w:fill="002060"/>
          </w:tcPr>
          <w:p>
            <w:pPr>
              <w:spacing w:after="0"/>
              <w:rPr>
                <w:sz w:val="11"/>
                <w:szCs w:val="11"/>
                <w:color w:val="auto"/>
              </w:rPr>
            </w:pPr>
          </w:p>
        </w:tc>
        <w:tc>
          <w:tcPr>
            <w:tcW w:w="920" w:type="dxa"/>
            <w:vAlign w:val="bottom"/>
            <w:shd w:val="clear" w:color="auto" w:fill="002060"/>
          </w:tcPr>
          <w:p>
            <w:pPr>
              <w:jc w:val="center"/>
              <w:spacing w:after="0" w:line="133" w:lineRule="exact"/>
              <w:rPr>
                <w:sz w:val="20"/>
                <w:szCs w:val="20"/>
                <w:color w:val="auto"/>
              </w:rPr>
            </w:pPr>
            <w:r>
              <w:rPr>
                <w:rFonts w:ascii="Arial" w:cs="Arial" w:eastAsia="Arial" w:hAnsi="Arial"/>
                <w:sz w:val="13"/>
                <w:szCs w:val="13"/>
                <w:color w:val="FFFFFF"/>
                <w:w w:val="98"/>
              </w:rPr>
              <w:t>Actually Paid</w:t>
            </w:r>
          </w:p>
        </w:tc>
        <w:tc>
          <w:tcPr>
            <w:tcW w:w="620" w:type="dxa"/>
            <w:vAlign w:val="bottom"/>
            <w:vMerge w:val="restart"/>
            <w:shd w:val="clear" w:color="auto" w:fill="002060"/>
          </w:tcPr>
          <w:p>
            <w:pPr>
              <w:jc w:val="center"/>
              <w:ind w:left="96"/>
              <w:spacing w:after="0"/>
              <w:rPr>
                <w:sz w:val="20"/>
                <w:szCs w:val="20"/>
                <w:color w:val="auto"/>
              </w:rPr>
            </w:pPr>
            <w:r>
              <w:rPr>
                <w:rFonts w:ascii="Arial" w:cs="Arial" w:eastAsia="Arial" w:hAnsi="Arial"/>
                <w:sz w:val="13"/>
                <w:szCs w:val="13"/>
                <w:color w:val="FFFFFF"/>
                <w:w w:val="89"/>
              </w:rPr>
              <w:t>Total</w:t>
            </w:r>
          </w:p>
        </w:tc>
        <w:tc>
          <w:tcPr>
            <w:tcW w:w="160" w:type="dxa"/>
            <w:vAlign w:val="bottom"/>
            <w:shd w:val="clear" w:color="auto" w:fill="002060"/>
          </w:tcPr>
          <w:p>
            <w:pPr>
              <w:spacing w:after="0"/>
              <w:rPr>
                <w:sz w:val="11"/>
                <w:szCs w:val="11"/>
                <w:color w:val="auto"/>
              </w:rPr>
            </w:pPr>
          </w:p>
        </w:tc>
        <w:tc>
          <w:tcPr>
            <w:tcW w:w="760" w:type="dxa"/>
            <w:vAlign w:val="bottom"/>
            <w:vMerge w:val="continue"/>
            <w:shd w:val="clear" w:color="auto" w:fill="002060"/>
          </w:tcPr>
          <w:p>
            <w:pPr>
              <w:spacing w:after="0"/>
              <w:rPr>
                <w:sz w:val="11"/>
                <w:szCs w:val="11"/>
                <w:color w:val="auto"/>
              </w:rPr>
            </w:pPr>
          </w:p>
        </w:tc>
        <w:tc>
          <w:tcPr>
            <w:tcW w:w="760" w:type="dxa"/>
            <w:vAlign w:val="bottom"/>
            <w:shd w:val="clear" w:color="auto" w:fill="002060"/>
          </w:tcPr>
          <w:p>
            <w:pPr>
              <w:jc w:val="center"/>
              <w:spacing w:after="0" w:line="133" w:lineRule="exact"/>
              <w:rPr>
                <w:sz w:val="20"/>
                <w:szCs w:val="20"/>
                <w:color w:val="auto"/>
              </w:rPr>
            </w:pPr>
            <w:r>
              <w:rPr>
                <w:rFonts w:ascii="Arial" w:cs="Arial" w:eastAsia="Arial" w:hAnsi="Arial"/>
                <w:sz w:val="13"/>
                <w:szCs w:val="13"/>
                <w:color w:val="FFFFFF"/>
                <w:w w:val="98"/>
              </w:rPr>
              <w:t>Income (in</w:t>
            </w:r>
          </w:p>
        </w:tc>
        <w:tc>
          <w:tcPr>
            <w:tcW w:w="360" w:type="dxa"/>
            <w:vAlign w:val="bottom"/>
            <w:shd w:val="clear" w:color="auto" w:fill="002060"/>
          </w:tcPr>
          <w:p>
            <w:pPr>
              <w:ind w:left="220"/>
              <w:spacing w:after="0" w:line="133" w:lineRule="exact"/>
              <w:rPr>
                <w:sz w:val="20"/>
                <w:szCs w:val="20"/>
                <w:color w:val="auto"/>
              </w:rPr>
            </w:pPr>
            <w:r>
              <w:rPr>
                <w:rFonts w:ascii="Arial" w:cs="Arial" w:eastAsia="Arial" w:hAnsi="Arial"/>
                <w:sz w:val="13"/>
                <w:szCs w:val="13"/>
                <w:color w:val="FFFFFF"/>
                <w:w w:val="82"/>
              </w:rPr>
              <w:t>(in</w:t>
            </w:r>
          </w:p>
        </w:tc>
        <w:tc>
          <w:tcPr>
            <w:tcW w:w="0" w:type="dxa"/>
            <w:vAlign w:val="bottom"/>
          </w:tcPr>
          <w:p>
            <w:pPr>
              <w:spacing w:after="0"/>
              <w:rPr>
                <w:sz w:val="1"/>
                <w:szCs w:val="1"/>
                <w:color w:val="auto"/>
              </w:rPr>
            </w:pPr>
          </w:p>
        </w:tc>
      </w:tr>
      <w:tr>
        <w:trPr>
          <w:trHeight w:val="72"/>
        </w:trPr>
        <w:tc>
          <w:tcPr>
            <w:tcW w:w="400" w:type="dxa"/>
            <w:vAlign w:val="bottom"/>
            <w:shd w:val="clear" w:color="auto" w:fill="002060"/>
          </w:tcPr>
          <w:p>
            <w:pPr>
              <w:spacing w:after="0"/>
              <w:rPr>
                <w:sz w:val="6"/>
                <w:szCs w:val="6"/>
                <w:color w:val="auto"/>
              </w:rPr>
            </w:pPr>
          </w:p>
        </w:tc>
        <w:tc>
          <w:tcPr>
            <w:tcW w:w="880" w:type="dxa"/>
            <w:vAlign w:val="bottom"/>
            <w:shd w:val="clear" w:color="auto" w:fill="002060"/>
          </w:tcPr>
          <w:p>
            <w:pPr>
              <w:jc w:val="center"/>
              <w:spacing w:after="0" w:line="72" w:lineRule="exact"/>
              <w:rPr>
                <w:sz w:val="20"/>
                <w:szCs w:val="20"/>
                <w:color w:val="auto"/>
              </w:rPr>
            </w:pPr>
            <w:r>
              <w:rPr>
                <w:rFonts w:ascii="Arial" w:cs="Arial" w:eastAsia="Arial" w:hAnsi="Arial"/>
                <w:sz w:val="7"/>
                <w:szCs w:val="7"/>
                <w:color w:val="FFFFFF"/>
              </w:rPr>
              <w:t>Table Total for</w:t>
            </w:r>
          </w:p>
        </w:tc>
        <w:tc>
          <w:tcPr>
            <w:tcW w:w="920" w:type="dxa"/>
            <w:vAlign w:val="bottom"/>
            <w:shd w:val="clear" w:color="auto" w:fill="002060"/>
          </w:tcPr>
          <w:p>
            <w:pPr>
              <w:jc w:val="center"/>
              <w:spacing w:after="0" w:line="72" w:lineRule="exact"/>
              <w:rPr>
                <w:sz w:val="20"/>
                <w:szCs w:val="20"/>
                <w:color w:val="auto"/>
              </w:rPr>
            </w:pPr>
            <w:r>
              <w:rPr>
                <w:rFonts w:ascii="Arial" w:cs="Arial" w:eastAsia="Arial" w:hAnsi="Arial"/>
                <w:sz w:val="7"/>
                <w:szCs w:val="7"/>
                <w:color w:val="FFFFFF"/>
              </w:rPr>
              <w:t>to Mr. Nir</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7"/>
              </w:rPr>
              <w:t>Compensation</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8"/>
              </w:rPr>
              <w:t>Actually Paid</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7"/>
              </w:rPr>
              <w:t>Compensation</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8"/>
              </w:rPr>
              <w:t>Actually Paid</w:t>
            </w:r>
          </w:p>
        </w:tc>
        <w:tc>
          <w:tcPr>
            <w:tcW w:w="920" w:type="dxa"/>
            <w:vAlign w:val="bottom"/>
            <w:shd w:val="clear" w:color="auto" w:fill="002060"/>
          </w:tcPr>
          <w:p>
            <w:pPr>
              <w:jc w:val="center"/>
              <w:spacing w:after="0" w:line="72" w:lineRule="exact"/>
              <w:rPr>
                <w:sz w:val="20"/>
                <w:szCs w:val="20"/>
                <w:color w:val="auto"/>
              </w:rPr>
            </w:pPr>
            <w:r>
              <w:rPr>
                <w:rFonts w:ascii="Arial" w:cs="Arial" w:eastAsia="Arial" w:hAnsi="Arial"/>
                <w:sz w:val="7"/>
                <w:szCs w:val="7"/>
                <w:color w:val="FFFFFF"/>
              </w:rPr>
              <w:t>Table Total for</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6"/>
              </w:rPr>
              <w:t>to Non-PEO</w:t>
            </w:r>
          </w:p>
        </w:tc>
        <w:tc>
          <w:tcPr>
            <w:tcW w:w="620" w:type="dxa"/>
            <w:vAlign w:val="bottom"/>
            <w:vMerge w:val="continue"/>
            <w:shd w:val="clear" w:color="auto" w:fill="002060"/>
          </w:tcPr>
          <w:p>
            <w:pPr>
              <w:spacing w:after="0"/>
              <w:rPr>
                <w:sz w:val="6"/>
                <w:szCs w:val="6"/>
                <w:color w:val="auto"/>
              </w:rPr>
            </w:pPr>
          </w:p>
        </w:tc>
        <w:tc>
          <w:tcPr>
            <w:tcW w:w="160" w:type="dxa"/>
            <w:vAlign w:val="bottom"/>
            <w:shd w:val="clear" w:color="auto" w:fill="002060"/>
          </w:tcPr>
          <w:p>
            <w:pPr>
              <w:spacing w:after="0"/>
              <w:rPr>
                <w:sz w:val="6"/>
                <w:szCs w:val="6"/>
                <w:color w:val="auto"/>
              </w:rPr>
            </w:pPr>
          </w:p>
        </w:tc>
        <w:tc>
          <w:tcPr>
            <w:tcW w:w="76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6"/>
              </w:rPr>
              <w:t>Total</w:t>
            </w:r>
          </w:p>
        </w:tc>
        <w:tc>
          <w:tcPr>
            <w:tcW w:w="76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rPr>
              <w:t>$ ‘000)</w:t>
            </w:r>
          </w:p>
        </w:tc>
        <w:tc>
          <w:tcPr>
            <w:tcW w:w="360" w:type="dxa"/>
            <w:vAlign w:val="bottom"/>
            <w:vMerge w:val="restart"/>
            <w:shd w:val="clear" w:color="auto" w:fill="002060"/>
          </w:tcPr>
          <w:p>
            <w:pPr>
              <w:ind w:left="100"/>
              <w:spacing w:after="0" w:line="144" w:lineRule="exact"/>
              <w:rPr>
                <w:sz w:val="20"/>
                <w:szCs w:val="20"/>
                <w:color w:val="auto"/>
              </w:rPr>
            </w:pPr>
            <w:r>
              <w:rPr>
                <w:rFonts w:ascii="Arial" w:cs="Arial" w:eastAsia="Arial" w:hAnsi="Arial"/>
                <w:sz w:val="13"/>
                <w:szCs w:val="13"/>
                <w:color w:val="FFFFFF"/>
                <w:w w:val="97"/>
              </w:rPr>
              <w:t>‘000</w:t>
            </w:r>
          </w:p>
        </w:tc>
        <w:tc>
          <w:tcPr>
            <w:tcW w:w="0" w:type="dxa"/>
            <w:vAlign w:val="bottom"/>
          </w:tcPr>
          <w:p>
            <w:pPr>
              <w:spacing w:after="0"/>
              <w:rPr>
                <w:sz w:val="1"/>
                <w:szCs w:val="1"/>
                <w:color w:val="auto"/>
              </w:rPr>
            </w:pPr>
          </w:p>
        </w:tc>
      </w:tr>
      <w:tr>
        <w:trPr>
          <w:trHeight w:val="72"/>
        </w:trPr>
        <w:tc>
          <w:tcPr>
            <w:tcW w:w="400" w:type="dxa"/>
            <w:vAlign w:val="bottom"/>
            <w:shd w:val="clear" w:color="auto" w:fill="002060"/>
          </w:tcPr>
          <w:p>
            <w:pPr>
              <w:spacing w:after="0"/>
              <w:rPr>
                <w:sz w:val="6"/>
                <w:szCs w:val="6"/>
                <w:color w:val="auto"/>
              </w:rPr>
            </w:pPr>
          </w:p>
        </w:tc>
        <w:tc>
          <w:tcPr>
            <w:tcW w:w="88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9"/>
              </w:rPr>
              <w:t>Mr. Nir ($)(1)</w:t>
            </w:r>
          </w:p>
        </w:tc>
        <w:tc>
          <w:tcPr>
            <w:tcW w:w="920" w:type="dxa"/>
            <w:vAlign w:val="bottom"/>
            <w:vMerge w:val="restart"/>
            <w:shd w:val="clear" w:color="auto" w:fill="002060"/>
          </w:tcPr>
          <w:p>
            <w:pPr>
              <w:jc w:val="right"/>
              <w:ind w:right="259"/>
              <w:spacing w:after="0" w:line="144" w:lineRule="exact"/>
              <w:rPr>
                <w:sz w:val="20"/>
                <w:szCs w:val="20"/>
                <w:color w:val="auto"/>
              </w:rPr>
            </w:pPr>
            <w:r>
              <w:rPr>
                <w:rFonts w:ascii="Arial" w:cs="Arial" w:eastAsia="Arial" w:hAnsi="Arial"/>
                <w:sz w:val="13"/>
                <w:szCs w:val="13"/>
                <w:color w:val="FFFFFF"/>
              </w:rPr>
              <w:t>($)(2)</w:t>
            </w: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rPr>
              <w:t>Non-PEO</w:t>
            </w:r>
          </w:p>
        </w:tc>
        <w:tc>
          <w:tcPr>
            <w:tcW w:w="920" w:type="dxa"/>
            <w:vAlign w:val="bottom"/>
            <w:vMerge w:val="continue"/>
            <w:shd w:val="clear" w:color="auto" w:fill="002060"/>
          </w:tcPr>
          <w:p>
            <w:pPr>
              <w:spacing w:after="0"/>
              <w:rPr>
                <w:sz w:val="6"/>
                <w:szCs w:val="6"/>
                <w:color w:val="auto"/>
              </w:rPr>
            </w:pPr>
          </w:p>
        </w:tc>
        <w:tc>
          <w:tcPr>
            <w:tcW w:w="780" w:type="dxa"/>
            <w:vAlign w:val="bottom"/>
            <w:gridSpan w:val="2"/>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8"/>
              </w:rPr>
              <w:t>Stockholder</w:t>
            </w:r>
          </w:p>
        </w:tc>
        <w:tc>
          <w:tcPr>
            <w:tcW w:w="760" w:type="dxa"/>
            <w:vAlign w:val="bottom"/>
            <w:vMerge w:val="continue"/>
            <w:shd w:val="clear" w:color="auto" w:fill="002060"/>
          </w:tcPr>
          <w:p>
            <w:pPr>
              <w:spacing w:after="0"/>
              <w:rPr>
                <w:sz w:val="6"/>
                <w:szCs w:val="6"/>
                <w:color w:val="auto"/>
              </w:rPr>
            </w:pPr>
          </w:p>
        </w:tc>
        <w:tc>
          <w:tcPr>
            <w:tcW w:w="760" w:type="dxa"/>
            <w:vAlign w:val="bottom"/>
            <w:vMerge w:val="continue"/>
            <w:shd w:val="clear" w:color="auto" w:fill="002060"/>
          </w:tcPr>
          <w:p>
            <w:pPr>
              <w:spacing w:after="0"/>
              <w:rPr>
                <w:sz w:val="6"/>
                <w:szCs w:val="6"/>
                <w:color w:val="auto"/>
              </w:rPr>
            </w:pPr>
          </w:p>
        </w:tc>
        <w:tc>
          <w:tcPr>
            <w:tcW w:w="360" w:type="dxa"/>
            <w:vAlign w:val="bottom"/>
            <w:vMerge w:val="continue"/>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0" w:type="dxa"/>
            <w:vAlign w:val="bottom"/>
            <w:shd w:val="clear" w:color="auto" w:fill="002060"/>
          </w:tcPr>
          <w:p>
            <w:pPr>
              <w:spacing w:after="0"/>
              <w:rPr>
                <w:sz w:val="6"/>
                <w:szCs w:val="6"/>
                <w:color w:val="auto"/>
              </w:rPr>
            </w:pPr>
          </w:p>
        </w:tc>
        <w:tc>
          <w:tcPr>
            <w:tcW w:w="88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32" w:lineRule="exact"/>
              <w:rPr>
                <w:sz w:val="20"/>
                <w:szCs w:val="20"/>
                <w:color w:val="auto"/>
              </w:rPr>
            </w:pPr>
            <w:r>
              <w:rPr>
                <w:rFonts w:ascii="Arial" w:cs="Arial" w:eastAsia="Arial" w:hAnsi="Arial"/>
                <w:sz w:val="13"/>
                <w:szCs w:val="13"/>
                <w:color w:val="FFFFFF"/>
                <w:w w:val="95"/>
              </w:rPr>
              <w:t>Table Total for</w:t>
            </w:r>
          </w:p>
        </w:tc>
        <w:tc>
          <w:tcPr>
            <w:tcW w:w="920" w:type="dxa"/>
            <w:vAlign w:val="bottom"/>
            <w:vMerge w:val="restart"/>
            <w:shd w:val="clear" w:color="auto" w:fill="002060"/>
          </w:tcPr>
          <w:p>
            <w:pPr>
              <w:jc w:val="center"/>
              <w:spacing w:after="0" w:line="132" w:lineRule="exact"/>
              <w:rPr>
                <w:sz w:val="20"/>
                <w:szCs w:val="20"/>
                <w:color w:val="auto"/>
              </w:rPr>
            </w:pPr>
            <w:r>
              <w:rPr>
                <w:rFonts w:ascii="Arial" w:cs="Arial" w:eastAsia="Arial" w:hAnsi="Arial"/>
                <w:sz w:val="13"/>
                <w:szCs w:val="13"/>
                <w:color w:val="FFFFFF"/>
                <w:w w:val="96"/>
              </w:rPr>
              <w:t>to Mr. Faier</w:t>
            </w:r>
          </w:p>
        </w:tc>
        <w:tc>
          <w:tcPr>
            <w:tcW w:w="920" w:type="dxa"/>
            <w:vAlign w:val="bottom"/>
            <w:vMerge w:val="restart"/>
            <w:shd w:val="clear" w:color="auto" w:fill="002060"/>
          </w:tcPr>
          <w:p>
            <w:pPr>
              <w:jc w:val="center"/>
              <w:spacing w:after="0" w:line="132" w:lineRule="exact"/>
              <w:rPr>
                <w:sz w:val="20"/>
                <w:szCs w:val="20"/>
                <w:color w:val="auto"/>
              </w:rPr>
            </w:pPr>
            <w:r>
              <w:rPr>
                <w:rFonts w:ascii="Arial" w:cs="Arial" w:eastAsia="Arial" w:hAnsi="Arial"/>
                <w:sz w:val="13"/>
                <w:szCs w:val="13"/>
                <w:color w:val="FFFFFF"/>
                <w:w w:val="95"/>
              </w:rPr>
              <w:t>Table Total for</w:t>
            </w:r>
          </w:p>
        </w:tc>
        <w:tc>
          <w:tcPr>
            <w:tcW w:w="920" w:type="dxa"/>
            <w:vAlign w:val="bottom"/>
            <w:vMerge w:val="restart"/>
            <w:shd w:val="clear" w:color="auto" w:fill="002060"/>
          </w:tcPr>
          <w:p>
            <w:pPr>
              <w:jc w:val="center"/>
              <w:spacing w:after="0" w:line="132" w:lineRule="exact"/>
              <w:rPr>
                <w:sz w:val="20"/>
                <w:szCs w:val="20"/>
                <w:color w:val="auto"/>
              </w:rPr>
            </w:pPr>
            <w:r>
              <w:rPr>
                <w:rFonts w:ascii="Arial" w:cs="Arial" w:eastAsia="Arial" w:hAnsi="Arial"/>
                <w:sz w:val="13"/>
                <w:szCs w:val="13"/>
                <w:color w:val="FFFFFF"/>
                <w:w w:val="98"/>
              </w:rPr>
              <w:t>to Mr. Lando</w:t>
            </w:r>
          </w:p>
        </w:tc>
        <w:tc>
          <w:tcPr>
            <w:tcW w:w="920" w:type="dxa"/>
            <w:vAlign w:val="bottom"/>
            <w:vMerge w:val="continue"/>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32" w:lineRule="exact"/>
              <w:rPr>
                <w:sz w:val="20"/>
                <w:szCs w:val="20"/>
                <w:color w:val="auto"/>
              </w:rPr>
            </w:pPr>
            <w:r>
              <w:rPr>
                <w:rFonts w:ascii="Arial" w:cs="Arial" w:eastAsia="Arial" w:hAnsi="Arial"/>
                <w:sz w:val="13"/>
                <w:szCs w:val="13"/>
                <w:color w:val="FFFFFF"/>
                <w:w w:val="96"/>
              </w:rPr>
              <w:t>NEOs ($)(2)</w:t>
            </w:r>
          </w:p>
        </w:tc>
        <w:tc>
          <w:tcPr>
            <w:tcW w:w="780" w:type="dxa"/>
            <w:vAlign w:val="bottom"/>
            <w:gridSpan w:val="2"/>
            <w:vMerge w:val="continue"/>
            <w:shd w:val="clear" w:color="auto" w:fill="002060"/>
          </w:tcPr>
          <w:p>
            <w:pPr>
              <w:spacing w:after="0"/>
              <w:rPr>
                <w:sz w:val="6"/>
                <w:szCs w:val="6"/>
                <w:color w:val="auto"/>
              </w:rPr>
            </w:pPr>
          </w:p>
        </w:tc>
        <w:tc>
          <w:tcPr>
            <w:tcW w:w="760" w:type="dxa"/>
            <w:vAlign w:val="bottom"/>
            <w:vMerge w:val="restart"/>
            <w:shd w:val="clear" w:color="auto" w:fill="002060"/>
          </w:tcPr>
          <w:p>
            <w:pPr>
              <w:jc w:val="center"/>
              <w:spacing w:after="0" w:line="132" w:lineRule="exact"/>
              <w:rPr>
                <w:sz w:val="20"/>
                <w:szCs w:val="20"/>
                <w:color w:val="auto"/>
              </w:rPr>
            </w:pPr>
            <w:r>
              <w:rPr>
                <w:rFonts w:ascii="Arial" w:cs="Arial" w:eastAsia="Arial" w:hAnsi="Arial"/>
                <w:sz w:val="13"/>
                <w:szCs w:val="13"/>
                <w:color w:val="FFFFFF"/>
                <w:w w:val="98"/>
              </w:rPr>
              <w:t>Stockholder</w:t>
            </w:r>
          </w:p>
        </w:tc>
        <w:tc>
          <w:tcPr>
            <w:tcW w:w="760" w:type="dxa"/>
            <w:vAlign w:val="bottom"/>
            <w:shd w:val="clear" w:color="auto" w:fill="002060"/>
          </w:tcPr>
          <w:p>
            <w:pPr>
              <w:spacing w:after="0"/>
              <w:rPr>
                <w:sz w:val="6"/>
                <w:szCs w:val="6"/>
                <w:color w:val="auto"/>
              </w:rPr>
            </w:pPr>
          </w:p>
        </w:tc>
        <w:tc>
          <w:tcPr>
            <w:tcW w:w="36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400" w:type="dxa"/>
            <w:vAlign w:val="bottom"/>
            <w:shd w:val="clear" w:color="auto" w:fill="002060"/>
          </w:tcPr>
          <w:p>
            <w:pPr>
              <w:spacing w:after="0"/>
              <w:rPr>
                <w:sz w:val="5"/>
                <w:szCs w:val="5"/>
                <w:color w:val="auto"/>
              </w:rPr>
            </w:pPr>
          </w:p>
        </w:tc>
        <w:tc>
          <w:tcPr>
            <w:tcW w:w="880" w:type="dxa"/>
            <w:vAlign w:val="bottom"/>
            <w:shd w:val="clear" w:color="auto" w:fill="002060"/>
          </w:tcPr>
          <w:p>
            <w:pPr>
              <w:spacing w:after="0"/>
              <w:rPr>
                <w:sz w:val="5"/>
                <w:szCs w:val="5"/>
                <w:color w:val="auto"/>
              </w:rPr>
            </w:pPr>
          </w:p>
        </w:tc>
        <w:tc>
          <w:tcPr>
            <w:tcW w:w="920" w:type="dxa"/>
            <w:vAlign w:val="bottom"/>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6"/>
              </w:rPr>
              <w:t>NEOs ($)(3)</w:t>
            </w:r>
          </w:p>
        </w:tc>
        <w:tc>
          <w:tcPr>
            <w:tcW w:w="920" w:type="dxa"/>
            <w:vAlign w:val="bottom"/>
            <w:vMerge w:val="continue"/>
            <w:shd w:val="clear" w:color="auto" w:fill="002060"/>
          </w:tcPr>
          <w:p>
            <w:pPr>
              <w:spacing w:after="0"/>
              <w:rPr>
                <w:sz w:val="5"/>
                <w:szCs w:val="5"/>
                <w:color w:val="auto"/>
              </w:rPr>
            </w:pPr>
          </w:p>
        </w:tc>
        <w:tc>
          <w:tcPr>
            <w:tcW w:w="620" w:type="dxa"/>
            <w:vAlign w:val="bottom"/>
            <w:vMerge w:val="restart"/>
            <w:shd w:val="clear" w:color="auto" w:fill="002060"/>
          </w:tcPr>
          <w:p>
            <w:pPr>
              <w:jc w:val="center"/>
              <w:ind w:left="96"/>
              <w:spacing w:after="0" w:line="144" w:lineRule="exact"/>
              <w:rPr>
                <w:sz w:val="20"/>
                <w:szCs w:val="20"/>
                <w:color w:val="auto"/>
              </w:rPr>
            </w:pPr>
            <w:r>
              <w:rPr>
                <w:rFonts w:ascii="Arial" w:cs="Arial" w:eastAsia="Arial" w:hAnsi="Arial"/>
                <w:sz w:val="13"/>
                <w:szCs w:val="13"/>
                <w:color w:val="FFFFFF"/>
                <w:w w:val="97"/>
              </w:rPr>
              <w:t>Return</w:t>
            </w:r>
          </w:p>
        </w:tc>
        <w:tc>
          <w:tcPr>
            <w:tcW w:w="160" w:type="dxa"/>
            <w:vAlign w:val="bottom"/>
            <w:shd w:val="clear" w:color="auto" w:fill="002060"/>
          </w:tcPr>
          <w:p>
            <w:pPr>
              <w:spacing w:after="0"/>
              <w:rPr>
                <w:sz w:val="5"/>
                <w:szCs w:val="5"/>
                <w:color w:val="auto"/>
              </w:rPr>
            </w:pPr>
          </w:p>
        </w:tc>
        <w:tc>
          <w:tcPr>
            <w:tcW w:w="760" w:type="dxa"/>
            <w:vAlign w:val="bottom"/>
            <w:vMerge w:val="continue"/>
            <w:shd w:val="clear" w:color="auto" w:fill="002060"/>
          </w:tcPr>
          <w:p>
            <w:pPr>
              <w:spacing w:after="0"/>
              <w:rPr>
                <w:sz w:val="5"/>
                <w:szCs w:val="5"/>
                <w:color w:val="auto"/>
              </w:rPr>
            </w:pPr>
          </w:p>
        </w:tc>
        <w:tc>
          <w:tcPr>
            <w:tcW w:w="760" w:type="dxa"/>
            <w:vAlign w:val="bottom"/>
            <w:shd w:val="clear" w:color="auto" w:fill="002060"/>
          </w:tcPr>
          <w:p>
            <w:pPr>
              <w:spacing w:after="0"/>
              <w:rPr>
                <w:sz w:val="5"/>
                <w:szCs w:val="5"/>
                <w:color w:val="auto"/>
              </w:rPr>
            </w:pPr>
          </w:p>
        </w:tc>
        <w:tc>
          <w:tcPr>
            <w:tcW w:w="360" w:type="dxa"/>
            <w:vAlign w:val="bottom"/>
            <w:shd w:val="clear" w:color="auto" w:fill="002060"/>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400" w:type="dxa"/>
            <w:vAlign w:val="bottom"/>
            <w:shd w:val="clear" w:color="auto" w:fill="002060"/>
          </w:tcPr>
          <w:p>
            <w:pPr>
              <w:spacing w:after="0"/>
              <w:rPr>
                <w:sz w:val="7"/>
                <w:szCs w:val="7"/>
                <w:color w:val="auto"/>
              </w:rPr>
            </w:pPr>
          </w:p>
        </w:tc>
        <w:tc>
          <w:tcPr>
            <w:tcW w:w="880" w:type="dxa"/>
            <w:vAlign w:val="bottom"/>
            <w:shd w:val="clear" w:color="auto" w:fill="002060"/>
          </w:tcPr>
          <w:p>
            <w:pPr>
              <w:spacing w:after="0"/>
              <w:rPr>
                <w:sz w:val="7"/>
                <w:szCs w:val="7"/>
                <w:color w:val="auto"/>
              </w:rPr>
            </w:pPr>
          </w:p>
        </w:tc>
        <w:tc>
          <w:tcPr>
            <w:tcW w:w="920" w:type="dxa"/>
            <w:vAlign w:val="bottom"/>
            <w:shd w:val="clear" w:color="auto" w:fill="002060"/>
          </w:tcPr>
          <w:p>
            <w:pPr>
              <w:spacing w:after="0"/>
              <w:rPr>
                <w:sz w:val="7"/>
                <w:szCs w:val="7"/>
                <w:color w:val="auto"/>
              </w:rPr>
            </w:pP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7"/>
              </w:rPr>
              <w:t>Mr. Faier ($)</w:t>
            </w:r>
          </w:p>
        </w:tc>
        <w:tc>
          <w:tcPr>
            <w:tcW w:w="920" w:type="dxa"/>
            <w:vAlign w:val="bottom"/>
            <w:vMerge w:val="restart"/>
            <w:shd w:val="clear" w:color="auto" w:fill="002060"/>
          </w:tcPr>
          <w:p>
            <w:pPr>
              <w:jc w:val="right"/>
              <w:ind w:right="316"/>
              <w:spacing w:after="0" w:line="144" w:lineRule="exact"/>
              <w:rPr>
                <w:sz w:val="20"/>
                <w:szCs w:val="20"/>
                <w:color w:val="auto"/>
              </w:rPr>
            </w:pPr>
            <w:r>
              <w:rPr>
                <w:rFonts w:ascii="Arial" w:cs="Arial" w:eastAsia="Arial" w:hAnsi="Arial"/>
                <w:sz w:val="13"/>
                <w:szCs w:val="13"/>
                <w:color w:val="FFFFFF"/>
              </w:rPr>
              <w:t>($)</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w w:val="95"/>
              </w:rPr>
              <w:t>Mr. Lando</w:t>
            </w:r>
          </w:p>
        </w:tc>
        <w:tc>
          <w:tcPr>
            <w:tcW w:w="92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rPr>
              <w:t>($)(2)</w:t>
            </w:r>
          </w:p>
        </w:tc>
        <w:tc>
          <w:tcPr>
            <w:tcW w:w="920" w:type="dxa"/>
            <w:vAlign w:val="bottom"/>
            <w:vMerge w:val="continue"/>
            <w:shd w:val="clear" w:color="auto" w:fill="002060"/>
          </w:tcPr>
          <w:p>
            <w:pPr>
              <w:spacing w:after="0"/>
              <w:rPr>
                <w:sz w:val="7"/>
                <w:szCs w:val="7"/>
                <w:color w:val="auto"/>
              </w:rPr>
            </w:pPr>
          </w:p>
        </w:tc>
        <w:tc>
          <w:tcPr>
            <w:tcW w:w="920" w:type="dxa"/>
            <w:vAlign w:val="bottom"/>
            <w:shd w:val="clear" w:color="auto" w:fill="002060"/>
          </w:tcPr>
          <w:p>
            <w:pPr>
              <w:spacing w:after="0"/>
              <w:rPr>
                <w:sz w:val="7"/>
                <w:szCs w:val="7"/>
                <w:color w:val="auto"/>
              </w:rPr>
            </w:pPr>
          </w:p>
        </w:tc>
        <w:tc>
          <w:tcPr>
            <w:tcW w:w="620" w:type="dxa"/>
            <w:vAlign w:val="bottom"/>
            <w:vMerge w:val="continue"/>
            <w:shd w:val="clear" w:color="auto" w:fill="002060"/>
          </w:tcPr>
          <w:p>
            <w:pPr>
              <w:spacing w:after="0"/>
              <w:rPr>
                <w:sz w:val="7"/>
                <w:szCs w:val="7"/>
                <w:color w:val="auto"/>
              </w:rPr>
            </w:pPr>
          </w:p>
        </w:tc>
        <w:tc>
          <w:tcPr>
            <w:tcW w:w="160" w:type="dxa"/>
            <w:vAlign w:val="bottom"/>
            <w:shd w:val="clear" w:color="auto" w:fill="002060"/>
          </w:tcPr>
          <w:p>
            <w:pPr>
              <w:spacing w:after="0"/>
              <w:rPr>
                <w:sz w:val="7"/>
                <w:szCs w:val="7"/>
                <w:color w:val="auto"/>
              </w:rPr>
            </w:pPr>
          </w:p>
        </w:tc>
        <w:tc>
          <w:tcPr>
            <w:tcW w:w="760" w:type="dxa"/>
            <w:vAlign w:val="bottom"/>
            <w:vMerge w:val="restart"/>
            <w:shd w:val="clear" w:color="auto" w:fill="002060"/>
          </w:tcPr>
          <w:p>
            <w:pPr>
              <w:jc w:val="center"/>
              <w:spacing w:after="0" w:line="144" w:lineRule="exact"/>
              <w:rPr>
                <w:sz w:val="20"/>
                <w:szCs w:val="20"/>
                <w:color w:val="auto"/>
              </w:rPr>
            </w:pPr>
            <w:r>
              <w:rPr>
                <w:rFonts w:ascii="Arial" w:cs="Arial" w:eastAsia="Arial" w:hAnsi="Arial"/>
                <w:sz w:val="13"/>
                <w:szCs w:val="13"/>
                <w:color w:val="FFFFFF"/>
              </w:rPr>
              <w:t>Return</w:t>
            </w:r>
          </w:p>
        </w:tc>
        <w:tc>
          <w:tcPr>
            <w:tcW w:w="760" w:type="dxa"/>
            <w:vAlign w:val="bottom"/>
            <w:shd w:val="clear" w:color="auto" w:fill="002060"/>
          </w:tcPr>
          <w:p>
            <w:pPr>
              <w:spacing w:after="0"/>
              <w:rPr>
                <w:sz w:val="7"/>
                <w:szCs w:val="7"/>
                <w:color w:val="auto"/>
              </w:rPr>
            </w:pPr>
          </w:p>
        </w:tc>
        <w:tc>
          <w:tcPr>
            <w:tcW w:w="360" w:type="dxa"/>
            <w:vAlign w:val="bottom"/>
            <w:shd w:val="clear" w:color="auto" w:fill="002060"/>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00" w:type="dxa"/>
            <w:vAlign w:val="bottom"/>
            <w:shd w:val="clear" w:color="auto" w:fill="002060"/>
          </w:tcPr>
          <w:p>
            <w:pPr>
              <w:spacing w:after="0"/>
              <w:rPr>
                <w:sz w:val="5"/>
                <w:szCs w:val="5"/>
                <w:color w:val="auto"/>
              </w:rPr>
            </w:pPr>
          </w:p>
        </w:tc>
        <w:tc>
          <w:tcPr>
            <w:tcW w:w="880" w:type="dxa"/>
            <w:vAlign w:val="bottom"/>
            <w:shd w:val="clear" w:color="auto" w:fill="002060"/>
          </w:tcPr>
          <w:p>
            <w:pPr>
              <w:spacing w:after="0"/>
              <w:rPr>
                <w:sz w:val="5"/>
                <w:szCs w:val="5"/>
                <w:color w:val="auto"/>
              </w:rPr>
            </w:pPr>
          </w:p>
        </w:tc>
        <w:tc>
          <w:tcPr>
            <w:tcW w:w="920" w:type="dxa"/>
            <w:vAlign w:val="bottom"/>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vMerge w:val="continue"/>
            <w:shd w:val="clear" w:color="auto" w:fill="002060"/>
          </w:tcPr>
          <w:p>
            <w:pPr>
              <w:spacing w:after="0"/>
              <w:rPr>
                <w:sz w:val="5"/>
                <w:szCs w:val="5"/>
                <w:color w:val="auto"/>
              </w:rPr>
            </w:pPr>
          </w:p>
        </w:tc>
        <w:tc>
          <w:tcPr>
            <w:tcW w:w="920" w:type="dxa"/>
            <w:vAlign w:val="bottom"/>
            <w:shd w:val="clear" w:color="auto" w:fill="002060"/>
          </w:tcPr>
          <w:p>
            <w:pPr>
              <w:spacing w:after="0"/>
              <w:rPr>
                <w:sz w:val="5"/>
                <w:szCs w:val="5"/>
                <w:color w:val="auto"/>
              </w:rPr>
            </w:pPr>
          </w:p>
        </w:tc>
        <w:tc>
          <w:tcPr>
            <w:tcW w:w="920" w:type="dxa"/>
            <w:vAlign w:val="bottom"/>
            <w:shd w:val="clear" w:color="auto" w:fill="002060"/>
          </w:tcPr>
          <w:p>
            <w:pPr>
              <w:spacing w:after="0"/>
              <w:rPr>
                <w:sz w:val="5"/>
                <w:szCs w:val="5"/>
                <w:color w:val="auto"/>
              </w:rPr>
            </w:pPr>
          </w:p>
        </w:tc>
        <w:tc>
          <w:tcPr>
            <w:tcW w:w="620" w:type="dxa"/>
            <w:vAlign w:val="bottom"/>
            <w:vMerge w:val="restart"/>
            <w:shd w:val="clear" w:color="auto" w:fill="002060"/>
          </w:tcPr>
          <w:p>
            <w:pPr>
              <w:jc w:val="center"/>
              <w:ind w:left="96"/>
              <w:spacing w:after="0"/>
              <w:rPr>
                <w:sz w:val="20"/>
                <w:szCs w:val="20"/>
                <w:color w:val="auto"/>
              </w:rPr>
            </w:pPr>
            <w:r>
              <w:rPr>
                <w:rFonts w:ascii="Arial" w:cs="Arial" w:eastAsia="Arial" w:hAnsi="Arial"/>
                <w:sz w:val="13"/>
                <w:szCs w:val="13"/>
                <w:color w:val="FFFFFF"/>
                <w:w w:val="94"/>
              </w:rPr>
              <w:t>($)(4)</w:t>
            </w:r>
          </w:p>
        </w:tc>
        <w:tc>
          <w:tcPr>
            <w:tcW w:w="160" w:type="dxa"/>
            <w:vAlign w:val="bottom"/>
            <w:shd w:val="clear" w:color="auto" w:fill="002060"/>
          </w:tcPr>
          <w:p>
            <w:pPr>
              <w:spacing w:after="0"/>
              <w:rPr>
                <w:sz w:val="5"/>
                <w:szCs w:val="5"/>
                <w:color w:val="auto"/>
              </w:rPr>
            </w:pPr>
          </w:p>
        </w:tc>
        <w:tc>
          <w:tcPr>
            <w:tcW w:w="760" w:type="dxa"/>
            <w:vAlign w:val="bottom"/>
            <w:vMerge w:val="continue"/>
            <w:shd w:val="clear" w:color="auto" w:fill="002060"/>
          </w:tcPr>
          <w:p>
            <w:pPr>
              <w:spacing w:after="0"/>
              <w:rPr>
                <w:sz w:val="5"/>
                <w:szCs w:val="5"/>
                <w:color w:val="auto"/>
              </w:rPr>
            </w:pPr>
          </w:p>
        </w:tc>
        <w:tc>
          <w:tcPr>
            <w:tcW w:w="760" w:type="dxa"/>
            <w:vAlign w:val="bottom"/>
            <w:shd w:val="clear" w:color="auto" w:fill="002060"/>
          </w:tcPr>
          <w:p>
            <w:pPr>
              <w:spacing w:after="0"/>
              <w:rPr>
                <w:sz w:val="5"/>
                <w:szCs w:val="5"/>
                <w:color w:val="auto"/>
              </w:rPr>
            </w:pPr>
          </w:p>
        </w:tc>
        <w:tc>
          <w:tcPr>
            <w:tcW w:w="360" w:type="dxa"/>
            <w:vAlign w:val="bottom"/>
            <w:shd w:val="clear" w:color="auto" w:fill="002060"/>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400" w:type="dxa"/>
            <w:vAlign w:val="bottom"/>
            <w:shd w:val="clear" w:color="auto" w:fill="002060"/>
          </w:tcPr>
          <w:p>
            <w:pPr>
              <w:spacing w:after="0"/>
              <w:rPr>
                <w:sz w:val="9"/>
                <w:szCs w:val="9"/>
                <w:color w:val="auto"/>
              </w:rPr>
            </w:pPr>
          </w:p>
        </w:tc>
        <w:tc>
          <w:tcPr>
            <w:tcW w:w="880" w:type="dxa"/>
            <w:vAlign w:val="bottom"/>
            <w:shd w:val="clear" w:color="auto" w:fill="002060"/>
          </w:tcPr>
          <w:p>
            <w:pPr>
              <w:spacing w:after="0"/>
              <w:rPr>
                <w:sz w:val="9"/>
                <w:szCs w:val="9"/>
                <w:color w:val="auto"/>
              </w:rPr>
            </w:pPr>
          </w:p>
        </w:tc>
        <w:tc>
          <w:tcPr>
            <w:tcW w:w="920" w:type="dxa"/>
            <w:vAlign w:val="bottom"/>
            <w:shd w:val="clear" w:color="auto" w:fill="002060"/>
          </w:tcPr>
          <w:p>
            <w:pPr>
              <w:spacing w:after="0"/>
              <w:rPr>
                <w:sz w:val="9"/>
                <w:szCs w:val="9"/>
                <w:color w:val="auto"/>
              </w:rPr>
            </w:pPr>
          </w:p>
        </w:tc>
        <w:tc>
          <w:tcPr>
            <w:tcW w:w="920" w:type="dxa"/>
            <w:vAlign w:val="bottom"/>
            <w:vMerge w:val="restart"/>
            <w:shd w:val="clear" w:color="auto" w:fill="002060"/>
          </w:tcPr>
          <w:p>
            <w:pPr>
              <w:jc w:val="right"/>
              <w:ind w:right="316"/>
              <w:spacing w:after="0"/>
              <w:rPr>
                <w:sz w:val="20"/>
                <w:szCs w:val="20"/>
                <w:color w:val="auto"/>
              </w:rPr>
            </w:pPr>
            <w:r>
              <w:rPr>
                <w:rFonts w:ascii="Arial" w:cs="Arial" w:eastAsia="Arial" w:hAnsi="Arial"/>
                <w:sz w:val="13"/>
                <w:szCs w:val="13"/>
                <w:color w:val="FFFFFF"/>
              </w:rPr>
              <w:t>(1)</w:t>
            </w:r>
          </w:p>
        </w:tc>
        <w:tc>
          <w:tcPr>
            <w:tcW w:w="920" w:type="dxa"/>
            <w:vAlign w:val="bottom"/>
            <w:shd w:val="clear" w:color="auto" w:fill="002060"/>
          </w:tcPr>
          <w:p>
            <w:pPr>
              <w:spacing w:after="0"/>
              <w:rPr>
                <w:sz w:val="9"/>
                <w:szCs w:val="9"/>
                <w:color w:val="auto"/>
              </w:rPr>
            </w:pP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($)(1)</w:t>
            </w:r>
          </w:p>
        </w:tc>
        <w:tc>
          <w:tcPr>
            <w:tcW w:w="920" w:type="dxa"/>
            <w:vAlign w:val="bottom"/>
            <w:shd w:val="clear" w:color="auto" w:fill="002060"/>
          </w:tcPr>
          <w:p>
            <w:pPr>
              <w:spacing w:after="0"/>
              <w:rPr>
                <w:sz w:val="9"/>
                <w:szCs w:val="9"/>
                <w:color w:val="auto"/>
              </w:rPr>
            </w:pPr>
          </w:p>
        </w:tc>
        <w:tc>
          <w:tcPr>
            <w:tcW w:w="920" w:type="dxa"/>
            <w:vAlign w:val="bottom"/>
            <w:shd w:val="clear" w:color="auto" w:fill="002060"/>
          </w:tcPr>
          <w:p>
            <w:pPr>
              <w:spacing w:after="0"/>
              <w:rPr>
                <w:sz w:val="9"/>
                <w:szCs w:val="9"/>
                <w:color w:val="auto"/>
              </w:rPr>
            </w:pPr>
          </w:p>
        </w:tc>
        <w:tc>
          <w:tcPr>
            <w:tcW w:w="920" w:type="dxa"/>
            <w:vAlign w:val="bottom"/>
            <w:shd w:val="clear" w:color="auto" w:fill="002060"/>
          </w:tcPr>
          <w:p>
            <w:pPr>
              <w:spacing w:after="0"/>
              <w:rPr>
                <w:sz w:val="9"/>
                <w:szCs w:val="9"/>
                <w:color w:val="auto"/>
              </w:rPr>
            </w:pPr>
          </w:p>
        </w:tc>
        <w:tc>
          <w:tcPr>
            <w:tcW w:w="620" w:type="dxa"/>
            <w:vAlign w:val="bottom"/>
            <w:vMerge w:val="continue"/>
            <w:shd w:val="clear" w:color="auto" w:fill="002060"/>
          </w:tcPr>
          <w:p>
            <w:pPr>
              <w:spacing w:after="0"/>
              <w:rPr>
                <w:sz w:val="9"/>
                <w:szCs w:val="9"/>
                <w:color w:val="auto"/>
              </w:rPr>
            </w:pPr>
          </w:p>
        </w:tc>
        <w:tc>
          <w:tcPr>
            <w:tcW w:w="160" w:type="dxa"/>
            <w:vAlign w:val="bottom"/>
            <w:shd w:val="clear" w:color="auto" w:fill="002060"/>
          </w:tcPr>
          <w:p>
            <w:pPr>
              <w:spacing w:after="0"/>
              <w:rPr>
                <w:sz w:val="9"/>
                <w:szCs w:val="9"/>
                <w:color w:val="auto"/>
              </w:rPr>
            </w:pPr>
          </w:p>
        </w:tc>
        <w:tc>
          <w:tcPr>
            <w:tcW w:w="76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($)(4)</w:t>
            </w:r>
          </w:p>
        </w:tc>
        <w:tc>
          <w:tcPr>
            <w:tcW w:w="760" w:type="dxa"/>
            <w:vAlign w:val="bottom"/>
            <w:shd w:val="clear" w:color="auto" w:fill="002060"/>
          </w:tcPr>
          <w:p>
            <w:pPr>
              <w:spacing w:after="0"/>
              <w:rPr>
                <w:sz w:val="9"/>
                <w:szCs w:val="9"/>
                <w:color w:val="auto"/>
              </w:rPr>
            </w:pPr>
          </w:p>
        </w:tc>
        <w:tc>
          <w:tcPr>
            <w:tcW w:w="360" w:type="dxa"/>
            <w:vAlign w:val="bottom"/>
            <w:shd w:val="clear" w:color="auto" w:fill="002060"/>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0" w:type="dxa"/>
            <w:vAlign w:val="bottom"/>
            <w:tcBorders>
              <w:bottom w:val="single" w:sz="8" w:color="002060"/>
            </w:tcBorders>
            <w:shd w:val="clear" w:color="auto" w:fill="002060"/>
          </w:tcPr>
          <w:p>
            <w:pPr>
              <w:spacing w:after="0"/>
              <w:rPr>
                <w:sz w:val="6"/>
                <w:szCs w:val="6"/>
                <w:color w:val="auto"/>
              </w:rPr>
            </w:pPr>
          </w:p>
        </w:tc>
        <w:tc>
          <w:tcPr>
            <w:tcW w:w="88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vMerge w:val="continue"/>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vMerge w:val="continue"/>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620" w:type="dxa"/>
            <w:vAlign w:val="bottom"/>
            <w:tcBorders>
              <w:bottom w:val="single" w:sz="8" w:color="002060"/>
            </w:tcBorders>
            <w:shd w:val="clear" w:color="auto" w:fill="002060"/>
          </w:tcPr>
          <w:p>
            <w:pPr>
              <w:spacing w:after="0"/>
              <w:rPr>
                <w:sz w:val="6"/>
                <w:szCs w:val="6"/>
                <w:color w:val="auto"/>
              </w:rPr>
            </w:pPr>
          </w:p>
        </w:tc>
        <w:tc>
          <w:tcPr>
            <w:tcW w:w="160" w:type="dxa"/>
            <w:vAlign w:val="bottom"/>
            <w:tcBorders>
              <w:bottom w:val="single" w:sz="8" w:color="002060"/>
            </w:tcBorders>
            <w:shd w:val="clear" w:color="auto" w:fill="002060"/>
          </w:tcPr>
          <w:p>
            <w:pPr>
              <w:spacing w:after="0"/>
              <w:rPr>
                <w:sz w:val="6"/>
                <w:szCs w:val="6"/>
                <w:color w:val="auto"/>
              </w:rPr>
            </w:pPr>
          </w:p>
        </w:tc>
        <w:tc>
          <w:tcPr>
            <w:tcW w:w="760" w:type="dxa"/>
            <w:vAlign w:val="bottom"/>
            <w:tcBorders>
              <w:bottom w:val="single" w:sz="8" w:color="002060"/>
            </w:tcBorders>
            <w:vMerge w:val="continue"/>
            <w:shd w:val="clear" w:color="auto" w:fill="002060"/>
          </w:tcPr>
          <w:p>
            <w:pPr>
              <w:spacing w:after="0"/>
              <w:rPr>
                <w:sz w:val="6"/>
                <w:szCs w:val="6"/>
                <w:color w:val="auto"/>
              </w:rPr>
            </w:pPr>
          </w:p>
        </w:tc>
        <w:tc>
          <w:tcPr>
            <w:tcW w:w="760" w:type="dxa"/>
            <w:vAlign w:val="bottom"/>
            <w:tcBorders>
              <w:bottom w:val="single" w:sz="8" w:color="002060"/>
            </w:tcBorders>
            <w:shd w:val="clear" w:color="auto" w:fill="002060"/>
          </w:tcPr>
          <w:p>
            <w:pPr>
              <w:spacing w:after="0"/>
              <w:rPr>
                <w:sz w:val="6"/>
                <w:szCs w:val="6"/>
                <w:color w:val="auto"/>
              </w:rPr>
            </w:pPr>
          </w:p>
        </w:tc>
        <w:tc>
          <w:tcPr>
            <w:tcW w:w="360" w:type="dxa"/>
            <w:vAlign w:val="bottom"/>
            <w:tcBorders>
              <w:bottom w:val="single" w:sz="8" w:color="002060"/>
            </w:tcBorders>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00" w:type="dxa"/>
            <w:vAlign w:val="bottom"/>
          </w:tcPr>
          <w:p>
            <w:pPr>
              <w:jc w:val="right"/>
              <w:spacing w:after="0"/>
              <w:rPr>
                <w:sz w:val="20"/>
                <w:szCs w:val="20"/>
                <w:color w:val="auto"/>
              </w:rPr>
            </w:pPr>
            <w:r>
              <w:rPr>
                <w:rFonts w:ascii="Arial" w:cs="Arial" w:eastAsia="Arial" w:hAnsi="Arial"/>
                <w:sz w:val="13"/>
                <w:szCs w:val="13"/>
                <w:color w:val="001446"/>
              </w:rPr>
              <w:t>2025</w:t>
            </w:r>
          </w:p>
        </w:tc>
        <w:tc>
          <w:tcPr>
            <w:tcW w:w="880" w:type="dxa"/>
            <w:vAlign w:val="bottom"/>
          </w:tcPr>
          <w:p>
            <w:pPr>
              <w:jc w:val="center"/>
              <w:ind w:left="59"/>
              <w:spacing w:after="0"/>
              <w:rPr>
                <w:sz w:val="20"/>
                <w:szCs w:val="20"/>
                <w:color w:val="auto"/>
              </w:rPr>
            </w:pPr>
            <w:r>
              <w:rPr>
                <w:rFonts w:ascii="Arial" w:cs="Arial" w:eastAsia="Arial" w:hAnsi="Arial"/>
                <w:sz w:val="13"/>
                <w:szCs w:val="13"/>
                <w:color w:val="001446"/>
                <w:w w:val="96"/>
              </w:rPr>
              <w:t>5,061,438</w:t>
            </w:r>
          </w:p>
        </w:tc>
        <w:tc>
          <w:tcPr>
            <w:tcW w:w="920" w:type="dxa"/>
            <w:vAlign w:val="bottom"/>
          </w:tcPr>
          <w:p>
            <w:pPr>
              <w:jc w:val="right"/>
              <w:ind w:right="59"/>
              <w:spacing w:after="0"/>
              <w:rPr>
                <w:sz w:val="20"/>
                <w:szCs w:val="20"/>
                <w:color w:val="auto"/>
              </w:rPr>
            </w:pPr>
            <w:r>
              <w:rPr>
                <w:rFonts w:ascii="Arial" w:cs="Arial" w:eastAsia="Arial" w:hAnsi="Arial"/>
                <w:sz w:val="13"/>
                <w:szCs w:val="13"/>
                <w:color w:val="001446"/>
              </w:rPr>
              <w:t>12,500,191</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ind w:left="340"/>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1,844,688</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3,441,649</w:t>
            </w:r>
          </w:p>
        </w:tc>
        <w:tc>
          <w:tcPr>
            <w:tcW w:w="620" w:type="dxa"/>
            <w:vAlign w:val="bottom"/>
          </w:tcPr>
          <w:p>
            <w:pPr>
              <w:jc w:val="center"/>
              <w:ind w:left="116"/>
              <w:spacing w:after="0"/>
              <w:rPr>
                <w:sz w:val="20"/>
                <w:szCs w:val="20"/>
                <w:color w:val="auto"/>
              </w:rPr>
            </w:pPr>
            <w:r>
              <w:rPr>
                <w:rFonts w:ascii="Arial" w:cs="Arial" w:eastAsia="Arial" w:hAnsi="Arial"/>
                <w:sz w:val="13"/>
                <w:szCs w:val="13"/>
                <w:color w:val="001446"/>
                <w:w w:val="94"/>
              </w:rPr>
              <w:t>9.04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001446"/>
                <w:w w:val="98"/>
              </w:rPr>
              <w:t>47.80</w:t>
            </w:r>
          </w:p>
        </w:tc>
        <w:tc>
          <w:tcPr>
            <w:tcW w:w="760" w:type="dxa"/>
            <w:vAlign w:val="bottom"/>
          </w:tcPr>
          <w:p>
            <w:pPr>
              <w:jc w:val="center"/>
              <w:spacing w:after="0"/>
              <w:rPr>
                <w:sz w:val="20"/>
                <w:szCs w:val="20"/>
                <w:color w:val="auto"/>
              </w:rPr>
            </w:pPr>
            <w:r>
              <w:rPr>
                <w:rFonts w:ascii="Arial" w:cs="Arial" w:eastAsia="Arial" w:hAnsi="Arial"/>
                <w:sz w:val="13"/>
                <w:szCs w:val="13"/>
                <w:color w:val="001446"/>
              </w:rPr>
              <w:t>(405,448)</w:t>
            </w:r>
          </w:p>
        </w:tc>
        <w:tc>
          <w:tcPr>
            <w:tcW w:w="360" w:type="dxa"/>
            <w:vAlign w:val="bottom"/>
          </w:tcPr>
          <w:p>
            <w:pPr>
              <w:ind w:left="80"/>
              <w:spacing w:after="0"/>
              <w:rPr>
                <w:sz w:val="20"/>
                <w:szCs w:val="20"/>
                <w:color w:val="auto"/>
              </w:rPr>
            </w:pPr>
            <w:r>
              <w:rPr>
                <w:rFonts w:ascii="Arial" w:cs="Arial" w:eastAsia="Arial" w:hAnsi="Arial"/>
                <w:sz w:val="13"/>
                <w:szCs w:val="13"/>
                <w:color w:val="001446"/>
              </w:rPr>
              <w:t>1,18</w:t>
            </w:r>
          </w:p>
        </w:tc>
        <w:tc>
          <w:tcPr>
            <w:tcW w:w="0" w:type="dxa"/>
            <w:vAlign w:val="bottom"/>
          </w:tcPr>
          <w:p>
            <w:pPr>
              <w:spacing w:after="0"/>
              <w:rPr>
                <w:sz w:val="1"/>
                <w:szCs w:val="1"/>
                <w:color w:val="auto"/>
              </w:rPr>
            </w:pPr>
          </w:p>
        </w:tc>
      </w:tr>
      <w:tr>
        <w:trPr>
          <w:trHeight w:val="36"/>
        </w:trPr>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40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3"/>
                <w:szCs w:val="13"/>
                <w:color w:val="001446"/>
              </w:rPr>
              <w:t>2024</w:t>
            </w:r>
          </w:p>
        </w:tc>
        <w:tc>
          <w:tcPr>
            <w:tcW w:w="880" w:type="dxa"/>
            <w:vAlign w:val="bottom"/>
            <w:tcBorders>
              <w:bottom w:val="single" w:sz="8" w:color="F0F0F0"/>
            </w:tcBorders>
            <w:shd w:val="clear" w:color="auto" w:fill="F0F0F0"/>
          </w:tcPr>
          <w:p>
            <w:pPr>
              <w:jc w:val="center"/>
              <w:ind w:left="19"/>
              <w:spacing w:after="0"/>
              <w:rPr>
                <w:sz w:val="20"/>
                <w:szCs w:val="20"/>
                <w:color w:val="auto"/>
              </w:rPr>
            </w:pPr>
            <w:r>
              <w:rPr>
                <w:rFonts w:ascii="Arial" w:cs="Arial" w:eastAsia="Arial" w:hAnsi="Arial"/>
                <w:sz w:val="13"/>
                <w:szCs w:val="13"/>
                <w:color w:val="001446"/>
                <w:w w:val="96"/>
              </w:rPr>
              <w:t>3,340,041</w:t>
            </w:r>
          </w:p>
        </w:tc>
        <w:tc>
          <w:tcPr>
            <w:tcW w:w="920" w:type="dxa"/>
            <w:vAlign w:val="bottom"/>
            <w:tcBorders>
              <w:bottom w:val="single" w:sz="8" w:color="F0F0F0"/>
            </w:tcBorders>
            <w:shd w:val="clear" w:color="auto" w:fill="F0F0F0"/>
          </w:tcPr>
          <w:p>
            <w:pPr>
              <w:jc w:val="right"/>
              <w:ind w:right="119"/>
              <w:spacing w:after="0"/>
              <w:rPr>
                <w:sz w:val="20"/>
                <w:szCs w:val="20"/>
                <w:color w:val="auto"/>
              </w:rPr>
            </w:pPr>
            <w:r>
              <w:rPr>
                <w:rFonts w:ascii="Arial" w:cs="Arial" w:eastAsia="Arial" w:hAnsi="Arial"/>
                <w:sz w:val="13"/>
                <w:szCs w:val="13"/>
                <w:color w:val="001446"/>
              </w:rPr>
              <w:t>3,362,607</w:t>
            </w:r>
          </w:p>
        </w:tc>
        <w:tc>
          <w:tcPr>
            <w:tcW w:w="920" w:type="dxa"/>
            <w:vAlign w:val="bottom"/>
            <w:tcBorders>
              <w:bottom w:val="single" w:sz="8" w:color="F0F0F0"/>
            </w:tcBorders>
            <w:shd w:val="clear" w:color="auto" w:fill="F0F0F0"/>
          </w:tcPr>
          <w:p>
            <w:pPr>
              <w:jc w:val="right"/>
              <w:ind w:right="116"/>
              <w:spacing w:after="0"/>
              <w:rPr>
                <w:sz w:val="20"/>
                <w:szCs w:val="20"/>
                <w:color w:val="auto"/>
              </w:rPr>
            </w:pPr>
            <w:r>
              <w:rPr>
                <w:rFonts w:ascii="Arial" w:cs="Arial" w:eastAsia="Arial" w:hAnsi="Arial"/>
                <w:sz w:val="13"/>
                <w:szCs w:val="13"/>
                <w:color w:val="001446"/>
              </w:rPr>
              <w:t>4,097,470</w:t>
            </w:r>
          </w:p>
        </w:tc>
        <w:tc>
          <w:tcPr>
            <w:tcW w:w="920" w:type="dxa"/>
            <w:vAlign w:val="bottom"/>
            <w:tcBorders>
              <w:bottom w:val="single" w:sz="8" w:color="F0F0F0"/>
            </w:tcBorders>
            <w:shd w:val="clear" w:color="auto" w:fill="F0F0F0"/>
          </w:tcPr>
          <w:p>
            <w:pPr>
              <w:jc w:val="right"/>
              <w:ind w:right="176"/>
              <w:spacing w:after="0"/>
              <w:rPr>
                <w:sz w:val="20"/>
                <w:szCs w:val="20"/>
                <w:color w:val="auto"/>
              </w:rPr>
            </w:pPr>
            <w:r>
              <w:rPr>
                <w:rFonts w:ascii="Arial" w:cs="Arial" w:eastAsia="Arial" w:hAnsi="Arial"/>
                <w:sz w:val="13"/>
                <w:szCs w:val="13"/>
                <w:color w:val="001446"/>
              </w:rPr>
              <w:t>732,483</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5,179,860</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(1,649,809)</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2,623,295</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1,194,731</w:t>
            </w:r>
          </w:p>
        </w:tc>
        <w:tc>
          <w:tcPr>
            <w:tcW w:w="620" w:type="dxa"/>
            <w:vAlign w:val="bottom"/>
            <w:tcBorders>
              <w:bottom w:val="single" w:sz="8" w:color="F0F0F0"/>
            </w:tcBorders>
            <w:shd w:val="clear" w:color="auto" w:fill="F0F0F0"/>
          </w:tcPr>
          <w:p>
            <w:pPr>
              <w:jc w:val="center"/>
              <w:ind w:left="116"/>
              <w:spacing w:after="0"/>
              <w:rPr>
                <w:sz w:val="20"/>
                <w:szCs w:val="20"/>
                <w:color w:val="auto"/>
              </w:rPr>
            </w:pPr>
            <w:r>
              <w:rPr>
                <w:rFonts w:ascii="Arial" w:cs="Arial" w:eastAsia="Arial" w:hAnsi="Arial"/>
                <w:sz w:val="13"/>
                <w:szCs w:val="13"/>
                <w:color w:val="001446"/>
                <w:w w:val="94"/>
              </w:rPr>
              <w:t>4.26</w:t>
            </w:r>
          </w:p>
        </w:tc>
        <w:tc>
          <w:tcPr>
            <w:tcW w:w="160" w:type="dxa"/>
            <w:vAlign w:val="bottom"/>
            <w:tcBorders>
              <w:bottom w:val="single" w:sz="8" w:color="F0F0F0"/>
            </w:tcBorders>
            <w:shd w:val="clear" w:color="auto" w:fill="F0F0F0"/>
          </w:tcPr>
          <w:p>
            <w:pPr>
              <w:spacing w:after="0"/>
              <w:rPr>
                <w:sz w:val="19"/>
                <w:szCs w:val="19"/>
                <w:color w:val="auto"/>
              </w:rPr>
            </w:pPr>
          </w:p>
        </w:tc>
        <w:tc>
          <w:tcPr>
            <w:tcW w:w="76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8"/>
              </w:rPr>
              <w:t>32.23</w:t>
            </w:r>
          </w:p>
        </w:tc>
        <w:tc>
          <w:tcPr>
            <w:tcW w:w="76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(1,806,357)</w:t>
            </w:r>
          </w:p>
        </w:tc>
        <w:tc>
          <w:tcPr>
            <w:tcW w:w="360" w:type="dxa"/>
            <w:vAlign w:val="bottom"/>
            <w:tcBorders>
              <w:bottom w:val="single" w:sz="8" w:color="F0F0F0"/>
            </w:tcBorders>
            <w:shd w:val="clear" w:color="auto" w:fill="F0F0F0"/>
          </w:tcPr>
          <w:p>
            <w:pPr>
              <w:ind w:left="120"/>
              <w:spacing w:after="0"/>
              <w:rPr>
                <w:sz w:val="20"/>
                <w:szCs w:val="20"/>
                <w:color w:val="auto"/>
              </w:rPr>
            </w:pPr>
            <w:r>
              <w:rPr>
                <w:rFonts w:ascii="Arial" w:cs="Arial" w:eastAsia="Arial" w:hAnsi="Arial"/>
                <w:sz w:val="13"/>
                <w:szCs w:val="13"/>
                <w:color w:val="001446"/>
                <w:w w:val="86"/>
              </w:rPr>
              <w:t>901,</w:t>
            </w:r>
          </w:p>
        </w:tc>
        <w:tc>
          <w:tcPr>
            <w:tcW w:w="0" w:type="dxa"/>
            <w:vAlign w:val="bottom"/>
          </w:tcPr>
          <w:p>
            <w:pPr>
              <w:spacing w:after="0"/>
              <w:rPr>
                <w:sz w:val="1"/>
                <w:szCs w:val="1"/>
                <w:color w:val="auto"/>
              </w:rPr>
            </w:pPr>
          </w:p>
        </w:tc>
      </w:tr>
      <w:tr>
        <w:trPr>
          <w:trHeight w:val="204"/>
        </w:trPr>
        <w:tc>
          <w:tcPr>
            <w:tcW w:w="400" w:type="dxa"/>
            <w:vAlign w:val="bottom"/>
          </w:tcPr>
          <w:p>
            <w:pPr>
              <w:jc w:val="right"/>
              <w:spacing w:after="0"/>
              <w:rPr>
                <w:sz w:val="20"/>
                <w:szCs w:val="20"/>
                <w:color w:val="auto"/>
              </w:rPr>
            </w:pPr>
            <w:r>
              <w:rPr>
                <w:rFonts w:ascii="Arial" w:cs="Arial" w:eastAsia="Arial" w:hAnsi="Arial"/>
                <w:sz w:val="13"/>
                <w:szCs w:val="13"/>
                <w:color w:val="001446"/>
              </w:rPr>
              <w:t>2023</w:t>
            </w:r>
          </w:p>
        </w:tc>
        <w:tc>
          <w:tcPr>
            <w:tcW w:w="880" w:type="dxa"/>
            <w:vAlign w:val="bottom"/>
          </w:tcPr>
          <w:p>
            <w:pPr>
              <w:jc w:val="center"/>
              <w:ind w:left="19"/>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7,500,450</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(2,219,853)</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2,215,233</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3,110,279</w:t>
            </w:r>
          </w:p>
        </w:tc>
        <w:tc>
          <w:tcPr>
            <w:tcW w:w="620" w:type="dxa"/>
            <w:vAlign w:val="bottom"/>
          </w:tcPr>
          <w:p>
            <w:pPr>
              <w:jc w:val="center"/>
              <w:ind w:left="116"/>
              <w:spacing w:after="0"/>
              <w:rPr>
                <w:sz w:val="20"/>
                <w:szCs w:val="20"/>
                <w:color w:val="auto"/>
              </w:rPr>
            </w:pPr>
            <w:r>
              <w:rPr>
                <w:rFonts w:ascii="Arial" w:cs="Arial" w:eastAsia="Arial" w:hAnsi="Arial"/>
                <w:sz w:val="13"/>
                <w:szCs w:val="13"/>
                <w:color w:val="001446"/>
                <w:w w:val="98"/>
              </w:rPr>
              <w:t>29.33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001446"/>
                <w:w w:val="98"/>
              </w:rPr>
              <w:t>51.92</w:t>
            </w:r>
          </w:p>
        </w:tc>
        <w:tc>
          <w:tcPr>
            <w:tcW w:w="760" w:type="dxa"/>
            <w:vAlign w:val="bottom"/>
          </w:tcPr>
          <w:p>
            <w:pPr>
              <w:jc w:val="center"/>
              <w:spacing w:after="0"/>
              <w:rPr>
                <w:sz w:val="20"/>
                <w:szCs w:val="20"/>
                <w:color w:val="auto"/>
              </w:rPr>
            </w:pPr>
            <w:r>
              <w:rPr>
                <w:rFonts w:ascii="Arial" w:cs="Arial" w:eastAsia="Arial" w:hAnsi="Arial"/>
                <w:sz w:val="13"/>
                <w:szCs w:val="13"/>
                <w:color w:val="001446"/>
              </w:rPr>
              <w:t>34,329</w:t>
            </w:r>
          </w:p>
        </w:tc>
        <w:tc>
          <w:tcPr>
            <w:tcW w:w="360" w:type="dxa"/>
            <w:vAlign w:val="bottom"/>
          </w:tcPr>
          <w:p>
            <w:pPr>
              <w:ind w:left="60"/>
              <w:spacing w:after="0"/>
              <w:rPr>
                <w:sz w:val="20"/>
                <w:szCs w:val="20"/>
                <w:color w:val="auto"/>
              </w:rPr>
            </w:pPr>
            <w:r>
              <w:rPr>
                <w:rFonts w:ascii="Arial" w:cs="Arial" w:eastAsia="Arial" w:hAnsi="Arial"/>
                <w:sz w:val="13"/>
                <w:szCs w:val="13"/>
                <w:color w:val="001446"/>
              </w:rPr>
              <w:t>2,97</w:t>
            </w:r>
          </w:p>
        </w:tc>
        <w:tc>
          <w:tcPr>
            <w:tcW w:w="0" w:type="dxa"/>
            <w:vAlign w:val="bottom"/>
          </w:tcPr>
          <w:p>
            <w:pPr>
              <w:spacing w:after="0"/>
              <w:rPr>
                <w:sz w:val="1"/>
                <w:szCs w:val="1"/>
                <w:color w:val="auto"/>
              </w:rPr>
            </w:pPr>
          </w:p>
        </w:tc>
      </w:tr>
      <w:tr>
        <w:trPr>
          <w:trHeight w:val="36"/>
        </w:trPr>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40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3"/>
                <w:szCs w:val="13"/>
                <w:color w:val="001446"/>
              </w:rPr>
              <w:t>2022</w:t>
            </w:r>
          </w:p>
        </w:tc>
        <w:tc>
          <w:tcPr>
            <w:tcW w:w="880" w:type="dxa"/>
            <w:vAlign w:val="bottom"/>
            <w:tcBorders>
              <w:bottom w:val="single" w:sz="8" w:color="F0F0F0"/>
            </w:tcBorders>
            <w:shd w:val="clear" w:color="auto" w:fill="F0F0F0"/>
          </w:tcPr>
          <w:p>
            <w:pPr>
              <w:jc w:val="center"/>
              <w:ind w:left="19"/>
              <w:spacing w:after="0"/>
              <w:rPr>
                <w:sz w:val="20"/>
                <w:szCs w:val="20"/>
                <w:color w:val="auto"/>
              </w:rPr>
            </w:pPr>
            <w:r>
              <w:rPr>
                <w:rFonts w:ascii="Arial" w:cs="Arial" w:eastAsia="Arial" w:hAnsi="Arial"/>
                <w:sz w:val="13"/>
                <w:szCs w:val="13"/>
                <w:color w:val="001446"/>
                <w:w w:val="92"/>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7,424,905</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8,059,218</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2,636,004</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1,963,865</w:t>
            </w:r>
          </w:p>
        </w:tc>
        <w:tc>
          <w:tcPr>
            <w:tcW w:w="620" w:type="dxa"/>
            <w:vAlign w:val="bottom"/>
            <w:tcBorders>
              <w:bottom w:val="single" w:sz="8" w:color="E3E3E3"/>
            </w:tcBorders>
            <w:shd w:val="clear" w:color="auto" w:fill="E3E3E3"/>
          </w:tcPr>
          <w:p>
            <w:pPr>
              <w:jc w:val="center"/>
              <w:ind w:left="116"/>
              <w:spacing w:after="0"/>
              <w:rPr>
                <w:sz w:val="20"/>
                <w:szCs w:val="20"/>
                <w:color w:val="auto"/>
              </w:rPr>
            </w:pPr>
            <w:r>
              <w:rPr>
                <w:rFonts w:ascii="Arial" w:cs="Arial" w:eastAsia="Arial" w:hAnsi="Arial"/>
                <w:sz w:val="13"/>
                <w:szCs w:val="13"/>
                <w:color w:val="001446"/>
                <w:w w:val="98"/>
              </w:rPr>
              <w:t>88.77</w:t>
            </w:r>
          </w:p>
        </w:tc>
        <w:tc>
          <w:tcPr>
            <w:tcW w:w="160" w:type="dxa"/>
            <w:vAlign w:val="bottom"/>
            <w:tcBorders>
              <w:bottom w:val="single" w:sz="8" w:color="E3E3E3"/>
            </w:tcBorders>
            <w:shd w:val="clear" w:color="auto" w:fill="E3E3E3"/>
          </w:tcPr>
          <w:p>
            <w:pPr>
              <w:spacing w:after="0"/>
              <w:rPr>
                <w:sz w:val="19"/>
                <w:szCs w:val="19"/>
                <w:color w:val="auto"/>
              </w:rPr>
            </w:pPr>
          </w:p>
        </w:tc>
        <w:tc>
          <w:tcPr>
            <w:tcW w:w="76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8"/>
              </w:rPr>
              <w:t>70.98</w:t>
            </w:r>
          </w:p>
        </w:tc>
        <w:tc>
          <w:tcPr>
            <w:tcW w:w="76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rPr>
              <w:t>93,779</w:t>
            </w:r>
          </w:p>
        </w:tc>
        <w:tc>
          <w:tcPr>
            <w:tcW w:w="360" w:type="dxa"/>
            <w:vAlign w:val="bottom"/>
            <w:tcBorders>
              <w:bottom w:val="single" w:sz="8" w:color="E3E3E3"/>
            </w:tcBorders>
            <w:shd w:val="clear" w:color="auto" w:fill="E3E3E3"/>
          </w:tcPr>
          <w:p>
            <w:pPr>
              <w:ind w:left="60"/>
              <w:spacing w:after="0"/>
              <w:rPr>
                <w:sz w:val="20"/>
                <w:szCs w:val="20"/>
                <w:color w:val="auto"/>
              </w:rPr>
            </w:pPr>
            <w:r>
              <w:rPr>
                <w:rFonts w:ascii="Arial" w:cs="Arial" w:eastAsia="Arial" w:hAnsi="Arial"/>
                <w:sz w:val="13"/>
                <w:szCs w:val="13"/>
                <w:color w:val="001446"/>
                <w:w w:val="85"/>
              </w:rPr>
              <w:t>3,110</w:t>
            </w:r>
          </w:p>
        </w:tc>
        <w:tc>
          <w:tcPr>
            <w:tcW w:w="0" w:type="dxa"/>
            <w:vAlign w:val="bottom"/>
          </w:tcPr>
          <w:p>
            <w:pPr>
              <w:spacing w:after="0"/>
              <w:rPr>
                <w:sz w:val="1"/>
                <w:szCs w:val="1"/>
                <w:color w:val="auto"/>
              </w:rPr>
            </w:pPr>
          </w:p>
        </w:tc>
      </w:tr>
      <w:tr>
        <w:trPr>
          <w:trHeight w:val="204"/>
        </w:trPr>
        <w:tc>
          <w:tcPr>
            <w:tcW w:w="400" w:type="dxa"/>
            <w:vAlign w:val="bottom"/>
          </w:tcPr>
          <w:p>
            <w:pPr>
              <w:jc w:val="right"/>
              <w:spacing w:after="0"/>
              <w:rPr>
                <w:sz w:val="20"/>
                <w:szCs w:val="20"/>
                <w:color w:val="auto"/>
              </w:rPr>
            </w:pPr>
            <w:r>
              <w:rPr>
                <w:rFonts w:ascii="Arial" w:cs="Arial" w:eastAsia="Arial" w:hAnsi="Arial"/>
                <w:sz w:val="13"/>
                <w:szCs w:val="13"/>
                <w:color w:val="001446"/>
              </w:rPr>
              <w:t>2021</w:t>
            </w:r>
          </w:p>
        </w:tc>
        <w:tc>
          <w:tcPr>
            <w:tcW w:w="880" w:type="dxa"/>
            <w:vAlign w:val="bottom"/>
          </w:tcPr>
          <w:p>
            <w:pPr>
              <w:jc w:val="center"/>
              <w:ind w:left="19"/>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7,361,336</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4,432,838</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2,614,452</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1,459,271</w:t>
            </w:r>
          </w:p>
        </w:tc>
        <w:tc>
          <w:tcPr>
            <w:tcW w:w="620" w:type="dxa"/>
            <w:vAlign w:val="bottom"/>
          </w:tcPr>
          <w:p>
            <w:pPr>
              <w:jc w:val="center"/>
              <w:ind w:left="116"/>
              <w:spacing w:after="0"/>
              <w:rPr>
                <w:sz w:val="20"/>
                <w:szCs w:val="20"/>
                <w:color w:val="auto"/>
              </w:rPr>
            </w:pPr>
            <w:r>
              <w:rPr>
                <w:rFonts w:ascii="Arial" w:cs="Arial" w:eastAsia="Arial" w:hAnsi="Arial"/>
                <w:sz w:val="13"/>
                <w:szCs w:val="13"/>
                <w:color w:val="001446"/>
                <w:w w:val="98"/>
              </w:rPr>
              <w:t>87.92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001446"/>
                <w:w w:val="98"/>
              </w:rPr>
              <w:t>74.90</w:t>
            </w:r>
          </w:p>
        </w:tc>
        <w:tc>
          <w:tcPr>
            <w:tcW w:w="760" w:type="dxa"/>
            <w:vAlign w:val="bottom"/>
          </w:tcPr>
          <w:p>
            <w:pPr>
              <w:jc w:val="center"/>
              <w:spacing w:after="0"/>
              <w:rPr>
                <w:sz w:val="20"/>
                <w:szCs w:val="20"/>
                <w:color w:val="auto"/>
              </w:rPr>
            </w:pPr>
            <w:r>
              <w:rPr>
                <w:rFonts w:ascii="Arial" w:cs="Arial" w:eastAsia="Arial" w:hAnsi="Arial"/>
                <w:sz w:val="13"/>
                <w:szCs w:val="13"/>
                <w:color w:val="001446"/>
              </w:rPr>
              <w:t>169,170</w:t>
            </w:r>
          </w:p>
        </w:tc>
        <w:tc>
          <w:tcPr>
            <w:tcW w:w="360" w:type="dxa"/>
            <w:vAlign w:val="bottom"/>
          </w:tcPr>
          <w:p>
            <w:pPr>
              <w:ind w:left="60"/>
              <w:spacing w:after="0"/>
              <w:rPr>
                <w:sz w:val="20"/>
                <w:szCs w:val="20"/>
                <w:color w:val="auto"/>
              </w:rPr>
            </w:pPr>
            <w:r>
              <w:rPr>
                <w:rFonts w:ascii="Arial" w:cs="Arial" w:eastAsia="Arial" w:hAnsi="Arial"/>
                <w:sz w:val="13"/>
                <w:szCs w:val="13"/>
                <w:color w:val="001446"/>
              </w:rPr>
              <w:t>1,96</w:t>
            </w:r>
          </w:p>
        </w:tc>
        <w:tc>
          <w:tcPr>
            <w:tcW w:w="0" w:type="dxa"/>
            <w:vAlign w:val="bottom"/>
          </w:tcPr>
          <w:p>
            <w:pPr>
              <w:spacing w:after="0"/>
              <w:rPr>
                <w:sz w:val="1"/>
                <w:szCs w:val="1"/>
                <w:color w:val="auto"/>
              </w:rPr>
            </w:pPr>
          </w:p>
        </w:tc>
      </w:tr>
      <w:tr>
        <w:trPr>
          <w:trHeight w:val="36"/>
        </w:trPr>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84" w:right="120" w:hanging="284"/>
        <w:spacing w:after="0" w:line="232" w:lineRule="auto"/>
        <w:tabs>
          <w:tab w:leader="none" w:pos="284" w:val="left"/>
        </w:tabs>
        <w:numPr>
          <w:ilvl w:val="0"/>
          <w:numId w:val="123"/>
        </w:numPr>
        <w:rPr>
          <w:rFonts w:ascii="Arial" w:cs="Arial" w:eastAsia="Arial" w:hAnsi="Arial"/>
          <w:sz w:val="13"/>
          <w:szCs w:val="13"/>
          <w:color w:val="001446"/>
        </w:rPr>
      </w:pPr>
      <w:r>
        <w:rPr>
          <w:rFonts w:ascii="Arial" w:cs="Arial" w:eastAsia="Arial" w:hAnsi="Arial"/>
          <w:sz w:val="13"/>
          <w:szCs w:val="13"/>
          <w:color w:val="001446"/>
        </w:rPr>
        <w:t>The amounts reported for Mr. Nir (our Chief Executive Officers, or “PEO”) for each corresponding year are the amounts reported in the “Total” column of the Summary Compensation Table. Refer to the Executive Compensation Tables – Summary Compensation Table. Zvi Lando served as our Chief Executive Officer until August 26, 2024; Ronen Faier served as our Interim Chief Executive Officer from August 26, 2024, until December 4, 2024; and Mr. Nir has served as our Chief Executive Officer since December 4, 2024.</w:t>
      </w:r>
    </w:p>
    <w:p>
      <w:pPr>
        <w:spacing w:after="0" w:line="1" w:lineRule="exact"/>
        <w:rPr>
          <w:rFonts w:ascii="Arial" w:cs="Arial" w:eastAsia="Arial" w:hAnsi="Arial"/>
          <w:sz w:val="13"/>
          <w:szCs w:val="13"/>
          <w:color w:val="001446"/>
        </w:rPr>
      </w:pPr>
    </w:p>
    <w:p>
      <w:pPr>
        <w:ind w:left="284" w:right="280" w:hanging="284"/>
        <w:spacing w:after="0" w:line="241" w:lineRule="auto"/>
        <w:tabs>
          <w:tab w:leader="none" w:pos="284" w:val="left"/>
        </w:tabs>
        <w:numPr>
          <w:ilvl w:val="0"/>
          <w:numId w:val="123"/>
        </w:numPr>
        <w:rPr>
          <w:rFonts w:ascii="Arial" w:cs="Arial" w:eastAsia="Arial" w:hAnsi="Arial"/>
          <w:sz w:val="13"/>
          <w:szCs w:val="13"/>
          <w:color w:val="001446"/>
        </w:rPr>
      </w:pPr>
      <w:r>
        <w:rPr>
          <w:rFonts w:ascii="Arial" w:cs="Arial" w:eastAsia="Arial" w:hAnsi="Arial"/>
          <w:sz w:val="13"/>
          <w:szCs w:val="13"/>
          <w:color w:val="001446"/>
        </w:rPr>
        <w:t>SEC rules require certain adjustments be made to the “Summary Compensation Table” totals to determine “compensation actually paid” as reported in the “Pay Versus Performance” table above. The following table details the applicable adjustments that were made to determine “compensation actually paid” (all amounts are averages for the named executive officers other than the CEOs) for 2025. The valuation assumptions used to calculate fair values did not materially differ from those disclosed at the time of grant.</w:t>
      </w:r>
    </w:p>
    <w:p>
      <w:pPr>
        <w:spacing w:after="0" w:line="171" w:lineRule="exact"/>
        <w:rPr>
          <w:sz w:val="20"/>
          <w:szCs w:val="20"/>
          <w:color w:val="auto"/>
        </w:rPr>
      </w:pPr>
    </w:p>
    <w:tbl>
      <w:tblPr>
        <w:tblLayout w:type="fixed"/>
        <w:tblInd w:w="284" w:type="dxa"/>
        <w:tblCellMar>
          <w:top w:w="0" w:type="dxa"/>
          <w:left w:w="0" w:type="dxa"/>
          <w:bottom w:w="0" w:type="dxa"/>
          <w:right w:w="0" w:type="dxa"/>
        </w:tblCellMar>
      </w:tblPr>
      <w:tr>
        <w:trPr>
          <w:trHeight w:val="176"/>
        </w:trPr>
        <w:tc>
          <w:tcPr>
            <w:tcW w:w="7820" w:type="dxa"/>
            <w:vAlign w:val="bottom"/>
            <w:shd w:val="clear" w:color="auto" w:fill="001446"/>
          </w:tcPr>
          <w:p>
            <w:pPr>
              <w:spacing w:after="0"/>
              <w:rPr>
                <w:sz w:val="15"/>
                <w:szCs w:val="15"/>
                <w:color w:val="auto"/>
              </w:rPr>
            </w:pPr>
          </w:p>
        </w:tc>
        <w:tc>
          <w:tcPr>
            <w:tcW w:w="1040" w:type="dxa"/>
            <w:vAlign w:val="bottom"/>
            <w:shd w:val="clear" w:color="auto" w:fill="001446"/>
          </w:tcPr>
          <w:p>
            <w:pPr>
              <w:spacing w:after="0"/>
              <w:rPr>
                <w:sz w:val="15"/>
                <w:szCs w:val="15"/>
                <w:color w:val="auto"/>
              </w:rPr>
            </w:pPr>
          </w:p>
        </w:tc>
        <w:tc>
          <w:tcPr>
            <w:tcW w:w="1120" w:type="dxa"/>
            <w:vAlign w:val="bottom"/>
            <w:shd w:val="clear" w:color="auto" w:fill="001446"/>
          </w:tcPr>
          <w:p>
            <w:pPr>
              <w:jc w:val="center"/>
              <w:spacing w:after="0"/>
              <w:rPr>
                <w:sz w:val="20"/>
                <w:szCs w:val="20"/>
                <w:color w:val="auto"/>
              </w:rPr>
            </w:pPr>
            <w:r>
              <w:rPr>
                <w:rFonts w:ascii="Arial" w:cs="Arial" w:eastAsia="Arial" w:hAnsi="Arial"/>
                <w:sz w:val="13"/>
                <w:szCs w:val="13"/>
                <w:color w:val="E8E8E8"/>
                <w:w w:val="99"/>
              </w:rPr>
              <w:t>Average</w:t>
            </w:r>
          </w:p>
        </w:tc>
      </w:tr>
      <w:tr>
        <w:trPr>
          <w:trHeight w:val="144"/>
        </w:trPr>
        <w:tc>
          <w:tcPr>
            <w:tcW w:w="7820" w:type="dxa"/>
            <w:vAlign w:val="bottom"/>
            <w:shd w:val="clear" w:color="auto" w:fill="001446"/>
          </w:tcPr>
          <w:p>
            <w:pPr>
              <w:spacing w:after="0"/>
              <w:rPr>
                <w:sz w:val="12"/>
                <w:szCs w:val="12"/>
                <w:color w:val="auto"/>
              </w:rPr>
            </w:pPr>
          </w:p>
        </w:tc>
        <w:tc>
          <w:tcPr>
            <w:tcW w:w="10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color w:val="E8E8E8"/>
              </w:rPr>
              <w:t>Compensation</w:t>
            </w:r>
          </w:p>
        </w:tc>
        <w:tc>
          <w:tcPr>
            <w:tcW w:w="112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color w:val="E8E8E8"/>
              </w:rPr>
              <w:t>Compensation</w:t>
            </w:r>
          </w:p>
        </w:tc>
      </w:tr>
      <w:tr>
        <w:trPr>
          <w:trHeight w:val="144"/>
        </w:trPr>
        <w:tc>
          <w:tcPr>
            <w:tcW w:w="7820" w:type="dxa"/>
            <w:vAlign w:val="bottom"/>
            <w:shd w:val="clear" w:color="auto" w:fill="001446"/>
          </w:tcPr>
          <w:p>
            <w:pPr>
              <w:ind w:left="100"/>
              <w:spacing w:after="0" w:line="144" w:lineRule="exact"/>
              <w:rPr>
                <w:sz w:val="20"/>
                <w:szCs w:val="20"/>
                <w:color w:val="auto"/>
              </w:rPr>
            </w:pPr>
            <w:r>
              <w:rPr>
                <w:rFonts w:ascii="Arial" w:cs="Arial" w:eastAsia="Arial" w:hAnsi="Arial"/>
                <w:sz w:val="13"/>
                <w:szCs w:val="13"/>
                <w:color w:val="E8E8E8"/>
              </w:rPr>
              <w:t>Compensation Actually Paid in 2025</w:t>
            </w:r>
          </w:p>
        </w:tc>
        <w:tc>
          <w:tcPr>
            <w:tcW w:w="10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color w:val="E8E8E8"/>
                <w:w w:val="98"/>
              </w:rPr>
              <w:t>Actually Paid to</w:t>
            </w:r>
          </w:p>
        </w:tc>
        <w:tc>
          <w:tcPr>
            <w:tcW w:w="112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color w:val="E8E8E8"/>
                <w:w w:val="99"/>
              </w:rPr>
              <w:t>Actually Paid to</w:t>
            </w:r>
          </w:p>
        </w:tc>
      </w:tr>
      <w:tr>
        <w:trPr>
          <w:trHeight w:val="144"/>
        </w:trPr>
        <w:tc>
          <w:tcPr>
            <w:tcW w:w="7820" w:type="dxa"/>
            <w:vAlign w:val="bottom"/>
            <w:shd w:val="clear" w:color="auto" w:fill="001446"/>
          </w:tcPr>
          <w:p>
            <w:pPr>
              <w:spacing w:after="0"/>
              <w:rPr>
                <w:sz w:val="12"/>
                <w:szCs w:val="12"/>
                <w:color w:val="auto"/>
              </w:rPr>
            </w:pPr>
          </w:p>
        </w:tc>
        <w:tc>
          <w:tcPr>
            <w:tcW w:w="104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color w:val="E8E8E8"/>
                <w:w w:val="95"/>
              </w:rPr>
              <w:t xml:space="preserve">Mr. Nir </w:t>
            </w:r>
            <w:r>
              <w:rPr>
                <w:rFonts w:ascii="Arial" w:cs="Arial" w:eastAsia="Arial" w:hAnsi="Arial"/>
                <w:sz w:val="13"/>
                <w:szCs w:val="13"/>
                <w:color w:val="FFFFFF"/>
                <w:w w:val="95"/>
              </w:rPr>
              <w:t>($)</w:t>
            </w:r>
          </w:p>
        </w:tc>
        <w:tc>
          <w:tcPr>
            <w:tcW w:w="1120" w:type="dxa"/>
            <w:vAlign w:val="bottom"/>
            <w:shd w:val="clear" w:color="auto" w:fill="001446"/>
          </w:tcPr>
          <w:p>
            <w:pPr>
              <w:jc w:val="center"/>
              <w:spacing w:after="0" w:line="144" w:lineRule="exact"/>
              <w:rPr>
                <w:sz w:val="20"/>
                <w:szCs w:val="20"/>
                <w:color w:val="auto"/>
              </w:rPr>
            </w:pPr>
            <w:r>
              <w:rPr>
                <w:rFonts w:ascii="Arial" w:cs="Arial" w:eastAsia="Arial" w:hAnsi="Arial"/>
                <w:sz w:val="13"/>
                <w:szCs w:val="13"/>
                <w:color w:val="E8E8E8"/>
                <w:w w:val="98"/>
              </w:rPr>
              <w:t>Non-PEO NEOs</w:t>
            </w:r>
          </w:p>
        </w:tc>
      </w:tr>
      <w:tr>
        <w:trPr>
          <w:trHeight w:val="188"/>
        </w:trPr>
        <w:tc>
          <w:tcPr>
            <w:tcW w:w="7820" w:type="dxa"/>
            <w:vAlign w:val="bottom"/>
            <w:tcBorders>
              <w:bottom w:val="single" w:sz="8" w:color="001446"/>
            </w:tcBorders>
            <w:shd w:val="clear" w:color="auto" w:fill="001446"/>
          </w:tcPr>
          <w:p>
            <w:pPr>
              <w:spacing w:after="0"/>
              <w:rPr>
                <w:sz w:val="16"/>
                <w:szCs w:val="16"/>
                <w:color w:val="auto"/>
              </w:rPr>
            </w:pPr>
          </w:p>
        </w:tc>
        <w:tc>
          <w:tcPr>
            <w:tcW w:w="1040" w:type="dxa"/>
            <w:vAlign w:val="bottom"/>
            <w:tcBorders>
              <w:bottom w:val="single" w:sz="8" w:color="001446"/>
            </w:tcBorders>
            <w:shd w:val="clear" w:color="auto" w:fill="001446"/>
          </w:tcPr>
          <w:p>
            <w:pPr>
              <w:spacing w:after="0"/>
              <w:rPr>
                <w:sz w:val="16"/>
                <w:szCs w:val="16"/>
                <w:color w:val="auto"/>
              </w:rPr>
            </w:pPr>
          </w:p>
        </w:tc>
        <w:tc>
          <w:tcPr>
            <w:tcW w:w="1120" w:type="dxa"/>
            <w:vAlign w:val="bottom"/>
            <w:tcBorders>
              <w:bottom w:val="single" w:sz="8" w:color="001446"/>
            </w:tcBorders>
            <w:shd w:val="clear" w:color="auto" w:fill="001446"/>
          </w:tcPr>
          <w:p>
            <w:pPr>
              <w:jc w:val="center"/>
              <w:spacing w:after="0"/>
              <w:rPr>
                <w:sz w:val="20"/>
                <w:szCs w:val="20"/>
                <w:color w:val="auto"/>
              </w:rPr>
            </w:pPr>
            <w:r>
              <w:rPr>
                <w:rFonts w:ascii="Arial" w:cs="Arial" w:eastAsia="Arial" w:hAnsi="Arial"/>
                <w:sz w:val="13"/>
                <w:szCs w:val="13"/>
                <w:color w:val="FFFFFF"/>
              </w:rPr>
              <w:t>($)</w:t>
            </w:r>
          </w:p>
        </w:tc>
      </w:tr>
      <w:tr>
        <w:trPr>
          <w:trHeight w:val="220"/>
        </w:trPr>
        <w:tc>
          <w:tcPr>
            <w:tcW w:w="7820" w:type="dxa"/>
            <w:vAlign w:val="bottom"/>
            <w:tcBorders>
              <w:bottom w:val="single" w:sz="8" w:color="EDEDEE"/>
            </w:tcBorders>
            <w:shd w:val="clear" w:color="auto" w:fill="EDEDEE"/>
          </w:tcPr>
          <w:p>
            <w:pPr>
              <w:ind w:left="100"/>
              <w:spacing w:after="0"/>
              <w:rPr>
                <w:sz w:val="20"/>
                <w:szCs w:val="20"/>
                <w:color w:val="auto"/>
              </w:rPr>
            </w:pPr>
            <w:r>
              <w:rPr>
                <w:rFonts w:ascii="Arial" w:cs="Arial" w:eastAsia="Arial" w:hAnsi="Arial"/>
                <w:sz w:val="13"/>
                <w:szCs w:val="13"/>
                <w:color w:val="0E2841"/>
              </w:rPr>
              <w:t>Summary Compensation Table Total</w:t>
            </w:r>
          </w:p>
        </w:tc>
        <w:tc>
          <w:tcPr>
            <w:tcW w:w="1040" w:type="dxa"/>
            <w:vAlign w:val="bottom"/>
            <w:tcBorders>
              <w:bottom w:val="single" w:sz="8" w:color="EDEDEE"/>
            </w:tcBorders>
            <w:shd w:val="clear" w:color="auto" w:fill="EDEDEE"/>
          </w:tcPr>
          <w:p>
            <w:pPr>
              <w:jc w:val="right"/>
              <w:ind w:right="36"/>
              <w:spacing w:after="0"/>
              <w:rPr>
                <w:sz w:val="20"/>
                <w:szCs w:val="20"/>
                <w:color w:val="auto"/>
              </w:rPr>
            </w:pPr>
            <w:r>
              <w:rPr>
                <w:rFonts w:ascii="Arial" w:cs="Arial" w:eastAsia="Arial" w:hAnsi="Arial"/>
                <w:sz w:val="13"/>
                <w:szCs w:val="13"/>
                <w:color w:val="0E2841"/>
              </w:rPr>
              <w:t>5,061,438</w:t>
            </w:r>
          </w:p>
        </w:tc>
        <w:tc>
          <w:tcPr>
            <w:tcW w:w="1120" w:type="dxa"/>
            <w:vAlign w:val="bottom"/>
            <w:tcBorders>
              <w:bottom w:val="single" w:sz="8" w:color="EDEDEE"/>
            </w:tcBorders>
            <w:shd w:val="clear" w:color="auto" w:fill="EDEDEE"/>
          </w:tcPr>
          <w:p>
            <w:pPr>
              <w:jc w:val="right"/>
              <w:ind w:right="16"/>
              <w:spacing w:after="0"/>
              <w:rPr>
                <w:sz w:val="20"/>
                <w:szCs w:val="20"/>
                <w:color w:val="auto"/>
              </w:rPr>
            </w:pPr>
            <w:r>
              <w:rPr>
                <w:rFonts w:ascii="Arial" w:cs="Arial" w:eastAsia="Arial" w:hAnsi="Arial"/>
                <w:sz w:val="13"/>
                <w:szCs w:val="13"/>
                <w:color w:val="0E2841"/>
              </w:rPr>
              <w:t>1,844,688</w:t>
            </w:r>
          </w:p>
        </w:tc>
      </w:tr>
      <w:tr>
        <w:trPr>
          <w:trHeight w:val="204"/>
        </w:trPr>
        <w:tc>
          <w:tcPr>
            <w:tcW w:w="7820" w:type="dxa"/>
            <w:vAlign w:val="bottom"/>
          </w:tcPr>
          <w:p>
            <w:pPr>
              <w:ind w:left="100"/>
              <w:spacing w:after="0"/>
              <w:rPr>
                <w:sz w:val="20"/>
                <w:szCs w:val="20"/>
                <w:color w:val="auto"/>
              </w:rPr>
            </w:pPr>
            <w:r>
              <w:rPr>
                <w:rFonts w:ascii="Arial" w:cs="Arial" w:eastAsia="Arial" w:hAnsi="Arial"/>
                <w:sz w:val="13"/>
                <w:szCs w:val="13"/>
                <w:color w:val="0E2841"/>
              </w:rPr>
              <w:t>Less, value of Stock Awards reported in Summary Compensation Table</w:t>
            </w:r>
          </w:p>
        </w:tc>
        <w:tc>
          <w:tcPr>
            <w:tcW w:w="1040" w:type="dxa"/>
            <w:vAlign w:val="bottom"/>
          </w:tcPr>
          <w:p>
            <w:pPr>
              <w:jc w:val="right"/>
              <w:ind w:right="36"/>
              <w:spacing w:after="0"/>
              <w:rPr>
                <w:sz w:val="20"/>
                <w:szCs w:val="20"/>
                <w:color w:val="auto"/>
              </w:rPr>
            </w:pPr>
            <w:r>
              <w:rPr>
                <w:rFonts w:ascii="Arial" w:cs="Arial" w:eastAsia="Arial" w:hAnsi="Arial"/>
                <w:sz w:val="13"/>
                <w:szCs w:val="13"/>
                <w:color w:val="0E2841"/>
              </w:rPr>
              <w:t>(3,460,835)</w:t>
            </w:r>
          </w:p>
        </w:tc>
        <w:tc>
          <w:tcPr>
            <w:tcW w:w="1120" w:type="dxa"/>
            <w:vAlign w:val="bottom"/>
          </w:tcPr>
          <w:p>
            <w:pPr>
              <w:jc w:val="right"/>
              <w:ind w:right="16"/>
              <w:spacing w:after="0"/>
              <w:rPr>
                <w:sz w:val="20"/>
                <w:szCs w:val="20"/>
                <w:color w:val="auto"/>
              </w:rPr>
            </w:pPr>
            <w:r>
              <w:rPr>
                <w:rFonts w:ascii="Arial" w:cs="Arial" w:eastAsia="Arial" w:hAnsi="Arial"/>
                <w:sz w:val="13"/>
                <w:szCs w:val="13"/>
                <w:color w:val="0E2841"/>
              </w:rPr>
              <w:t>(1,103,577)</w:t>
            </w:r>
          </w:p>
        </w:tc>
      </w:tr>
      <w:tr>
        <w:trPr>
          <w:trHeight w:val="36"/>
        </w:trPr>
        <w:tc>
          <w:tcPr>
            <w:tcW w:w="7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0"/>
        </w:trPr>
        <w:tc>
          <w:tcPr>
            <w:tcW w:w="7820" w:type="dxa"/>
            <w:vAlign w:val="bottom"/>
            <w:tcBorders>
              <w:bottom w:val="single" w:sz="8" w:color="EDEDEE"/>
            </w:tcBorders>
            <w:shd w:val="clear" w:color="auto" w:fill="EDEDEE"/>
          </w:tcPr>
          <w:p>
            <w:pPr>
              <w:ind w:left="100"/>
              <w:spacing w:after="0"/>
              <w:rPr>
                <w:sz w:val="20"/>
                <w:szCs w:val="20"/>
                <w:color w:val="auto"/>
              </w:rPr>
            </w:pPr>
            <w:r>
              <w:rPr>
                <w:rFonts w:ascii="Arial" w:cs="Arial" w:eastAsia="Arial" w:hAnsi="Arial"/>
                <w:sz w:val="13"/>
                <w:szCs w:val="13"/>
                <w:color w:val="0E2841"/>
              </w:rPr>
              <w:t>Plus, year-end fair value of outstanding and unvested equity awards granted in the year</w:t>
            </w:r>
          </w:p>
        </w:tc>
        <w:tc>
          <w:tcPr>
            <w:tcW w:w="1040" w:type="dxa"/>
            <w:vAlign w:val="bottom"/>
            <w:tcBorders>
              <w:bottom w:val="single" w:sz="8" w:color="EDEDEE"/>
            </w:tcBorders>
            <w:shd w:val="clear" w:color="auto" w:fill="EDEDEE"/>
          </w:tcPr>
          <w:p>
            <w:pPr>
              <w:jc w:val="right"/>
              <w:ind w:right="36"/>
              <w:spacing w:after="0"/>
              <w:rPr>
                <w:sz w:val="20"/>
                <w:szCs w:val="20"/>
                <w:color w:val="auto"/>
              </w:rPr>
            </w:pPr>
            <w:r>
              <w:rPr>
                <w:rFonts w:ascii="Arial" w:cs="Arial" w:eastAsia="Arial" w:hAnsi="Arial"/>
                <w:sz w:val="13"/>
                <w:szCs w:val="13"/>
                <w:color w:val="0E2841"/>
              </w:rPr>
              <w:t>7,419,556</w:t>
            </w:r>
          </w:p>
        </w:tc>
        <w:tc>
          <w:tcPr>
            <w:tcW w:w="1120" w:type="dxa"/>
            <w:vAlign w:val="bottom"/>
            <w:tcBorders>
              <w:bottom w:val="single" w:sz="8" w:color="EDEDEE"/>
            </w:tcBorders>
            <w:shd w:val="clear" w:color="auto" w:fill="EDEDEE"/>
          </w:tcPr>
          <w:p>
            <w:pPr>
              <w:jc w:val="right"/>
              <w:ind w:right="16"/>
              <w:spacing w:after="0"/>
              <w:rPr>
                <w:sz w:val="20"/>
                <w:szCs w:val="20"/>
                <w:color w:val="auto"/>
              </w:rPr>
            </w:pPr>
            <w:r>
              <w:rPr>
                <w:rFonts w:ascii="Arial" w:cs="Arial" w:eastAsia="Arial" w:hAnsi="Arial"/>
                <w:sz w:val="13"/>
                <w:szCs w:val="13"/>
                <w:color w:val="0E2841"/>
              </w:rPr>
              <w:t>1,645,748</w:t>
            </w:r>
          </w:p>
        </w:tc>
      </w:tr>
      <w:tr>
        <w:trPr>
          <w:trHeight w:val="204"/>
        </w:trPr>
        <w:tc>
          <w:tcPr>
            <w:tcW w:w="7820" w:type="dxa"/>
            <w:vAlign w:val="bottom"/>
          </w:tcPr>
          <w:p>
            <w:pPr>
              <w:ind w:left="100"/>
              <w:spacing w:after="0"/>
              <w:rPr>
                <w:sz w:val="20"/>
                <w:szCs w:val="20"/>
                <w:color w:val="auto"/>
              </w:rPr>
            </w:pPr>
            <w:r>
              <w:rPr>
                <w:rFonts w:ascii="Arial" w:cs="Arial" w:eastAsia="Arial" w:hAnsi="Arial"/>
                <w:sz w:val="13"/>
                <w:szCs w:val="13"/>
                <w:color w:val="0E2841"/>
              </w:rPr>
              <w:t>Plus (less), year over year change in fair value of outstanding and unvested equity awards granted in prior years</w:t>
            </w:r>
          </w:p>
        </w:tc>
        <w:tc>
          <w:tcPr>
            <w:tcW w:w="1040" w:type="dxa"/>
            <w:vAlign w:val="bottom"/>
          </w:tcPr>
          <w:p>
            <w:pPr>
              <w:jc w:val="right"/>
              <w:ind w:right="36"/>
              <w:spacing w:after="0"/>
              <w:rPr>
                <w:sz w:val="20"/>
                <w:szCs w:val="20"/>
                <w:color w:val="auto"/>
              </w:rPr>
            </w:pPr>
            <w:r>
              <w:rPr>
                <w:rFonts w:ascii="Arial" w:cs="Arial" w:eastAsia="Arial" w:hAnsi="Arial"/>
                <w:sz w:val="13"/>
                <w:szCs w:val="13"/>
                <w:color w:val="0E2841"/>
              </w:rPr>
              <w:t>2,364,040</w:t>
            </w:r>
          </w:p>
        </w:tc>
        <w:tc>
          <w:tcPr>
            <w:tcW w:w="1120" w:type="dxa"/>
            <w:vAlign w:val="bottom"/>
          </w:tcPr>
          <w:p>
            <w:pPr>
              <w:jc w:val="right"/>
              <w:ind w:right="16"/>
              <w:spacing w:after="0"/>
              <w:rPr>
                <w:sz w:val="20"/>
                <w:szCs w:val="20"/>
                <w:color w:val="auto"/>
              </w:rPr>
            </w:pPr>
            <w:r>
              <w:rPr>
                <w:rFonts w:ascii="Arial" w:cs="Arial" w:eastAsia="Arial" w:hAnsi="Arial"/>
                <w:sz w:val="13"/>
                <w:szCs w:val="13"/>
                <w:color w:val="0E2841"/>
              </w:rPr>
              <w:t>709,219</w:t>
            </w:r>
          </w:p>
        </w:tc>
      </w:tr>
      <w:tr>
        <w:trPr>
          <w:trHeight w:val="36"/>
        </w:trPr>
        <w:tc>
          <w:tcPr>
            <w:tcW w:w="7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0"/>
        </w:trPr>
        <w:tc>
          <w:tcPr>
            <w:tcW w:w="7820" w:type="dxa"/>
            <w:vAlign w:val="bottom"/>
            <w:tcBorders>
              <w:bottom w:val="single" w:sz="8" w:color="EDEDEE"/>
            </w:tcBorders>
            <w:shd w:val="clear" w:color="auto" w:fill="EDEDEE"/>
          </w:tcPr>
          <w:p>
            <w:pPr>
              <w:ind w:left="100"/>
              <w:spacing w:after="0"/>
              <w:rPr>
                <w:sz w:val="20"/>
                <w:szCs w:val="20"/>
                <w:color w:val="auto"/>
              </w:rPr>
            </w:pPr>
            <w:r>
              <w:rPr>
                <w:rFonts w:ascii="Arial" w:cs="Arial" w:eastAsia="Arial" w:hAnsi="Arial"/>
                <w:sz w:val="13"/>
                <w:szCs w:val="13"/>
                <w:color w:val="0E2841"/>
              </w:rPr>
              <w:t>Plus, fair value as of vesting date of equity awards granted and vested in the year</w:t>
            </w:r>
          </w:p>
        </w:tc>
        <w:tc>
          <w:tcPr>
            <w:tcW w:w="1040" w:type="dxa"/>
            <w:vAlign w:val="bottom"/>
            <w:tcBorders>
              <w:bottom w:val="single" w:sz="8" w:color="EDEDEE"/>
            </w:tcBorders>
            <w:shd w:val="clear" w:color="auto" w:fill="EDEDEE"/>
          </w:tcPr>
          <w:p>
            <w:pPr>
              <w:jc w:val="right"/>
              <w:ind w:right="36"/>
              <w:spacing w:after="0"/>
              <w:rPr>
                <w:sz w:val="20"/>
                <w:szCs w:val="20"/>
                <w:color w:val="auto"/>
              </w:rPr>
            </w:pPr>
            <w:r>
              <w:rPr>
                <w:rFonts w:ascii="Arial" w:cs="Arial" w:eastAsia="Arial" w:hAnsi="Arial"/>
                <w:sz w:val="13"/>
                <w:szCs w:val="13"/>
                <w:color w:val="0E2841"/>
              </w:rPr>
              <w:t>782,246</w:t>
            </w:r>
          </w:p>
        </w:tc>
        <w:tc>
          <w:tcPr>
            <w:tcW w:w="1120" w:type="dxa"/>
            <w:vAlign w:val="bottom"/>
            <w:tcBorders>
              <w:bottom w:val="single" w:sz="8" w:color="EDEDEE"/>
            </w:tcBorders>
            <w:shd w:val="clear" w:color="auto" w:fill="EDEDEE"/>
          </w:tcPr>
          <w:p>
            <w:pPr>
              <w:jc w:val="right"/>
              <w:ind w:right="16"/>
              <w:spacing w:after="0"/>
              <w:rPr>
                <w:sz w:val="20"/>
                <w:szCs w:val="20"/>
                <w:color w:val="auto"/>
              </w:rPr>
            </w:pPr>
            <w:r>
              <w:rPr>
                <w:rFonts w:ascii="Arial" w:cs="Arial" w:eastAsia="Arial" w:hAnsi="Arial"/>
                <w:sz w:val="13"/>
                <w:szCs w:val="13"/>
                <w:color w:val="0E2841"/>
              </w:rPr>
              <w:t>146,589</w:t>
            </w:r>
          </w:p>
        </w:tc>
      </w:tr>
      <w:tr>
        <w:trPr>
          <w:trHeight w:val="204"/>
        </w:trPr>
        <w:tc>
          <w:tcPr>
            <w:tcW w:w="7820" w:type="dxa"/>
            <w:vAlign w:val="bottom"/>
          </w:tcPr>
          <w:p>
            <w:pPr>
              <w:ind w:left="100"/>
              <w:spacing w:after="0"/>
              <w:rPr>
                <w:sz w:val="20"/>
                <w:szCs w:val="20"/>
                <w:color w:val="auto"/>
              </w:rPr>
            </w:pPr>
            <w:r>
              <w:rPr>
                <w:rFonts w:ascii="Arial" w:cs="Arial" w:eastAsia="Arial" w:hAnsi="Arial"/>
                <w:sz w:val="13"/>
                <w:szCs w:val="13"/>
                <w:color w:val="0E2841"/>
                <w:w w:val="99"/>
              </w:rPr>
              <w:t>Plus (less), change in fair value from last day of prior year to vesting date of equity awards granted in prior years that vested in the year</w:t>
            </w:r>
          </w:p>
        </w:tc>
        <w:tc>
          <w:tcPr>
            <w:tcW w:w="1040" w:type="dxa"/>
            <w:vAlign w:val="bottom"/>
          </w:tcPr>
          <w:p>
            <w:pPr>
              <w:jc w:val="right"/>
              <w:ind w:right="36"/>
              <w:spacing w:after="0"/>
              <w:rPr>
                <w:sz w:val="20"/>
                <w:szCs w:val="20"/>
                <w:color w:val="auto"/>
              </w:rPr>
            </w:pPr>
            <w:r>
              <w:rPr>
                <w:rFonts w:ascii="Arial" w:cs="Arial" w:eastAsia="Arial" w:hAnsi="Arial"/>
                <w:sz w:val="13"/>
                <w:szCs w:val="13"/>
                <w:color w:val="0E2841"/>
              </w:rPr>
              <w:t>333,745</w:t>
            </w:r>
          </w:p>
        </w:tc>
        <w:tc>
          <w:tcPr>
            <w:tcW w:w="1120" w:type="dxa"/>
            <w:vAlign w:val="bottom"/>
          </w:tcPr>
          <w:p>
            <w:pPr>
              <w:jc w:val="right"/>
              <w:ind w:right="16"/>
              <w:spacing w:after="0"/>
              <w:rPr>
                <w:sz w:val="20"/>
                <w:szCs w:val="20"/>
                <w:color w:val="auto"/>
              </w:rPr>
            </w:pPr>
            <w:r>
              <w:rPr>
                <w:rFonts w:ascii="Arial" w:cs="Arial" w:eastAsia="Arial" w:hAnsi="Arial"/>
                <w:sz w:val="13"/>
                <w:szCs w:val="13"/>
                <w:color w:val="0E2841"/>
              </w:rPr>
              <w:t>413,005</w:t>
            </w:r>
          </w:p>
        </w:tc>
      </w:tr>
      <w:tr>
        <w:trPr>
          <w:trHeight w:val="36"/>
        </w:trPr>
        <w:tc>
          <w:tcPr>
            <w:tcW w:w="7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0"/>
        </w:trPr>
        <w:tc>
          <w:tcPr>
            <w:tcW w:w="78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color w:val="0E2841"/>
              </w:rPr>
              <w:t>Less, fair value from the last day of prior year of equity awards granted in prior years that were forfeited in the year</w:t>
            </w:r>
          </w:p>
        </w:tc>
        <w:tc>
          <w:tcPr>
            <w:tcW w:w="1040" w:type="dxa"/>
            <w:vAlign w:val="bottom"/>
            <w:tcBorders>
              <w:bottom w:val="single" w:sz="8" w:color="F2F2F2"/>
            </w:tcBorders>
            <w:shd w:val="clear" w:color="auto" w:fill="F2F2F2"/>
          </w:tcPr>
          <w:p>
            <w:pPr>
              <w:jc w:val="right"/>
              <w:ind w:right="136"/>
              <w:spacing w:after="0"/>
              <w:rPr>
                <w:sz w:val="20"/>
                <w:szCs w:val="20"/>
                <w:color w:val="auto"/>
              </w:rPr>
            </w:pPr>
            <w:r>
              <w:rPr>
                <w:rFonts w:ascii="Arial" w:cs="Arial" w:eastAsia="Arial" w:hAnsi="Arial"/>
                <w:sz w:val="13"/>
                <w:szCs w:val="13"/>
                <w:color w:val="0E2841"/>
              </w:rPr>
              <w:t>-</w:t>
            </w:r>
          </w:p>
        </w:tc>
        <w:tc>
          <w:tcPr>
            <w:tcW w:w="1120" w:type="dxa"/>
            <w:vAlign w:val="bottom"/>
            <w:tcBorders>
              <w:bottom w:val="single" w:sz="8" w:color="F2F2F2"/>
            </w:tcBorders>
            <w:shd w:val="clear" w:color="auto" w:fill="F2F2F2"/>
          </w:tcPr>
          <w:p>
            <w:pPr>
              <w:jc w:val="right"/>
              <w:ind w:right="16"/>
              <w:spacing w:after="0"/>
              <w:rPr>
                <w:sz w:val="20"/>
                <w:szCs w:val="20"/>
                <w:color w:val="auto"/>
              </w:rPr>
            </w:pPr>
            <w:r>
              <w:rPr>
                <w:rFonts w:ascii="Arial" w:cs="Arial" w:eastAsia="Arial" w:hAnsi="Arial"/>
                <w:sz w:val="13"/>
                <w:szCs w:val="13"/>
                <w:color w:val="0E2841"/>
              </w:rPr>
              <w:t>(214,024)</w:t>
            </w:r>
          </w:p>
        </w:tc>
      </w:tr>
      <w:tr>
        <w:trPr>
          <w:trHeight w:val="212"/>
        </w:trPr>
        <w:tc>
          <w:tcPr>
            <w:tcW w:w="7820" w:type="dxa"/>
            <w:vAlign w:val="bottom"/>
          </w:tcPr>
          <w:p>
            <w:pPr>
              <w:ind w:left="100"/>
              <w:spacing w:after="0"/>
              <w:rPr>
                <w:sz w:val="20"/>
                <w:szCs w:val="20"/>
                <w:color w:val="auto"/>
              </w:rPr>
            </w:pPr>
            <w:r>
              <w:rPr>
                <w:rFonts w:ascii="Arial" w:cs="Arial" w:eastAsia="Arial" w:hAnsi="Arial"/>
                <w:sz w:val="13"/>
                <w:szCs w:val="13"/>
                <w:b w:val="1"/>
                <w:bCs w:val="1"/>
                <w:color w:val="0E2841"/>
              </w:rPr>
              <w:t>Compensation Actually Paid</w:t>
            </w:r>
          </w:p>
        </w:tc>
        <w:tc>
          <w:tcPr>
            <w:tcW w:w="1040" w:type="dxa"/>
            <w:vAlign w:val="bottom"/>
          </w:tcPr>
          <w:p>
            <w:pPr>
              <w:jc w:val="right"/>
              <w:ind w:right="36"/>
              <w:spacing w:after="0"/>
              <w:rPr>
                <w:sz w:val="20"/>
                <w:szCs w:val="20"/>
                <w:color w:val="auto"/>
              </w:rPr>
            </w:pPr>
            <w:r>
              <w:rPr>
                <w:rFonts w:ascii="Arial" w:cs="Arial" w:eastAsia="Arial" w:hAnsi="Arial"/>
                <w:sz w:val="13"/>
                <w:szCs w:val="13"/>
                <w:color w:val="0E2841"/>
              </w:rPr>
              <w:t>12,500,191</w:t>
            </w:r>
          </w:p>
        </w:tc>
        <w:tc>
          <w:tcPr>
            <w:tcW w:w="1120" w:type="dxa"/>
            <w:vAlign w:val="bottom"/>
          </w:tcPr>
          <w:p>
            <w:pPr>
              <w:jc w:val="right"/>
              <w:ind w:right="16"/>
              <w:spacing w:after="0"/>
              <w:rPr>
                <w:sz w:val="20"/>
                <w:szCs w:val="20"/>
                <w:color w:val="auto"/>
              </w:rPr>
            </w:pPr>
            <w:r>
              <w:rPr>
                <w:rFonts w:ascii="Arial" w:cs="Arial" w:eastAsia="Arial" w:hAnsi="Arial"/>
                <w:sz w:val="13"/>
                <w:szCs w:val="13"/>
                <w:color w:val="0E2841"/>
              </w:rPr>
              <w:t>3,441,649</w:t>
            </w:r>
          </w:p>
        </w:tc>
      </w:tr>
      <w:tr>
        <w:trPr>
          <w:trHeight w:val="28"/>
        </w:trPr>
        <w:tc>
          <w:tcPr>
            <w:tcW w:w="7820" w:type="dxa"/>
            <w:vAlign w:val="bottom"/>
            <w:tcBorders>
              <w:bottom w:val="single" w:sz="8" w:color="A5A5A5"/>
            </w:tcBorders>
          </w:tcPr>
          <w:p>
            <w:pPr>
              <w:spacing w:after="0"/>
              <w:rPr>
                <w:sz w:val="2"/>
                <w:szCs w:val="2"/>
                <w:color w:val="auto"/>
              </w:rPr>
            </w:pPr>
          </w:p>
        </w:tc>
        <w:tc>
          <w:tcPr>
            <w:tcW w:w="1040" w:type="dxa"/>
            <w:vAlign w:val="bottom"/>
            <w:tcBorders>
              <w:bottom w:val="single" w:sz="8" w:color="A5A5A5"/>
            </w:tcBorders>
          </w:tcPr>
          <w:p>
            <w:pPr>
              <w:spacing w:after="0"/>
              <w:rPr>
                <w:sz w:val="2"/>
                <w:szCs w:val="2"/>
                <w:color w:val="auto"/>
              </w:rPr>
            </w:pPr>
          </w:p>
        </w:tc>
        <w:tc>
          <w:tcPr>
            <w:tcW w:w="1120" w:type="dxa"/>
            <w:vAlign w:val="bottom"/>
            <w:tcBorders>
              <w:bottom w:val="single" w:sz="8" w:color="A5A5A5"/>
            </w:tcBorders>
          </w:tcPr>
          <w:p>
            <w:pPr>
              <w:spacing w:after="0"/>
              <w:rPr>
                <w:sz w:val="2"/>
                <w:szCs w:val="2"/>
                <w:color w:val="auto"/>
              </w:rPr>
            </w:pPr>
          </w:p>
        </w:tc>
      </w:tr>
    </w:tbl>
    <w:p>
      <w:pPr>
        <w:spacing w:after="0" w:line="168" w:lineRule="exact"/>
        <w:rPr>
          <w:sz w:val="20"/>
          <w:szCs w:val="20"/>
          <w:color w:val="auto"/>
        </w:rPr>
      </w:pPr>
    </w:p>
    <w:p>
      <w:pPr>
        <w:ind w:left="284" w:right="160" w:hanging="284"/>
        <w:spacing w:after="0" w:line="232" w:lineRule="auto"/>
        <w:tabs>
          <w:tab w:leader="none" w:pos="284" w:val="left"/>
        </w:tabs>
        <w:numPr>
          <w:ilvl w:val="0"/>
          <w:numId w:val="124"/>
        </w:numPr>
        <w:rPr>
          <w:rFonts w:ascii="Arial" w:cs="Arial" w:eastAsia="Arial" w:hAnsi="Arial"/>
          <w:sz w:val="13"/>
          <w:szCs w:val="13"/>
          <w:color w:val="001446"/>
        </w:rPr>
      </w:pPr>
      <w:r>
        <w:rPr>
          <w:rFonts w:ascii="Arial" w:cs="Arial" w:eastAsia="Arial" w:hAnsi="Arial"/>
          <w:sz w:val="13"/>
          <w:szCs w:val="13"/>
          <w:color w:val="001446"/>
        </w:rPr>
        <w:t>The dollar amounts represent the average of the amounts reported for the Company’s NEOs as a group (excluding Mr. Nir) in the “Total” column of the Summary Compensation Table in each applicable year. The names of each of the NEOs included for these purposes (the “Non-PEO NEOs”) are as follows: in 2025, Uri Bechor, Ariel Porat, Asaf Alperovitz and Daniel Huber; in 2024, Uri Bechor, Rachel Prishkolnik and Ariel Porat; in 2023, Ronen Faier, Uri Bechor, Rachel Prishkolnik, Yoav Galin and Meir Adest and in 2022 and 2021, Ronen Faier, Uri Bechor, Rachel Prishkolnik and Yoav Galin.</w:t>
      </w:r>
    </w:p>
    <w:p>
      <w:pPr>
        <w:spacing w:after="0" w:line="1" w:lineRule="exact"/>
        <w:rPr>
          <w:rFonts w:ascii="Arial" w:cs="Arial" w:eastAsia="Arial" w:hAnsi="Arial"/>
          <w:sz w:val="13"/>
          <w:szCs w:val="13"/>
          <w:color w:val="001446"/>
        </w:rPr>
      </w:pPr>
    </w:p>
    <w:p>
      <w:pPr>
        <w:ind w:left="284" w:hanging="284"/>
        <w:spacing w:after="0" w:line="231" w:lineRule="auto"/>
        <w:tabs>
          <w:tab w:leader="none" w:pos="284" w:val="left"/>
        </w:tabs>
        <w:numPr>
          <w:ilvl w:val="0"/>
          <w:numId w:val="124"/>
        </w:numPr>
        <w:rPr>
          <w:rFonts w:ascii="Arial" w:cs="Arial" w:eastAsia="Arial" w:hAnsi="Arial"/>
          <w:sz w:val="13"/>
          <w:szCs w:val="13"/>
          <w:color w:val="001446"/>
        </w:rPr>
      </w:pPr>
      <w:r>
        <w:rPr>
          <w:rFonts w:ascii="Arial" w:cs="Arial" w:eastAsia="Arial" w:hAnsi="Arial"/>
          <w:sz w:val="13"/>
          <w:szCs w:val="13"/>
          <w:color w:val="001446"/>
        </w:rPr>
        <w:t>TSR is determined based on the value of an initial fixed investment of $100 on December 31, 2020. The peer group TSR represents TSR of the Invesco Solar ETF index.</w:t>
      </w:r>
    </w:p>
    <w:p>
      <w:pPr>
        <w:ind w:left="284" w:hanging="284"/>
        <w:spacing w:after="0"/>
        <w:tabs>
          <w:tab w:leader="none" w:pos="284" w:val="left"/>
        </w:tabs>
        <w:numPr>
          <w:ilvl w:val="0"/>
          <w:numId w:val="124"/>
        </w:numPr>
        <w:rPr>
          <w:rFonts w:ascii="Arial" w:cs="Arial" w:eastAsia="Arial" w:hAnsi="Arial"/>
          <w:sz w:val="13"/>
          <w:szCs w:val="13"/>
          <w:color w:val="001446"/>
        </w:rPr>
      </w:pPr>
      <w:r>
        <w:rPr>
          <w:rFonts w:ascii="Arial" w:cs="Arial" w:eastAsia="Arial" w:hAnsi="Arial"/>
          <w:sz w:val="13"/>
          <w:szCs w:val="13"/>
          <w:color w:val="001446"/>
        </w:rPr>
        <w:t>Represents total revenues as reported in our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110490</wp:posOffset>
                </wp:positionV>
                <wp:extent cx="6532880" cy="584835"/>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835"/>
                        </a:xfrm>
                        <a:prstGeom prst="rect">
                          <a:avLst/>
                        </a:prstGeom>
                        <a:solidFill>
                          <a:srgbClr val="00082E"/>
                        </a:solidFill>
                      </wps:spPr>
                      <wps:bodyPr/>
                    </wps:wsp>
                  </a:graphicData>
                </a:graphic>
              </wp:anchor>
            </w:drawing>
          </mc:Choice>
          <mc:Fallback>
            <w:pict>
              <v:rect id="Shape 403" o:spid="_x0000_s1428" style="position:absolute;margin-left:0pt;margin-top:8.7pt;width:514.4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05"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539115</wp:posOffset>
                </wp:positionV>
                <wp:extent cx="653224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45pt" to="514.35pt,42.45pt" o:allowincell="f" strokecolor="#000000" strokeweight="1.62pt"/>
            </w:pict>
          </mc:Fallback>
        </mc:AlternateContent>
      </w:r>
    </w:p>
    <w:p>
      <w:pPr>
        <w:sectPr>
          <w:pgSz w:w="11900" w:h="16840" w:orient="portrait"/>
          <w:cols w:equalWidth="0" w:num="1">
            <w:col w:w="10384"/>
          </w:cols>
          <w:pgMar w:left="816" w:top="1139" w:right="704" w:bottom="1440" w:gutter="0" w:footer="0" w:header="0"/>
        </w:sectPr>
      </w:pPr>
    </w:p>
    <w:bookmarkStart w:id="210" w:name="page211"/>
    <w:bookmarkEnd w:id="210"/>
    <w:p>
      <w:pPr>
        <w:ind w:left="4"/>
        <w:spacing w:after="0"/>
        <w:rPr>
          <w:sz w:val="20"/>
          <w:szCs w:val="20"/>
          <w:color w:val="auto"/>
        </w:rPr>
      </w:pPr>
      <w:r>
        <w:rPr>
          <w:rFonts w:ascii="Arial" w:cs="Arial" w:eastAsia="Arial" w:hAnsi="Arial"/>
          <w:sz w:val="22"/>
          <w:szCs w:val="22"/>
          <w:color w:val="001446"/>
        </w:rPr>
        <w:t>Description of Certain Relationships of Information Presented in the Pay Versus Performance Table</w:t>
      </w:r>
    </w:p>
    <w:p>
      <w:pPr>
        <w:spacing w:after="0" w:line="184" w:lineRule="exact"/>
        <w:rPr>
          <w:sz w:val="20"/>
          <w:szCs w:val="20"/>
          <w:color w:val="auto"/>
        </w:rPr>
      </w:pPr>
    </w:p>
    <w:p>
      <w:pPr>
        <w:ind w:left="4"/>
        <w:spacing w:after="0" w:line="260" w:lineRule="auto"/>
        <w:rPr>
          <w:sz w:val="20"/>
          <w:szCs w:val="20"/>
          <w:color w:val="auto"/>
        </w:rPr>
      </w:pPr>
      <w:r>
        <w:rPr>
          <w:rFonts w:ascii="Arial" w:cs="Arial" w:eastAsia="Arial" w:hAnsi="Arial"/>
          <w:sz w:val="14"/>
          <w:szCs w:val="14"/>
          <w:color w:val="001446"/>
        </w:rPr>
        <w:t>As described in more detail in the Compensation Discussion &amp; Analysis, the Company’s executive compensation program promotes stockholder interests by aligning compensation with our business objectives, including by introducing long term incentives with long term performance goals.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actually paid.” In accordance with SEC rules, the Company is providing the following descriptions of the relationships between information presented in the Pay versus Performance table.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22"/>
          <w:szCs w:val="22"/>
          <w:color w:val="001446"/>
        </w:rPr>
        <w:t>Company vs Peer Group TSR and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593840" cy="45339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7">
                      <a:extLst>
                        <a:ext uri="{28A0092B-C50C-407E-A947-70E740481C1C}"/>
                      </a:extLst>
                    </a:blip>
                    <a:srcRect/>
                    <a:stretch>
                      <a:fillRect/>
                    </a:stretch>
                  </pic:blipFill>
                  <pic:spPr bwMode="auto">
                    <a:xfrm>
                      <a:off x="0" y="0"/>
                      <a:ext cx="6593840" cy="453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4" w:hanging="104"/>
        <w:spacing w:after="0"/>
        <w:tabs>
          <w:tab w:leader="none" w:pos="104" w:val="left"/>
        </w:tabs>
        <w:numPr>
          <w:ilvl w:val="0"/>
          <w:numId w:val="125"/>
        </w:numPr>
        <w:rPr>
          <w:rFonts w:ascii="Arial" w:cs="Arial" w:eastAsia="Arial" w:hAnsi="Arial"/>
          <w:sz w:val="14"/>
          <w:szCs w:val="14"/>
          <w:color w:val="001446"/>
        </w:rPr>
      </w:pPr>
      <w:r>
        <w:rPr>
          <w:rFonts w:ascii="Arial" w:cs="Arial" w:eastAsia="Arial" w:hAnsi="Arial"/>
          <w:sz w:val="14"/>
          <w:szCs w:val="14"/>
          <w:color w:val="001446"/>
        </w:rPr>
        <w:t>CAP is presented on an aggregate basis to PEOs</w:t>
      </w:r>
    </w:p>
    <w:p>
      <w:pPr>
        <w:spacing w:after="0" w:line="200" w:lineRule="exact"/>
        <w:rPr>
          <w:rFonts w:ascii="Arial" w:cs="Arial" w:eastAsia="Arial" w:hAnsi="Arial"/>
          <w:sz w:val="14"/>
          <w:szCs w:val="14"/>
          <w:color w:val="001446"/>
        </w:rPr>
      </w:pPr>
    </w:p>
    <w:p>
      <w:pPr>
        <w:spacing w:after="0" w:line="341" w:lineRule="exact"/>
        <w:rPr>
          <w:rFonts w:ascii="Arial" w:cs="Arial" w:eastAsia="Arial" w:hAnsi="Arial"/>
          <w:sz w:val="14"/>
          <w:szCs w:val="14"/>
          <w:color w:val="001446"/>
        </w:rPr>
      </w:pPr>
    </w:p>
    <w:p>
      <w:pPr>
        <w:ind w:left="624"/>
        <w:spacing w:after="0"/>
        <w:rPr>
          <w:rFonts w:ascii="Arial" w:cs="Arial" w:eastAsia="Arial" w:hAnsi="Arial"/>
          <w:sz w:val="14"/>
          <w:szCs w:val="14"/>
          <w:color w:val="001446"/>
        </w:rPr>
      </w:pPr>
      <w:r>
        <w:rPr>
          <w:rFonts w:ascii="Arial" w:cs="Arial" w:eastAsia="Arial" w:hAnsi="Arial"/>
          <w:sz w:val="16"/>
          <w:szCs w:val="16"/>
          <w:color w:val="FFFFFF"/>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-338455</wp:posOffset>
                </wp:positionV>
                <wp:extent cx="6532880" cy="58293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2930"/>
                        </a:xfrm>
                        <a:prstGeom prst="rect">
                          <a:avLst/>
                        </a:prstGeom>
                        <a:solidFill>
                          <a:srgbClr val="00082E"/>
                        </a:solidFill>
                      </wps:spPr>
                      <wps:bodyPr/>
                    </wps:wsp>
                  </a:graphicData>
                </a:graphic>
              </wp:anchor>
            </w:drawing>
          </mc:Choice>
          <mc:Fallback>
            <w:pict>
              <v:rect id="Shape 406" o:spid="_x0000_s1431" style="position:absolute;margin-left:0pt;margin-top:-26.6499pt;width:514.4pt;height:4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432435</wp:posOffset>
                </wp:positionV>
                <wp:extent cx="6532245"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05pt" to="514.35pt,34.05pt" o:allowincell="f" strokecolor="#000000" strokeweight="1.5599pt"/>
            </w:pict>
          </mc:Fallback>
        </mc:AlternateContent>
      </w:r>
    </w:p>
    <w:p>
      <w:pPr>
        <w:sectPr>
          <w:pgSz w:w="11900" w:h="16840" w:orient="portrait"/>
          <w:cols w:equalWidth="0" w:num="1">
            <w:col w:w="10144"/>
          </w:cols>
          <w:pgMar w:left="816" w:top="1139" w:right="944" w:bottom="1440" w:gutter="0" w:footer="0" w:header="0"/>
        </w:sectPr>
      </w:pPr>
    </w:p>
    <w:bookmarkStart w:id="211" w:name="page212"/>
    <w:bookmarkEnd w:id="211"/>
    <w:p>
      <w:pPr>
        <w:ind w:left="4"/>
        <w:spacing w:after="0"/>
        <w:rPr>
          <w:sz w:val="20"/>
          <w:szCs w:val="20"/>
          <w:color w:val="auto"/>
        </w:rPr>
      </w:pPr>
      <w:r>
        <w:rPr>
          <w:rFonts w:ascii="Arial" w:cs="Arial" w:eastAsia="Arial" w:hAnsi="Arial"/>
          <w:sz w:val="22"/>
          <w:szCs w:val="22"/>
          <w:color w:val="001446"/>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6593840" cy="43046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8">
                      <a:extLst>
                        <a:ext uri="{28A0092B-C50C-407E-A947-70E740481C1C}"/>
                      </a:extLst>
                    </a:blip>
                    <a:srcRect/>
                    <a:stretch>
                      <a:fillRect/>
                    </a:stretch>
                  </pic:blipFill>
                  <pic:spPr bwMode="auto">
                    <a:xfrm>
                      <a:off x="0" y="0"/>
                      <a:ext cx="6593840" cy="430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4" w:hanging="104"/>
        <w:spacing w:after="0"/>
        <w:tabs>
          <w:tab w:leader="none" w:pos="104" w:val="left"/>
        </w:tabs>
        <w:numPr>
          <w:ilvl w:val="0"/>
          <w:numId w:val="126"/>
        </w:numPr>
        <w:rPr>
          <w:rFonts w:ascii="Arial" w:cs="Arial" w:eastAsia="Arial" w:hAnsi="Arial"/>
          <w:sz w:val="14"/>
          <w:szCs w:val="14"/>
          <w:color w:val="001446"/>
        </w:rPr>
      </w:pPr>
      <w:r>
        <w:rPr>
          <w:rFonts w:ascii="Arial" w:cs="Arial" w:eastAsia="Arial" w:hAnsi="Arial"/>
          <w:sz w:val="14"/>
          <w:szCs w:val="14"/>
          <w:color w:val="001446"/>
        </w:rPr>
        <w:t>CAP is presented on an aggregate basis to PEOs</w:t>
      </w:r>
    </w:p>
    <w:p>
      <w:pPr>
        <w:spacing w:after="0" w:line="200" w:lineRule="exact"/>
        <w:rPr>
          <w:rFonts w:ascii="Arial" w:cs="Arial" w:eastAsia="Arial" w:hAnsi="Arial"/>
          <w:sz w:val="14"/>
          <w:szCs w:val="14"/>
          <w:color w:val="001446"/>
        </w:rPr>
      </w:pPr>
    </w:p>
    <w:p>
      <w:pPr>
        <w:spacing w:after="0" w:line="341" w:lineRule="exact"/>
        <w:rPr>
          <w:rFonts w:ascii="Arial" w:cs="Arial" w:eastAsia="Arial" w:hAnsi="Arial"/>
          <w:sz w:val="14"/>
          <w:szCs w:val="14"/>
          <w:color w:val="001446"/>
        </w:rPr>
      </w:pPr>
    </w:p>
    <w:p>
      <w:pPr>
        <w:ind w:left="624"/>
        <w:spacing w:after="0"/>
        <w:rPr>
          <w:rFonts w:ascii="Arial" w:cs="Arial" w:eastAsia="Arial" w:hAnsi="Arial"/>
          <w:sz w:val="14"/>
          <w:szCs w:val="14"/>
          <w:color w:val="001446"/>
        </w:rPr>
      </w:pPr>
      <w:r>
        <w:rPr>
          <w:rFonts w:ascii="Arial" w:cs="Arial" w:eastAsia="Arial" w:hAnsi="Arial"/>
          <w:sz w:val="16"/>
          <w:szCs w:val="16"/>
          <w:color w:val="FFFFFF"/>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6532880" cy="58420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409" o:spid="_x0000_s1434" style="position:absolute;margin-left:0pt;margin-top:-26.7499pt;width:514.4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431800</wp:posOffset>
                </wp:positionV>
                <wp:extent cx="653224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514.35pt,34pt" o:allowincell="f" strokecolor="#000000" strokeweight="1.6199pt"/>
            </w:pict>
          </mc:Fallback>
        </mc:AlternateContent>
      </w:r>
    </w:p>
    <w:p>
      <w:pPr>
        <w:sectPr>
          <w:pgSz w:w="11900" w:h="16840" w:orient="portrait"/>
          <w:cols w:equalWidth="0" w:num="1">
            <w:col w:w="9648"/>
          </w:cols>
          <w:pgMar w:left="816" w:top="1139" w:right="1440"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001446"/>
        </w:rPr>
        <w:t>Compensation Actually Paid vs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6593840" cy="4319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9">
                      <a:extLst>
                        <a:ext uri="{28A0092B-C50C-407E-A947-70E740481C1C}"/>
                      </a:extLst>
                    </a:blip>
                    <a:srcRect/>
                    <a:stretch>
                      <a:fillRect/>
                    </a:stretch>
                  </pic:blipFill>
                  <pic:spPr bwMode="auto">
                    <a:xfrm>
                      <a:off x="0" y="0"/>
                      <a:ext cx="6593840" cy="431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001446"/>
        </w:rPr>
        <w:t>* CAP is presented on an aggregate basis to PEOs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001446"/>
        </w:rPr>
        <w:t>Financial Performance Measures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001446"/>
        </w:rPr>
        <w:t>As described in greater detail in the Compensation Discussion and Analysis, the Company’s executive compensation program promotes stockholder interests by aligning compensation with our business objectives, including by introducing long term incentives with long term performance goals. The most important financial performance measures used by the Company to link executive compensation actually paid to the Company’s NEOs, for the most recently completed fiscal year, to the Company’s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6532880" cy="23590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60">
                      <a:extLst>
                        <a:ext uri="{28A0092B-C50C-407E-A947-70E740481C1C}"/>
                      </a:extLst>
                    </a:blip>
                    <a:srcRect/>
                    <a:stretch>
                      <a:fillRect/>
                    </a:stretch>
                  </pic:blipFill>
                  <pic:spPr bwMode="auto">
                    <a:xfrm>
                      <a:off x="0" y="0"/>
                      <a:ext cx="6532880" cy="2359025"/>
                    </a:xfrm>
                    <a:prstGeom prst="rect">
                      <a:avLst/>
                    </a:prstGeom>
                    <a:noFill/>
                  </pic:spPr>
                </pic:pic>
              </a:graphicData>
            </a:graphic>
          </wp:anchor>
        </w:drawing>
      </w:r>
    </w:p>
    <w:p>
      <w:pPr>
        <w:sectPr>
          <w:pgSz w:w="11900" w:h="16840" w:orient="portrait"/>
          <w:cols w:equalWidth="0" w:num="1">
            <w:col w:w="10220"/>
          </w:cols>
          <w:pgMar w:left="820" w:top="1139" w:right="864"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20"/>
          </w:cols>
          <w:pgMar w:left="820" w:top="1139" w:right="864"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38"/>
          <w:szCs w:val="38"/>
          <w:b w:val="1"/>
          <w:bCs w:val="1"/>
          <w:color w:val="001446"/>
        </w:rPr>
        <mc:AlternateContent>
          <mc:Choice Requires="wps">
            <w:drawing>
              <wp:anchor simplePos="0" relativeHeight="251657728" behindDoc="1" locked="0" layoutInCell="0" allowOverlap="1">
                <wp:simplePos x="0" y="0"/>
                <wp:positionH relativeFrom="page">
                  <wp:posOffset>518160</wp:posOffset>
                </wp:positionH>
                <wp:positionV relativeFrom="page">
                  <wp:posOffset>746125</wp:posOffset>
                </wp:positionV>
                <wp:extent cx="653224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FF3131"/>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8.75pt" to="555.15pt,58.75pt" o:allowincell="f" strokecolor="#FF3131" strokeweight="0.7799pt">
                <w10:wrap anchorx="page" anchory="page"/>
              </v:line>
            </w:pict>
          </mc:Fallback>
        </mc:AlternateContent>
        <w:t>Transactions with Related Persons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001446"/>
        </w:rPr>
        <w:t>Review, Approval, or Ratification of Transactions with Related Persons</w:t>
      </w:r>
    </w:p>
    <w:p>
      <w:pPr>
        <w:spacing w:after="0" w:line="18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color w:val="001446"/>
        </w:rPr>
        <w:t>The Audit Committee of our Board of Directors has primary responsibility for reviewing and approving transactions with related persons. Our Audit Committee charter provides that the Audit Committee shall review and approve in advance any related person transactions.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We adopted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 not permitted to enter into a related person transaction with us without the consent of our Audit Committee, subject to the exceptions described below. In approving or rejecting any proposed “related person” transaction, our Audit Committee considers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In accordance with Item 404 of Regulation S-K, our Audit Committee has determined that certain transactions will not require Audit Committee approval, including certain employment arrangements of executive officers, director compensation, transactions with another company at which a related person’s only relationship is as a non-executive employee or beneficial owner of less than 5% of that company’s shares, and transactions where a related person’s interest arises solely from the ownership of our common stock and all holders of our common stock received the same benefit on a pro rata basis.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001446"/>
        </w:rPr>
        <w:t>Fiscal Year 2025 Transactions with Related Persons</w:t>
      </w:r>
    </w:p>
    <w:p>
      <w:pPr>
        <w:spacing w:after="0" w:line="183"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color w:val="001446"/>
        </w:rPr>
        <w:t>Since the beginning of the last fiscal year, there have been no transactions, and there are no currently proposed transactions with any “related person” that require disclosure under Item 404 of Regulation 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75565</wp:posOffset>
                </wp:positionV>
                <wp:extent cx="6532245" cy="583565"/>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415" o:spid="_x0000_s1440" style="position:absolute;margin-left:-0.1499pt;margin-top:5.9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40"/>
          </w:cols>
          <w:pgMar w:left="820" w:top="1251" w:right="844" w:bottom="1440" w:gutter="0" w:footer="0" w:header="0"/>
        </w:sectPr>
      </w:pPr>
    </w:p>
    <w:bookmarkStart w:id="214" w:name="page215"/>
    <w:bookmarkEnd w:id="214"/>
    <w:p>
      <w:pPr>
        <w:spacing w:after="0"/>
        <w:rPr>
          <w:sz w:val="20"/>
          <w:szCs w:val="20"/>
          <w:color w:val="auto"/>
        </w:rPr>
      </w:pPr>
      <w:r>
        <w:rPr>
          <w:rFonts w:ascii="Arial" w:cs="Arial" w:eastAsia="Arial" w:hAnsi="Arial"/>
          <w:sz w:val="38"/>
          <w:szCs w:val="38"/>
          <w:b w:val="1"/>
          <w:bCs w:val="1"/>
          <w:color w:val="001446"/>
        </w:rPr>
        <mc:AlternateContent>
          <mc:Choice Requires="wps">
            <w:drawing>
              <wp:anchor simplePos="0" relativeHeight="251657728" behindDoc="1" locked="0" layoutInCell="0" allowOverlap="1">
                <wp:simplePos x="0" y="0"/>
                <wp:positionH relativeFrom="page">
                  <wp:posOffset>518160</wp:posOffset>
                </wp:positionH>
                <wp:positionV relativeFrom="page">
                  <wp:posOffset>746125</wp:posOffset>
                </wp:positionV>
                <wp:extent cx="6532245"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FF3131"/>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8.75pt" to="555.15pt,58.75pt" o:allowincell="f" strokecolor="#FF3131" strokeweight="0.7799pt">
                <w10:wrap anchorx="page" anchory="page"/>
              </v:line>
            </w:pict>
          </mc:Fallback>
        </mc:AlternateContent>
        <w:t>Report Of the Audit Committee</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color w:val="001446"/>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will not otherwise be deemed “soliciting material” or “filed” under either the Securities Act of 1933, as amended, or the Securities Exchange Act of 1934, as amended.</w:t>
      </w:r>
    </w:p>
    <w:p>
      <w:pPr>
        <w:spacing w:after="0" w:line="126"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001446"/>
        </w:rPr>
        <w:t>The principal purpose of the Audit Committee is to represent and assist the Board of Directors in discharging its oversight responsibility relating to: (i) the accounting and financial reporting processes of the Company and its subsidiaries, including the audits of the Company’s financial statements and the integrity of the financial statements; (ii) the Company’s compliance with legal and regulatory requirements; (iii) the outside auditor’s qualifications, independence and performance; and (iv) the design, implementation, and performance of the Company’s internal audit function. The Audit Committee is responsible for the appointment, compensation, retention, and oversight of the work of the Company’s independent auditor. The Audit Committee’s function is more fully described in its charter and summarized starting on page 27 of this Proxy Statement.</w:t>
      </w:r>
    </w:p>
    <w:p>
      <w:pPr>
        <w:spacing w:after="0" w:line="130"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001446"/>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Kost Forer Gabbay &amp; Kasierer, a member of EY Global, our independent registered public accounting firm, was responsible for performing an independent audit of our consolidated financial statements included in our 2025 Annual Report on Form 10-K for the year ended December 31, 2025, and expressing an opinion on the conformity of those financial statements with generally accepted accounting principles.</w:t>
      </w:r>
    </w:p>
    <w:p>
      <w:pPr>
        <w:spacing w:after="0" w:line="129"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color w:val="001446"/>
        </w:rPr>
        <w:t>The Audit Committee has reviewed and discussed with management our audited financial statements included in our Annual Report on Form 10-K for the year ended December 31, 2025.</w:t>
      </w:r>
    </w:p>
    <w:p>
      <w:pPr>
        <w:spacing w:after="0" w:line="103" w:lineRule="exact"/>
        <w:rPr>
          <w:sz w:val="20"/>
          <w:szCs w:val="20"/>
          <w:color w:val="auto"/>
        </w:rPr>
      </w:pPr>
    </w:p>
    <w:p>
      <w:pPr>
        <w:spacing w:after="0" w:line="260" w:lineRule="auto"/>
        <w:rPr>
          <w:sz w:val="20"/>
          <w:szCs w:val="20"/>
          <w:color w:val="auto"/>
        </w:rPr>
      </w:pPr>
      <w:r>
        <w:rPr>
          <w:rFonts w:ascii="Arial" w:cs="Arial" w:eastAsia="Arial" w:hAnsi="Arial"/>
          <w:sz w:val="14"/>
          <w:szCs w:val="14"/>
          <w:color w:val="001446"/>
        </w:rPr>
        <w:t>The Audit Committee has also reviewed and discussed with Kost Forer Gabbay &amp; Kasierer, a member of EY Global the audited financial statements in our Annual Report on Form 10-K for the year ended December 31, 2025. In addition, the Audit Committee discussed with Kost Forer Gabbay &amp; Kasierer, a member of EY Global those matters required to be discussed under applicable standards of the Public Company Accounting Oversight Board (the “PCAOB”) and the SEC. Additionally, Kost Forer Gabbay &amp; Kasierer, a member of EY Global, provided to the Audit Committee the written disclosures and the letter required by applicable requirements of the PCAOB regarding Kost Forer Gabbay &amp; Kasierer’s communications with the Audit Committee concerning independence. The Audit Committee also discussed with Kost Forer Gabbay &amp; Kasierer, a member of EY Global its independence from the Company.</w:t>
      </w:r>
    </w:p>
    <w:p>
      <w:pPr>
        <w:spacing w:after="0" w:line="130"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color w:val="001446"/>
        </w:rPr>
        <w:t>Based upon the review and discussions described above, the Audit Committee recommended to the Board of Directors that the audited financial statements be included in our Annual Report on Form 10-K for the year ended December 31, 2025 for filing with the SEC.</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001446"/>
        </w:rPr>
        <w:t>THE AUDIT COMMITTEE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Yoram Tietz (Chairperson)</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Dana Gross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Guy Gecht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118745</wp:posOffset>
                </wp:positionV>
                <wp:extent cx="6532245" cy="58420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418" o:spid="_x0000_s1443" style="position:absolute;margin-left:-0.1499pt;margin-top:9.3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80"/>
          </w:cols>
          <w:pgMar w:left="820" w:top="1251" w:right="804"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color w:val="001446"/>
        </w:rPr>
        <mc:AlternateContent>
          <mc:Choice Requires="wps">
            <w:drawing>
              <wp:anchor simplePos="0" relativeHeight="251657728" behindDoc="1" locked="0" layoutInCell="0" allowOverlap="1">
                <wp:simplePos x="0" y="0"/>
                <wp:positionH relativeFrom="page">
                  <wp:posOffset>518160</wp:posOffset>
                </wp:positionH>
                <wp:positionV relativeFrom="page">
                  <wp:posOffset>639445</wp:posOffset>
                </wp:positionV>
                <wp:extent cx="6532245"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78BAE6"/>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50.35pt" to="555.15pt,50.35pt" o:allowincell="f" strokecolor="#78BAE6" strokeweight="0.7799pt">
                <w10:wrap anchorx="page" anchory="page"/>
              </v:line>
            </w:pict>
          </mc:Fallback>
        </mc:AlternateContent>
        <w:t>SolarEdge Technologies, Inc.</w:t>
      </w:r>
    </w:p>
    <w:p>
      <w:pPr>
        <w:spacing w:after="0" w:line="231" w:lineRule="auto"/>
        <w:rPr>
          <w:sz w:val="20"/>
          <w:szCs w:val="20"/>
          <w:color w:val="auto"/>
        </w:rPr>
      </w:pPr>
      <w:r>
        <w:rPr>
          <w:rFonts w:ascii="Arial" w:cs="Arial" w:eastAsia="Arial" w:hAnsi="Arial"/>
          <w:sz w:val="13"/>
          <w:szCs w:val="13"/>
          <w:color w:val="001446"/>
        </w:rPr>
        <w:t>1 HaMada Street, Herzeliya, Israel, 4673335</w:t>
      </w:r>
    </w:p>
    <w:p>
      <w:pPr>
        <w:spacing w:after="0" w:line="231" w:lineRule="auto"/>
        <w:rPr>
          <w:sz w:val="20"/>
          <w:szCs w:val="20"/>
          <w:color w:val="auto"/>
        </w:rPr>
      </w:pPr>
      <w:r>
        <w:rPr>
          <w:rFonts w:ascii="Arial" w:cs="Arial" w:eastAsia="Arial" w:hAnsi="Arial"/>
          <w:sz w:val="13"/>
          <w:szCs w:val="13"/>
          <w:color w:val="001446"/>
        </w:rPr>
        <w:t>Proxy Statement</w:t>
      </w:r>
    </w:p>
    <w:p>
      <w:pPr>
        <w:spacing w:after="0"/>
        <w:rPr>
          <w:sz w:val="20"/>
          <w:szCs w:val="20"/>
          <w:color w:val="auto"/>
        </w:rPr>
      </w:pPr>
      <w:r>
        <w:rPr>
          <w:rFonts w:ascii="Arial" w:cs="Arial" w:eastAsia="Arial" w:hAnsi="Arial"/>
          <w:sz w:val="13"/>
          <w:szCs w:val="13"/>
          <w:color w:val="001446"/>
        </w:rPr>
        <w:t>June 3,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227330</wp:posOffset>
                </wp:positionV>
                <wp:extent cx="6532245"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78BAE6"/>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pt" to="514.15pt,17.9pt" o:allowincell="f" strokecolor="#78BAE6" strokeweight="0.7799pt"/>
            </w:pict>
          </mc:Fallback>
        </mc:AlternateConten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Black" w:cs="Arial Black" w:eastAsia="Arial Black" w:hAnsi="Arial Black"/>
          <w:sz w:val="51"/>
          <w:szCs w:val="51"/>
          <w:b w:val="1"/>
          <w:bCs w:val="1"/>
          <w:color w:val="auto"/>
        </w:rPr>
        <w:t>The Meeting</w:t>
      </w:r>
    </w:p>
    <w:p>
      <w:pPr>
        <w:spacing w:after="0" w:line="156"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001446"/>
        </w:rPr>
        <w:t xml:space="preserve">The accompanying proxy is solicited on behalf of the board of directors (the “Board of Directors”, the “board of directors” or the “Board”) of SolarEdge Technologies, Inc., a Delaware corporation (the “Company”), for use at the 2026 Annual Meeting of Stockholders (the “Annual Meeting”) to be held at 200 Park Avenue, New York, NY 10166- 0193, at 9:00 am Eastern Time. The Notice and the proxy materials, including this Proxy Statement, were first made available to stockholders on or about April 23, 2026. Stockholders of record can access the proxy materials by following instructions in the Notice and visiting </w:t>
      </w:r>
      <w:r>
        <w:rPr>
          <w:rFonts w:ascii="Arial" w:cs="Arial" w:eastAsia="Arial" w:hAnsi="Arial"/>
          <w:sz w:val="14"/>
          <w:szCs w:val="14"/>
          <w:u w:val="single" w:color="auto"/>
          <w:color w:val="001446"/>
        </w:rPr>
        <w:t>www.prox</w:t>
      </w:r>
      <w:r>
        <w:rPr>
          <w:rFonts w:ascii="Arial" w:cs="Arial" w:eastAsia="Arial" w:hAnsi="Arial"/>
          <w:sz w:val="14"/>
          <w:szCs w:val="14"/>
          <w:color w:val="001446"/>
        </w:rPr>
        <w:t xml:space="preserve">y </w:t>
      </w:r>
      <w:r>
        <w:rPr>
          <w:rFonts w:ascii="Arial" w:cs="Arial" w:eastAsia="Arial" w:hAnsi="Arial"/>
          <w:sz w:val="14"/>
          <w:szCs w:val="14"/>
          <w:u w:val="single" w:color="auto"/>
          <w:color w:val="001446"/>
        </w:rPr>
        <w:t>vote.com</w:t>
      </w:r>
      <w:r>
        <w:rPr>
          <w:rFonts w:ascii="Arial" w:cs="Arial" w:eastAsia="Arial" w:hAnsi="Arial"/>
          <w:sz w:val="14"/>
          <w:szCs w:val="14"/>
          <w:color w:val="001446"/>
        </w:rPr>
        <w:t xml:space="preserve">. Beneficial owners should review these proxy materials and their voting instruction card or Notice for how to vote in advance of and participate in the Annual Meeting. Electronic copies of this Proxy Statement and our 2025 Annual Report are also available at the Company’s website at </w:t>
      </w:r>
      <w:r>
        <w:rPr>
          <w:rFonts w:ascii="Arial" w:cs="Arial" w:eastAsia="Arial" w:hAnsi="Arial"/>
          <w:sz w:val="14"/>
          <w:szCs w:val="14"/>
          <w:u w:val="single" w:color="auto"/>
          <w:color w:val="001446"/>
        </w:rPr>
        <w:t>http://</w:t>
      </w:r>
      <w:r>
        <w:rPr>
          <w:rFonts w:ascii="Arial" w:cs="Arial" w:eastAsia="Arial" w:hAnsi="Arial"/>
          <w:sz w:val="14"/>
          <w:szCs w:val="14"/>
          <w:color w:val="001446"/>
        </w:rPr>
        <w:t xml:space="preserve"> </w:t>
      </w:r>
      <w:r>
        <w:rPr>
          <w:rFonts w:ascii="Arial" w:cs="Arial" w:eastAsia="Arial" w:hAnsi="Arial"/>
          <w:sz w:val="14"/>
          <w:szCs w:val="14"/>
          <w:u w:val="single" w:color="auto"/>
          <w:color w:val="001446"/>
        </w:rPr>
        <w:t>investors.solared</w:t>
      </w:r>
      <w:r>
        <w:rPr>
          <w:rFonts w:ascii="Arial" w:cs="Arial" w:eastAsia="Arial" w:hAnsi="Arial"/>
          <w:sz w:val="14"/>
          <w:szCs w:val="14"/>
          <w:color w:val="001446"/>
        </w:rPr>
        <w:t>g</w:t>
      </w:r>
      <w:r>
        <w:rPr>
          <w:rFonts w:ascii="Arial" w:cs="Arial" w:eastAsia="Arial" w:hAnsi="Arial"/>
          <w:sz w:val="14"/>
          <w:szCs w:val="14"/>
          <w:u w:val="single" w:color="auto"/>
          <w:color w:val="001446"/>
        </w:rPr>
        <w:t>e.com</w:t>
      </w:r>
      <w:r>
        <w:rPr>
          <w:rFonts w:ascii="Arial" w:cs="Arial" w:eastAsia="Arial" w:hAnsi="Arial"/>
          <w:sz w:val="14"/>
          <w:szCs w:val="14"/>
          <w:color w:val="001446"/>
        </w:rPr>
        <w:t>.</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1446"/>
        </w:rPr>
        <w:t>Voting Rights, Quorum and Required Vote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4"/>
          <w:szCs w:val="14"/>
          <w:color w:val="001446"/>
        </w:rPr>
        <w:t>Only holders of record of our common stock at the close of business on April 6, 2026 (the “Record Date”), will be entitled to vote at the Annual Meeting. At the close of business on April 6, 2026, we had 60,817,929 shares of common stock outstanding and entitled to vote. Holders of the Company’s common stock are entitled to one vote for each share held as of the Record Date. There is no cumulative voting. Each stockholder may appoint only one proxy holder or representative to attend the meeting on his or her behalf. A quorum is required for our stockholders to conduct business at the Annual Meeting. The holders of the majority of the voting power of the stock outstanding and entitled to vote at the annual meeting, present at the annual meeting or represented by proxy, will constitute a quorum for the transaction of business. Abstentions and “broker non-votes” (described below) will be counted in determining whether there is a quorum.</w:t>
      </w:r>
    </w:p>
    <w:p>
      <w:pPr>
        <w:sectPr>
          <w:pgSz w:w="11900" w:h="16840" w:orient="portrait"/>
          <w:cols w:equalWidth="0" w:num="1">
            <w:col w:w="10280"/>
          </w:cols>
          <w:pgMar w:left="820" w:top="1174" w:right="804" w:bottom="1440" w:gutter="0" w:footer="0" w:header="0"/>
        </w:sectPr>
      </w:pPr>
    </w:p>
    <w:p>
      <w:pPr>
        <w:spacing w:after="0" w:line="295" w:lineRule="exact"/>
        <w:rPr>
          <w:sz w:val="20"/>
          <w:szCs w:val="20"/>
          <w:color w:val="auto"/>
        </w:rPr>
      </w:pPr>
    </w:p>
    <w:p>
      <w:pPr>
        <w:ind w:left="560"/>
        <w:spacing w:after="0"/>
        <w:rPr>
          <w:sz w:val="20"/>
          <w:szCs w:val="20"/>
          <w:color w:val="auto"/>
        </w:rPr>
      </w:pPr>
      <w:r>
        <w:rPr>
          <w:rFonts w:ascii="Arial" w:cs="Arial" w:eastAsia="Arial" w:hAnsi="Arial"/>
          <w:sz w:val="75"/>
          <w:szCs w:val="75"/>
          <w:b w:val="1"/>
          <w:bCs w:val="1"/>
          <w:color w:val="20659F"/>
        </w:rPr>
        <w:t>1</w:t>
      </w: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75"/>
          <w:szCs w:val="75"/>
          <w:b w:val="1"/>
          <w:bCs w:val="1"/>
          <w:color w:val="20659F"/>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070C0"/>
        </w:rPr>
        <w:t>Proposal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-1030605</wp:posOffset>
                </wp:positionH>
                <wp:positionV relativeFrom="paragraph">
                  <wp:posOffset>-212090</wp:posOffset>
                </wp:positionV>
                <wp:extent cx="6532245" cy="659765"/>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659765"/>
                        </a:xfrm>
                        <a:prstGeom prst="rect">
                          <a:avLst/>
                        </a:prstGeom>
                        <a:solidFill>
                          <a:srgbClr val="D6E8F7"/>
                        </a:solidFill>
                      </wps:spPr>
                      <wps:bodyPr/>
                    </wps:wsp>
                  </a:graphicData>
                </a:graphic>
              </wp:anchor>
            </w:drawing>
          </mc:Choice>
          <mc:Fallback>
            <w:pict>
              <v:rect id="Shape 422" o:spid="_x0000_s1447" style="position:absolute;margin-left:-81.1499pt;margin-top:-16.6999pt;width:514.35pt;height:5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6E8F7" stroked="f"/>
            </w:pict>
          </mc:Fallback>
        </mc:AlternateContent>
      </w:r>
    </w:p>
    <w:p>
      <w:pPr>
        <w:spacing w:after="0" w:line="235" w:lineRule="auto"/>
        <w:rPr>
          <w:sz w:val="20"/>
          <w:szCs w:val="20"/>
          <w:color w:val="auto"/>
        </w:rPr>
      </w:pPr>
      <w:r>
        <w:rPr>
          <w:rFonts w:ascii="Arial" w:cs="Arial" w:eastAsia="Arial" w:hAnsi="Arial"/>
          <w:sz w:val="16"/>
          <w:szCs w:val="16"/>
          <w:color w:val="0070C0"/>
        </w:rPr>
        <w:t>1</w:t>
      </w:r>
    </w:p>
    <w:p>
      <w:pPr>
        <w:spacing w:after="0" w:line="5" w:lineRule="exact"/>
        <w:rPr>
          <w:sz w:val="20"/>
          <w:szCs w:val="20"/>
          <w:color w:val="auto"/>
        </w:rPr>
      </w:pPr>
    </w:p>
    <w:p>
      <w:pPr>
        <w:ind w:left="1060" w:right="20" w:hanging="231"/>
        <w:spacing w:after="0" w:line="181" w:lineRule="auto"/>
        <w:tabs>
          <w:tab w:leader="none" w:pos="1060" w:val="left"/>
        </w:tabs>
        <w:numPr>
          <w:ilvl w:val="0"/>
          <w:numId w:val="127"/>
        </w:numPr>
        <w:rPr>
          <w:rFonts w:ascii="Arial" w:cs="Arial" w:eastAsia="Arial" w:hAnsi="Arial"/>
          <w:sz w:val="35"/>
          <w:szCs w:val="35"/>
          <w:color w:val="auto"/>
          <w:vertAlign w:val="subscript"/>
        </w:rPr>
      </w:pPr>
      <w:r>
        <w:rPr>
          <w:rFonts w:ascii="Arial" w:cs="Arial" w:eastAsia="Arial" w:hAnsi="Arial"/>
          <w:sz w:val="13"/>
          <w:szCs w:val="13"/>
          <w:color w:val="001446"/>
        </w:rPr>
        <w:t>Election of Seven Director Nominees Named in this Proxy Statement - directors will be elected if the number of votes cast at the Annual Meeting for the nominee’s election exceeds the number of votes cast against the nominee’s election. Abstentions and “broker non-votes” (as defined below), if any will have no effect on Proposal No.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-1030605</wp:posOffset>
                </wp:positionH>
                <wp:positionV relativeFrom="paragraph">
                  <wp:posOffset>111125</wp:posOffset>
                </wp:positionV>
                <wp:extent cx="6532245" cy="87376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873760"/>
                        </a:xfrm>
                        <a:prstGeom prst="rect">
                          <a:avLst/>
                        </a:prstGeom>
                        <a:solidFill>
                          <a:srgbClr val="D6E8F7"/>
                        </a:solidFill>
                      </wps:spPr>
                      <wps:bodyPr/>
                    </wps:wsp>
                  </a:graphicData>
                </a:graphic>
              </wp:anchor>
            </w:drawing>
          </mc:Choice>
          <mc:Fallback>
            <w:pict>
              <v:rect id="Shape 423" o:spid="_x0000_s1448" style="position:absolute;margin-left:-81.1499pt;margin-top:8.75pt;width:514.35pt;height:6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6E8F7" stroked="f"/>
            </w:pict>
          </mc:Fallback>
        </mc:AlternateConten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0070C0"/>
        </w:rPr>
        <w:t>Proposal No.</w:t>
      </w:r>
    </w:p>
    <w:p>
      <w:pPr>
        <w:spacing w:after="0" w:line="235" w:lineRule="auto"/>
        <w:rPr>
          <w:sz w:val="20"/>
          <w:szCs w:val="20"/>
          <w:color w:val="auto"/>
        </w:rPr>
      </w:pPr>
      <w:r>
        <w:rPr>
          <w:rFonts w:ascii="Arial" w:cs="Arial" w:eastAsia="Arial" w:hAnsi="Arial"/>
          <w:sz w:val="16"/>
          <w:szCs w:val="16"/>
          <w:color w:val="0070C0"/>
        </w:rPr>
        <w:t>2</w:t>
      </w:r>
    </w:p>
    <w:p>
      <w:pPr>
        <w:spacing w:after="0" w:line="5" w:lineRule="exact"/>
        <w:rPr>
          <w:sz w:val="20"/>
          <w:szCs w:val="20"/>
          <w:color w:val="auto"/>
        </w:rPr>
      </w:pPr>
    </w:p>
    <w:p>
      <w:pPr>
        <w:ind w:left="1060" w:right="40" w:hanging="231"/>
        <w:spacing w:after="0" w:line="180" w:lineRule="auto"/>
        <w:tabs>
          <w:tab w:leader="none" w:pos="1060" w:val="left"/>
        </w:tabs>
        <w:numPr>
          <w:ilvl w:val="0"/>
          <w:numId w:val="128"/>
        </w:numPr>
        <w:rPr>
          <w:rFonts w:ascii="Arial" w:cs="Arial" w:eastAsia="Arial" w:hAnsi="Arial"/>
          <w:sz w:val="44"/>
          <w:szCs w:val="44"/>
          <w:color w:val="auto"/>
          <w:vertAlign w:val="subscript"/>
        </w:rPr>
      </w:pPr>
      <w:r>
        <w:rPr>
          <w:rFonts w:ascii="Arial" w:cs="Arial" w:eastAsia="Arial" w:hAnsi="Arial"/>
          <w:sz w:val="14"/>
          <w:szCs w:val="14"/>
          <w:color w:val="001446"/>
        </w:rPr>
        <w:t>Ratification of Appointment of Independent Registered Public Accounting Firm for 2026- requires the affirmative vote of the holders of a majority of the voting power of the stock, present or represented by proxy and entitled to vote on the matter. Abstentions will have the same effect as votes against this Proposal No. 2. While there should be no “broker non-votes” in respect of this proposal, if there were any such broker non-votes, any such broker non-votes (as defined below), if any, will have no effect on this Proposal No. 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-1030605</wp:posOffset>
                </wp:positionH>
                <wp:positionV relativeFrom="paragraph">
                  <wp:posOffset>112395</wp:posOffset>
                </wp:positionV>
                <wp:extent cx="6532245" cy="584835"/>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424" o:spid="_x0000_s1449" style="position:absolute;margin-left:-81.1499pt;margin-top:8.85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ectPr>
          <w:pgSz w:w="11900" w:h="16840" w:orient="portrait"/>
          <w:cols w:equalWidth="0" w:num="2">
            <w:col w:w="980" w:space="640"/>
            <w:col w:w="8660"/>
          </w:cols>
          <w:pgMar w:left="820" w:top="1174" w:right="804" w:bottom="1440" w:gutter="0" w:footer="0" w:header="0"/>
          <w:type w:val="continuous"/>
        </w:sectPr>
      </w:pPr>
    </w:p>
    <w:p>
      <w:pPr>
        <w:spacing w:after="0" w:line="329"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80"/>
          </w:cols>
          <w:pgMar w:left="820" w:top="1174" w:right="804" w:bottom="1440" w:gutter="0" w:footer="0" w:header="0"/>
          <w:type w:val="continuous"/>
        </w:sectPr>
      </w:pPr>
    </w:p>
    <w:bookmarkStart w:id="216" w:name="page217"/>
    <w:bookmarkEnd w:id="216"/>
    <w:p>
      <w:pPr>
        <w:spacing w:after="0" w:line="163" w:lineRule="exact"/>
        <w:rPr>
          <w:sz w:val="20"/>
          <w:szCs w:val="20"/>
          <w:color w:val="auto"/>
        </w:rPr>
      </w:pPr>
    </w:p>
    <w:p>
      <w:pPr>
        <w:ind w:left="560"/>
        <w:spacing w:after="0"/>
        <w:rPr>
          <w:sz w:val="20"/>
          <w:szCs w:val="20"/>
          <w:color w:val="auto"/>
        </w:rPr>
      </w:pPr>
      <w:r>
        <w:rPr>
          <w:rFonts w:ascii="Arial" w:cs="Arial" w:eastAsia="Arial" w:hAnsi="Arial"/>
          <w:sz w:val="75"/>
          <w:szCs w:val="75"/>
          <w:b w:val="1"/>
          <w:bCs w:val="1"/>
          <w:color w:val="20659F"/>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75"/>
          <w:szCs w:val="75"/>
          <w:b w:val="1"/>
          <w:bCs w:val="1"/>
          <w:color w:val="20659F"/>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70C0"/>
        </w:rPr>
        <w:t>Proposal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-1030605</wp:posOffset>
                </wp:positionH>
                <wp:positionV relativeFrom="paragraph">
                  <wp:posOffset>-212090</wp:posOffset>
                </wp:positionV>
                <wp:extent cx="6532245" cy="1086485"/>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1086485"/>
                        </a:xfrm>
                        <a:prstGeom prst="rect">
                          <a:avLst/>
                        </a:prstGeom>
                        <a:solidFill>
                          <a:srgbClr val="D6E8F7"/>
                        </a:solidFill>
                      </wps:spPr>
                      <wps:bodyPr/>
                    </wps:wsp>
                  </a:graphicData>
                </a:graphic>
              </wp:anchor>
            </w:drawing>
          </mc:Choice>
          <mc:Fallback>
            <w:pict>
              <v:rect id="Shape 426" o:spid="_x0000_s1451" style="position:absolute;margin-left:-81.1499pt;margin-top:-16.6999pt;width:514.35pt;height:85.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6E8F7" stroked="f"/>
            </w:pict>
          </mc:Fallback>
        </mc:AlternateContent>
      </w:r>
    </w:p>
    <w:p>
      <w:pPr>
        <w:spacing w:after="0" w:line="235" w:lineRule="auto"/>
        <w:rPr>
          <w:sz w:val="20"/>
          <w:szCs w:val="20"/>
          <w:color w:val="auto"/>
        </w:rPr>
      </w:pPr>
      <w:r>
        <w:rPr>
          <w:rFonts w:ascii="Arial" w:cs="Arial" w:eastAsia="Arial" w:hAnsi="Arial"/>
          <w:sz w:val="16"/>
          <w:szCs w:val="16"/>
          <w:color w:val="0070C0"/>
        </w:rPr>
        <w:t>3</w:t>
      </w:r>
    </w:p>
    <w:p>
      <w:pPr>
        <w:spacing w:after="0" w:line="5" w:lineRule="exact"/>
        <w:rPr>
          <w:sz w:val="20"/>
          <w:szCs w:val="20"/>
          <w:color w:val="auto"/>
        </w:rPr>
      </w:pPr>
    </w:p>
    <w:p>
      <w:pPr>
        <w:ind w:left="1060" w:right="80" w:hanging="231"/>
        <w:spacing w:after="0" w:line="187" w:lineRule="auto"/>
        <w:tabs>
          <w:tab w:leader="none" w:pos="1060" w:val="left"/>
        </w:tabs>
        <w:numPr>
          <w:ilvl w:val="0"/>
          <w:numId w:val="129"/>
        </w:numPr>
        <w:rPr>
          <w:rFonts w:ascii="Arial" w:cs="Arial" w:eastAsia="Arial" w:hAnsi="Arial"/>
          <w:sz w:val="45"/>
          <w:szCs w:val="45"/>
          <w:color w:val="auto"/>
          <w:vertAlign w:val="subscript"/>
        </w:rPr>
      </w:pPr>
      <w:r>
        <w:rPr>
          <w:rFonts w:ascii="Arial" w:cs="Arial" w:eastAsia="Arial" w:hAnsi="Arial"/>
          <w:sz w:val="14"/>
          <w:szCs w:val="14"/>
          <w:color w:val="001446"/>
        </w:rPr>
        <w:t>Advisory Vote to Approve the Compensation of our Named Executive Officers (the “Say-on-Pay” vote) - requires the affirmative vote of the holders of a majority of the voting power of the stock present or represented by proxy and entitled to vote on the matter. Abstentions will have the same effect as votes against this Proposal No. 3. “Broker non-votes”, if any, will have no effect on this Proposal No. 3. This advisory vote is not binding on the Board. However, the Board of Directors and the Compensation Committee will review and consider the voting results when evaluating our executive compensation programs and making compensation decisions.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-1030605</wp:posOffset>
                </wp:positionH>
                <wp:positionV relativeFrom="paragraph">
                  <wp:posOffset>219075</wp:posOffset>
                </wp:positionV>
                <wp:extent cx="6532245" cy="874395"/>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874395"/>
                        </a:xfrm>
                        <a:prstGeom prst="rect">
                          <a:avLst/>
                        </a:prstGeom>
                        <a:solidFill>
                          <a:srgbClr val="D6E8F7"/>
                        </a:solidFill>
                      </wps:spPr>
                      <wps:bodyPr/>
                    </wps:wsp>
                  </a:graphicData>
                </a:graphic>
              </wp:anchor>
            </w:drawing>
          </mc:Choice>
          <mc:Fallback>
            <w:pict>
              <v:rect id="Shape 427" o:spid="_x0000_s1452" style="position:absolute;margin-left:-81.1499pt;margin-top:17.25pt;width:514.35pt;height:6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6E8F7" stroked="f"/>
            </w:pict>
          </mc:Fallback>
        </mc:AlternateConten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0070C0"/>
        </w:rPr>
        <w:t>Proposal No.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0070C0"/>
        </w:rPr>
        <w:t>4</w:t>
      </w:r>
    </w:p>
    <w:p>
      <w:pPr>
        <w:spacing w:after="0" w:line="164" w:lineRule="exact"/>
        <w:rPr>
          <w:sz w:val="20"/>
          <w:szCs w:val="20"/>
          <w:color w:val="auto"/>
        </w:rPr>
      </w:pPr>
    </w:p>
    <w:p>
      <w:pPr>
        <w:ind w:left="1060" w:right="60" w:hanging="231"/>
        <w:spacing w:after="0" w:line="199" w:lineRule="auto"/>
        <w:tabs>
          <w:tab w:leader="none" w:pos="1060" w:val="left"/>
        </w:tabs>
        <w:numPr>
          <w:ilvl w:val="0"/>
          <w:numId w:val="130"/>
        </w:numPr>
        <w:rPr>
          <w:rFonts w:ascii="Arial" w:cs="Arial" w:eastAsia="Arial" w:hAnsi="Arial"/>
          <w:sz w:val="45"/>
          <w:szCs w:val="45"/>
          <w:color w:val="auto"/>
          <w:vertAlign w:val="subscript"/>
        </w:rPr>
      </w:pPr>
      <w:r>
        <w:rPr>
          <w:rFonts w:ascii="Arial" w:cs="Arial" w:eastAsia="Arial" w:hAnsi="Arial"/>
          <w:sz w:val="14"/>
          <w:szCs w:val="14"/>
          <w:color w:val="001446"/>
        </w:rPr>
        <w:t>Approval of the Amendment to the Company’s Restated Certificate of Incorporation to Limit the Liability of Certain Officers as Permitted by Law - requires the affirmative vote of the holders of a majority of outstanding shares of our common stock. Abstentions and “broker non-votes” if any, will have the same effect as votes against this Proposal No. 4.</w:t>
      </w:r>
    </w:p>
    <w:p>
      <w:pPr>
        <w:spacing w:after="0" w:line="200" w:lineRule="exact"/>
        <w:rPr>
          <w:sz w:val="20"/>
          <w:szCs w:val="20"/>
          <w:color w:val="auto"/>
        </w:rPr>
      </w:pPr>
    </w:p>
    <w:p>
      <w:pPr>
        <w:sectPr>
          <w:pgSz w:w="11900" w:h="16840" w:orient="portrait"/>
          <w:cols w:equalWidth="0" w:num="2">
            <w:col w:w="980" w:space="640"/>
            <w:col w:w="8620"/>
          </w:cols>
          <w:pgMar w:left="820" w:top="1054" w:right="844"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001446"/>
        </w:rPr>
        <w:t>Notice of Internet Availability of Proxy Materials</w:t>
      </w:r>
    </w:p>
    <w:p>
      <w:pPr>
        <w:spacing w:after="0" w:line="183" w:lineRule="exact"/>
        <w:rPr>
          <w:sz w:val="20"/>
          <w:szCs w:val="20"/>
          <w:color w:val="auto"/>
        </w:rPr>
      </w:pPr>
    </w:p>
    <w:p>
      <w:pPr>
        <w:jc w:val="both"/>
        <w:ind w:right="100"/>
        <w:spacing w:after="0" w:line="275" w:lineRule="auto"/>
        <w:rPr>
          <w:sz w:val="20"/>
          <w:szCs w:val="20"/>
          <w:color w:val="auto"/>
        </w:rPr>
      </w:pPr>
      <w:r>
        <w:rPr>
          <w:rFonts w:ascii="Arial" w:cs="Arial" w:eastAsia="Arial" w:hAnsi="Arial"/>
          <w:sz w:val="14"/>
          <w:szCs w:val="14"/>
          <w:color w:val="001446"/>
        </w:rPr>
        <w:t>As permitted by the rules of the SEC, we are making the proxy materials available to our stockholders primarily electronically via the Internet rather than mailing printed copies of these materials to each stockholder. The Company believes that this process expedites stockholders’ receipt of the proxy materials, lowers the costs incurred by the Company for the 2026 Annual Meeting and helps to conserve natural resources.</w:t>
      </w:r>
    </w:p>
    <w:p>
      <w:pPr>
        <w:spacing w:after="0" w:line="119" w:lineRule="exact"/>
        <w:rPr>
          <w:sz w:val="20"/>
          <w:szCs w:val="20"/>
          <w:color w:val="auto"/>
        </w:rPr>
      </w:pPr>
    </w:p>
    <w:p>
      <w:pPr>
        <w:ind w:right="480"/>
        <w:spacing w:after="0" w:line="299" w:lineRule="auto"/>
        <w:rPr>
          <w:sz w:val="20"/>
          <w:szCs w:val="20"/>
          <w:color w:val="auto"/>
        </w:rPr>
      </w:pPr>
      <w:r>
        <w:rPr>
          <w:rFonts w:ascii="Arial" w:cs="Arial" w:eastAsia="Arial" w:hAnsi="Arial"/>
          <w:sz w:val="14"/>
          <w:szCs w:val="14"/>
          <w:color w:val="001446"/>
        </w:rPr>
        <w:t>On or about April 23, 2026, we mailed the Notice in the form of a mailing titled “Important Notice Regarding the Availability of Proxy Materials.” The Notice contains instructions on how to access the Proxy Materials on the Internet and how to vote.</w:t>
      </w:r>
    </w:p>
    <w:p>
      <w:pPr>
        <w:spacing w:after="0" w:line="103" w:lineRule="exact"/>
        <w:rPr>
          <w:sz w:val="20"/>
          <w:szCs w:val="20"/>
          <w:color w:val="auto"/>
        </w:rPr>
      </w:pPr>
    </w:p>
    <w:p>
      <w:pPr>
        <w:spacing w:after="0" w:line="266" w:lineRule="auto"/>
        <w:rPr>
          <w:sz w:val="20"/>
          <w:szCs w:val="20"/>
          <w:color w:val="auto"/>
        </w:rPr>
      </w:pPr>
      <w:r>
        <w:rPr>
          <w:rFonts w:ascii="Arial" w:cs="Arial" w:eastAsia="Arial" w:hAnsi="Arial"/>
          <w:sz w:val="14"/>
          <w:szCs w:val="14"/>
          <w:color w:val="001446"/>
        </w:rPr>
        <w:t>If you received the Notice by mail, you will not be receiving a printed copy of the proxy materials unless you request a printed copy, currently or on an ongoing basis. If you received the Notice by mail and would like to receive a paper or email copy of the proxy materials, follow the instructions on the Notice. Stockholders who requested paper copies of the proxy materials or previously elected electronic receipt, did not receive the Notice and will receive the proxy materials in the format requested.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90170</wp:posOffset>
                </wp:positionV>
                <wp:extent cx="6532245" cy="76200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762000"/>
                        </a:xfrm>
                        <a:prstGeom prst="rect">
                          <a:avLst/>
                        </a:prstGeom>
                        <a:solidFill>
                          <a:srgbClr val="D5E8F6"/>
                        </a:solidFill>
                      </wps:spPr>
                      <wps:bodyPr/>
                    </wps:wsp>
                  </a:graphicData>
                </a:graphic>
              </wp:anchor>
            </w:drawing>
          </mc:Choice>
          <mc:Fallback>
            <w:pict>
              <v:rect id="Shape 428" o:spid="_x0000_s1453" style="position:absolute;margin-left:-0.1499pt;margin-top:7.1pt;width:514.35pt;height:6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8F6" stroked="f"/>
            </w:pict>
          </mc:Fallback>
        </mc:AlternateContent>
      </w:r>
    </w:p>
    <w:p>
      <w:pPr>
        <w:spacing w:after="0" w:line="26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0070C0"/>
        </w:rPr>
        <w:t>How You Can Access the Proxy Materials Electronically or Sign Up for Electronic Delivery</w:t>
      </w:r>
    </w:p>
    <w:p>
      <w:pPr>
        <w:spacing w:after="0" w:line="174" w:lineRule="exact"/>
        <w:rPr>
          <w:sz w:val="20"/>
          <w:szCs w:val="20"/>
          <w:color w:val="auto"/>
        </w:rPr>
      </w:pPr>
    </w:p>
    <w:p>
      <w:pPr>
        <w:ind w:left="580" w:right="620"/>
        <w:spacing w:after="0" w:line="275" w:lineRule="auto"/>
        <w:rPr>
          <w:sz w:val="20"/>
          <w:szCs w:val="20"/>
          <w:color w:val="auto"/>
        </w:rPr>
      </w:pPr>
      <w:r>
        <w:rPr>
          <w:rFonts w:ascii="Arial" w:cs="Arial" w:eastAsia="Arial" w:hAnsi="Arial"/>
          <w:sz w:val="14"/>
          <w:szCs w:val="14"/>
          <w:color w:val="001446"/>
        </w:rPr>
        <w:t xml:space="preserve">We would like to encourage stockholders to help us reduce the environmental impact of our annual meeting. This Proxy Statement and our Annual Report may be viewed online at </w:t>
      </w:r>
      <w:r>
        <w:rPr>
          <w:rFonts w:ascii="Arial" w:cs="Arial" w:eastAsia="Arial" w:hAnsi="Arial"/>
          <w:sz w:val="14"/>
          <w:szCs w:val="14"/>
          <w:u w:val="single" w:color="auto"/>
          <w:color w:val="001446"/>
        </w:rPr>
        <w:t>www.prox</w:t>
      </w:r>
      <w:r>
        <w:rPr>
          <w:rFonts w:ascii="Arial" w:cs="Arial" w:eastAsia="Arial" w:hAnsi="Arial"/>
          <w:sz w:val="14"/>
          <w:szCs w:val="14"/>
          <w:color w:val="001446"/>
        </w:rPr>
        <w:t>y</w:t>
      </w:r>
      <w:r>
        <w:rPr>
          <w:rFonts w:ascii="Arial" w:cs="Arial" w:eastAsia="Arial" w:hAnsi="Arial"/>
          <w:sz w:val="14"/>
          <w:szCs w:val="14"/>
          <w:u w:val="single" w:color="auto"/>
          <w:color w:val="001446"/>
        </w:rPr>
        <w:t>vote.com</w:t>
      </w:r>
      <w:r>
        <w:rPr>
          <w:rFonts w:ascii="Arial" w:cs="Arial" w:eastAsia="Arial" w:hAnsi="Arial"/>
          <w:sz w:val="14"/>
          <w:szCs w:val="14"/>
          <w:color w:val="001446"/>
        </w:rPr>
        <w:t>. Stockholders can also sign up to receive proxy materials electronically by visiting www.proxyvote.com.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186690</wp:posOffset>
                </wp:positionV>
                <wp:extent cx="6532245" cy="584835"/>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429" o:spid="_x0000_s1454" style="position:absolute;margin-left:-0.1499pt;margin-top:14.7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40"/>
          </w:cols>
          <w:pgMar w:left="820" w:top="1054" w:right="844"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22"/>
          <w:szCs w:val="22"/>
          <w:color w:val="001446"/>
        </w:rPr>
        <w:t>Voting Your Shares</w:t>
      </w:r>
    </w:p>
    <w:p>
      <w:pPr>
        <w:spacing w:after="0" w:line="184"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001446"/>
        </w:rPr>
        <w:t>If you are a registered holder, meaning that you hold our stock directly (not through a bank, broker or other nominee), you may vote at the Annual Meeting or in advance of the Annual Meeting by telephone or electronically via the Internet by following the instructions included in the Notice or by completing, dating and signing the proxy card and promptly returning it in the enclosed envelope if you request and receive (or previously requested and received) a hard copy of the proxy materials. All signed, returned proxies that are not revoked will be voted in accordance with the instructions contained therein. Signed proxies that give no instructions as to how they should be voted on a particular proposal at the Annual Meeting will be counted as votes “FOR” each of the nominees in Proposal No. 1, and “FOR” Proposal Nos. 2, 3, and 4.</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4"/>
          <w:szCs w:val="14"/>
          <w:color w:val="001446"/>
        </w:rPr>
        <w:t>If your shares are held through a bank, broker or other nominee, you are considered the beneficial owner of those shares. You may be able to vote by telephone or electronically through the Internet in accordance with the voting instructions provided by that nominee. You must obtain a legal proxy from bank, broker, or other nominee that holds your shares if you wish to vote in person at the Annual Meeting. If you do not provide voting instructions to your bank, broker, or other nominee in advance of the Annual Meeting, applicable rules grant your broker discretionary authority (but do not require the broker) to vote on proposals deemed to be “routine” by the New York Stock Exchange (“NYSE”) (although they are not required to do so). Banks, brokers and other nominees do not have discretionary authority to vote on “non-routine” matters. As such, “broker non- votes” occur when a person holding shares in street name does not provide instructions as to how to vote those shares and the broker lacks the authority to vote uninstructed shares at its discretion. Whether a proposal is considered “routine” or “non -routine” is subject to the NYSE rules and final determination by the stock exchange. Even with respect to discretionary matters, some brokers may choose not to exercise discretionary voting authority. As a result, we urge you to direct your broker, bank or other nominee regarding how to vote your shares on all proposals to ensure that your vote is counted.</w:t>
      </w:r>
    </w:p>
    <w:p>
      <w:pPr>
        <w:spacing w:after="0" w:line="303"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001446"/>
        </w:rPr>
        <w:t>In the event that sufficient votes in favor of the proposals are not received by the date of the Annual Meeting, the chairperson of the meeting, or the holders of the majority of the voting power of the stock present or represented by proxy at the Annual Meeting and entitled to vote thereon, shall have power to adjourn, postpone or recess the Annual Meeting to permit further solicitations of proxies.</w:t>
      </w:r>
    </w:p>
    <w:p>
      <w:pPr>
        <w:spacing w:after="0" w:line="119" w:lineRule="exact"/>
        <w:rPr>
          <w:sz w:val="20"/>
          <w:szCs w:val="20"/>
          <w:color w:val="auto"/>
        </w:rPr>
      </w:pPr>
    </w:p>
    <w:p>
      <w:pPr>
        <w:ind w:right="200"/>
        <w:spacing w:after="0" w:line="266" w:lineRule="auto"/>
        <w:rPr>
          <w:sz w:val="20"/>
          <w:szCs w:val="20"/>
          <w:color w:val="auto"/>
        </w:rPr>
      </w:pPr>
      <w:r>
        <w:rPr>
          <w:rFonts w:ascii="Arial" w:cs="Arial" w:eastAsia="Arial" w:hAnsi="Arial"/>
          <w:sz w:val="14"/>
          <w:szCs w:val="14"/>
          <w:color w:val="001446"/>
        </w:rPr>
        <w:t>The telephone and Internet voting procedures are designed to authenticate stockholders’ identities, to allow stockholders to give their voting instructions and to confirm that stockholders’ instructions have been recorded properly. Stockholders voting by telephone or Internet should understand that there may be costs associated with telephonic or electronic access, such as usage charges from telephone companies and Internet access providers, which must be borne by the stockholder.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1446"/>
        </w:rPr>
        <w:t>Expenses of Solicitation</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001446"/>
        </w:rPr>
        <w:t>The expenses of soliciting proxies to be voted at the Annual Meeting will be paid by the Company. Following the original mailing of the Notices, the proxies and other soliciting materials, as applicable, proxies may be solicited on our behalf by directors, officers or employees of the Company, without additional remuneration, in person, by telephone or by email. Morrow Sodali, LLC, was hired to assist in the distribution of proxy materials and solicitation of votes for a $25,000 fee, plus expenses. Following the original mailing of the Notice, the proxies and other soliciting materials, as applicable, the Company will request that banks, brokers and other nominees forward copies of the Notice, the proxy and other soliciting materials, as applicable,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1446"/>
        </w:rPr>
        <w:t>Revocability of Proxies</w:t>
      </w:r>
    </w:p>
    <w:p>
      <w:pPr>
        <w:spacing w:after="0" w:line="183"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001446"/>
        </w:rPr>
        <w:t>Any person submitting a proxy has the power to revoke it at any time prior to voting being concluded at the Annual Meeting. A proxy may be revoked by a writing delivered to the Company stating that the proxy is revoked, by a subsequent vote or proxy that is submitted via telephone or Internet, or by attendance at the Annual Meeting and voting in person. In order for beneficial owners to change any of your previously provided voting instructions, you must contact your bank, broker or other nominee directly.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90170</wp:posOffset>
                </wp:positionV>
                <wp:extent cx="6532245" cy="584835"/>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431" o:spid="_x0000_s1456" style="position:absolute;margin-left:-0.1499pt;margin-top:7.1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2pt"/>
            </w:pict>
          </mc:Fallback>
        </mc:AlternateContent>
      </w:r>
    </w:p>
    <w:p>
      <w:pPr>
        <w:sectPr>
          <w:pgSz w:w="11900" w:h="16840" w:orient="portrait"/>
          <w:cols w:equalWidth="0" w:num="1">
            <w:col w:w="10280"/>
          </w:cols>
          <w:pgMar w:left="820" w:top="971" w:right="804" w:bottom="1440" w:gutter="0" w:footer="0" w:header="0"/>
        </w:sectPr>
      </w:pPr>
    </w:p>
    <w:bookmarkStart w:id="218" w:name="page219"/>
    <w:bookmarkEnd w:id="218"/>
    <w:p>
      <w:pPr>
        <w:ind w:left="4"/>
        <w:spacing w:after="0"/>
        <w:rPr>
          <w:sz w:val="20"/>
          <w:szCs w:val="20"/>
          <w:color w:val="auto"/>
        </w:rPr>
      </w:pPr>
      <w:r>
        <w:rPr>
          <w:rFonts w:ascii="Arial" w:cs="Arial" w:eastAsia="Arial" w:hAnsi="Arial"/>
          <w:sz w:val="22"/>
          <w:szCs w:val="22"/>
          <w:color w:val="001446"/>
        </w:rPr>
        <w:t>Delivery of Documents to Stockholders Sharing an Address</w:t>
      </w:r>
    </w:p>
    <w:p>
      <w:pPr>
        <w:spacing w:after="0" w:line="184" w:lineRule="exact"/>
        <w:rPr>
          <w:sz w:val="20"/>
          <w:szCs w:val="20"/>
          <w:color w:val="auto"/>
        </w:rPr>
      </w:pPr>
    </w:p>
    <w:p>
      <w:pPr>
        <w:ind w:left="4" w:right="40"/>
        <w:spacing w:after="0" w:line="252" w:lineRule="auto"/>
        <w:rPr>
          <w:sz w:val="20"/>
          <w:szCs w:val="20"/>
          <w:color w:val="auto"/>
        </w:rPr>
      </w:pPr>
      <w:r>
        <w:rPr>
          <w:rFonts w:ascii="Arial" w:cs="Arial" w:eastAsia="Arial" w:hAnsi="Arial"/>
          <w:sz w:val="14"/>
          <w:szCs w:val="14"/>
          <w:color w:val="001446"/>
        </w:rPr>
        <w:t>Some banks, brokers and other nominee record holders may have adopted a procedure approved by the Securities and Exchange Commission (“SEC”) called “householding” under which multiple stockholders who share the same address will receive only one copy of the Notice, Annual Report or Proxy Statement, as applicable. We will promptly deliver a separate copy of the Notice, Annual Report or the proxy materials, as applicable, to you if you notify us by telephone at 972</w:t>
      </w:r>
    </w:p>
    <w:p>
      <w:pPr>
        <w:spacing w:after="0" w:line="1" w:lineRule="exact"/>
        <w:rPr>
          <w:sz w:val="20"/>
          <w:szCs w:val="20"/>
          <w:color w:val="auto"/>
        </w:rPr>
      </w:pPr>
    </w:p>
    <w:p>
      <w:pPr>
        <w:ind w:left="4" w:right="60" w:hanging="4"/>
        <w:spacing w:after="0" w:line="261" w:lineRule="auto"/>
        <w:tabs>
          <w:tab w:leader="none" w:pos="220" w:val="left"/>
        </w:tabs>
        <w:numPr>
          <w:ilvl w:val="0"/>
          <w:numId w:val="131"/>
        </w:numPr>
        <w:rPr>
          <w:rFonts w:ascii="Arial" w:cs="Arial" w:eastAsia="Arial" w:hAnsi="Arial"/>
          <w:sz w:val="14"/>
          <w:szCs w:val="14"/>
          <w:color w:val="001446"/>
        </w:rPr>
      </w:pPr>
      <w:r>
        <w:rPr>
          <w:rFonts w:ascii="Arial" w:cs="Arial" w:eastAsia="Arial" w:hAnsi="Arial"/>
          <w:sz w:val="14"/>
          <w:szCs w:val="14"/>
          <w:color w:val="001446"/>
        </w:rPr>
        <w:t xml:space="preserve">957-6620, by mail at SolarEdge Technologies, Inc. at, 1 HaMada Street, Herziliya Pituach 4673335, Israel, or by email at </w:t>
      </w:r>
      <w:r>
        <w:rPr>
          <w:rFonts w:ascii="Arial" w:cs="Arial" w:eastAsia="Arial" w:hAnsi="Arial"/>
          <w:sz w:val="14"/>
          <w:szCs w:val="14"/>
          <w:u w:val="single" w:color="auto"/>
          <w:color w:val="001446"/>
        </w:rPr>
        <w:t>investors</w:t>
      </w:r>
      <w:r>
        <w:rPr>
          <w:rFonts w:ascii="Arial" w:cs="Arial" w:eastAsia="Arial" w:hAnsi="Arial"/>
          <w:sz w:val="14"/>
          <w:szCs w:val="14"/>
          <w:color w:val="001446"/>
        </w:rPr>
        <w:t>@</w:t>
      </w:r>
      <w:r>
        <w:rPr>
          <w:rFonts w:ascii="Arial" w:cs="Arial" w:eastAsia="Arial" w:hAnsi="Arial"/>
          <w:sz w:val="14"/>
          <w:szCs w:val="14"/>
          <w:u w:val="single" w:color="auto"/>
          <w:color w:val="001446"/>
        </w:rPr>
        <w:t>solared</w:t>
      </w:r>
      <w:r>
        <w:rPr>
          <w:rFonts w:ascii="Arial" w:cs="Arial" w:eastAsia="Arial" w:hAnsi="Arial"/>
          <w:sz w:val="14"/>
          <w:szCs w:val="14"/>
          <w:color w:val="001446"/>
        </w:rPr>
        <w:t>g</w:t>
      </w:r>
      <w:r>
        <w:rPr>
          <w:rFonts w:ascii="Arial" w:cs="Arial" w:eastAsia="Arial" w:hAnsi="Arial"/>
          <w:sz w:val="14"/>
          <w:szCs w:val="14"/>
          <w:u w:val="single" w:color="auto"/>
          <w:color w:val="001446"/>
        </w:rPr>
        <w:t>e.com</w:t>
      </w:r>
      <w:r>
        <w:rPr>
          <w:rFonts w:ascii="Arial" w:cs="Arial" w:eastAsia="Arial" w:hAnsi="Arial"/>
          <w:sz w:val="14"/>
          <w:szCs w:val="14"/>
          <w:color w:val="001446"/>
        </w:rPr>
        <w:t>. You also may request additional copies of the Notice or the proxy materials, or for stockholders sharing an address that are currently receiving multiple copies, request a single copy of the Notice, Annual Report, or proxy materials, by notifying us in writing or by telephone at the same address, email address, or telephone number. Stockholders with shares registered in the name of a brokerage firm or bank should contact their brokerage firm or bank to request information about householding or to opt in or out of householding.</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2"/>
          <w:szCs w:val="22"/>
          <w:color w:val="001446"/>
        </w:rPr>
        <w:t>DELINQUENT SECTION 16(a) REPORTS</w:t>
      </w:r>
    </w:p>
    <w:p>
      <w:pPr>
        <w:spacing w:after="0" w:line="183" w:lineRule="exact"/>
        <w:rPr>
          <w:sz w:val="20"/>
          <w:szCs w:val="20"/>
          <w:color w:val="auto"/>
        </w:rPr>
      </w:pPr>
    </w:p>
    <w:p>
      <w:pPr>
        <w:ind w:left="4" w:right="180"/>
        <w:spacing w:after="0" w:line="266" w:lineRule="auto"/>
        <w:rPr>
          <w:sz w:val="20"/>
          <w:szCs w:val="20"/>
          <w:color w:val="auto"/>
        </w:rPr>
      </w:pPr>
      <w:r>
        <w:rPr>
          <w:rFonts w:ascii="Arial" w:cs="Arial" w:eastAsia="Arial" w:hAnsi="Arial"/>
          <w:sz w:val="14"/>
          <w:szCs w:val="14"/>
          <w:color w:val="001446"/>
        </w:rPr>
        <w:t>Section 16(a) of the Exchange Act and SEC rules require our directors, executive officers, and persons who own more than 10% of any class of our common stock to file reports of their ownership and changes in ownership of our common stock with the SEC. Based solely on our review of the reports filed during the year ended December 31, 2025, we determined that all required reports have been properly and timely filed other than one Form 3 for Mr. Huber disclosing his initial shareholdings that was not timely filed due to an administrative error. The Company continues to take measures to prevent delays in filings in the future.</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22"/>
          <w:szCs w:val="22"/>
          <w:color w:val="001446"/>
        </w:rPr>
        <w:t>Stockholder Proposals for the 2027 Annual Meeting</w:t>
      </w:r>
    </w:p>
    <w:p>
      <w:pPr>
        <w:spacing w:after="0" w:line="183" w:lineRule="exact"/>
        <w:rPr>
          <w:sz w:val="20"/>
          <w:szCs w:val="20"/>
          <w:color w:val="auto"/>
        </w:rPr>
      </w:pPr>
    </w:p>
    <w:p>
      <w:pPr>
        <w:ind w:left="4" w:right="100"/>
        <w:spacing w:after="0" w:line="266" w:lineRule="auto"/>
        <w:rPr>
          <w:sz w:val="20"/>
          <w:szCs w:val="20"/>
          <w:color w:val="auto"/>
        </w:rPr>
      </w:pPr>
      <w:r>
        <w:rPr>
          <w:rFonts w:ascii="Arial" w:cs="Arial" w:eastAsia="Arial" w:hAnsi="Arial"/>
          <w:sz w:val="14"/>
          <w:szCs w:val="14"/>
          <w:b w:val="1"/>
          <w:bCs w:val="1"/>
          <w:i w:val="1"/>
          <w:iCs w:val="1"/>
          <w:color w:val="2E90D6"/>
        </w:rPr>
        <w:t xml:space="preserve">Rule 14a-8 Proposals. </w:t>
      </w:r>
      <w:r>
        <w:rPr>
          <w:rFonts w:ascii="Arial" w:cs="Arial" w:eastAsia="Arial" w:hAnsi="Arial"/>
          <w:sz w:val="14"/>
          <w:szCs w:val="14"/>
          <w:color w:val="001446"/>
        </w:rPr>
        <w:t>Stockholder proposals for inclusion under Rule 14a-8 in the Company’s 2027 proxy statement for the proxy relating to our 2027 annual</w:t>
      </w:r>
      <w:r>
        <w:rPr>
          <w:rFonts w:ascii="Arial" w:cs="Arial" w:eastAsia="Arial" w:hAnsi="Arial"/>
          <w:sz w:val="14"/>
          <w:szCs w:val="14"/>
          <w:b w:val="1"/>
          <w:bCs w:val="1"/>
          <w:i w:val="1"/>
          <w:iCs w:val="1"/>
          <w:color w:val="2E90D6"/>
        </w:rPr>
        <w:t xml:space="preserve"> </w:t>
      </w:r>
      <w:r>
        <w:rPr>
          <w:rFonts w:ascii="Arial" w:cs="Arial" w:eastAsia="Arial" w:hAnsi="Arial"/>
          <w:sz w:val="14"/>
          <w:szCs w:val="14"/>
          <w:color w:val="001446"/>
        </w:rPr>
        <w:t>meeting of stockholders (the “2027 Annual Meeting”) must be received by the Company at the principal executive offices of the Company no later than the close of business on December 24, 2026. Such proposals also must comply with the other rules of the Securities and Exchange Commission relating to Rule 14a-8 stockholders’ proposals.</w:t>
      </w:r>
    </w:p>
    <w:p>
      <w:pPr>
        <w:spacing w:after="0" w:line="126" w:lineRule="exact"/>
        <w:rPr>
          <w:sz w:val="20"/>
          <w:szCs w:val="20"/>
          <w:color w:val="auto"/>
        </w:rPr>
      </w:pPr>
    </w:p>
    <w:p>
      <w:pPr>
        <w:ind w:left="4" w:right="60"/>
        <w:spacing w:after="0" w:line="262" w:lineRule="auto"/>
        <w:rPr>
          <w:sz w:val="20"/>
          <w:szCs w:val="20"/>
          <w:color w:val="auto"/>
        </w:rPr>
      </w:pPr>
      <w:r>
        <w:rPr>
          <w:rFonts w:ascii="Arial" w:cs="Arial" w:eastAsia="Arial" w:hAnsi="Arial"/>
          <w:sz w:val="14"/>
          <w:szCs w:val="14"/>
          <w:color w:val="001446"/>
        </w:rPr>
        <w:t>Advance Notice Proposals and Nominations. In addition, any stockholder seeking to bring business before the 2027 Annual Meeting outside of Rule 14a-8 of the Exchange Act or to nominate a director under the advance notice provisions of our Amended and Restated Bylaws (the “Bylaws”) must provide timely notice of such proposal of business or nomination to the Company’s Corporate Secretary. Specifically, written notice of any such proposed business or nomination (including information required under Rule 14a -19) must be delivered to the Company’s Corporate Secretary at our principal executive offices no earlier than the close of business on February 3, 2027 and no later than the close of business March 5, 2027.</w:t>
      </w:r>
    </w:p>
    <w:p>
      <w:pPr>
        <w:spacing w:after="0" w:line="129" w:lineRule="exact"/>
        <w:rPr>
          <w:sz w:val="20"/>
          <w:szCs w:val="20"/>
          <w:color w:val="auto"/>
        </w:rPr>
      </w:pPr>
    </w:p>
    <w:p>
      <w:pPr>
        <w:ind w:left="4"/>
        <w:spacing w:after="0" w:line="266" w:lineRule="auto"/>
        <w:rPr>
          <w:sz w:val="20"/>
          <w:szCs w:val="20"/>
          <w:color w:val="auto"/>
        </w:rPr>
      </w:pPr>
      <w:r>
        <w:rPr>
          <w:rFonts w:ascii="Arial" w:cs="Arial" w:eastAsia="Arial" w:hAnsi="Arial"/>
          <w:sz w:val="14"/>
          <w:szCs w:val="14"/>
          <w:color w:val="001446"/>
        </w:rPr>
        <w:t>In the event that the date of our 2027 Annual Meeting is more than 30 days before or more than 30 days after the anniversary date of our 2026 Annual Meeting of Stockholders, timely notice by the stockholder must be so delivered not earlier than the close of business on the 120th day prior to the 2027 annual meeting and not later than the close of business on the later of the 90th day prior to the 2027 annual meeting or the 10th day following the date on which public announcement of the date of such meeting is first made by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90170</wp:posOffset>
                </wp:positionV>
                <wp:extent cx="6532880" cy="584835"/>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835"/>
                        </a:xfrm>
                        <a:prstGeom prst="rect">
                          <a:avLst/>
                        </a:prstGeom>
                        <a:solidFill>
                          <a:srgbClr val="00082E"/>
                        </a:solidFill>
                      </wps:spPr>
                      <wps:bodyPr/>
                    </wps:wsp>
                  </a:graphicData>
                </a:graphic>
              </wp:anchor>
            </w:drawing>
          </mc:Choice>
          <mc:Fallback>
            <w:pict>
              <v:rect id="Shape 433" o:spid="_x0000_s1458" style="position:absolute;margin-left:0pt;margin-top:7.1pt;width:514.4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73" w:lineRule="exact"/>
        <w:rPr>
          <w:sz w:val="20"/>
          <w:szCs w:val="20"/>
          <w:color w:val="auto"/>
        </w:rPr>
      </w:pPr>
    </w:p>
    <w:p>
      <w:pPr>
        <w:ind w:left="624"/>
        <w:spacing w:after="0"/>
        <w:rPr>
          <w:sz w:val="20"/>
          <w:szCs w:val="20"/>
          <w:color w:val="auto"/>
        </w:rPr>
      </w:pPr>
      <w:r>
        <w:rPr>
          <w:rFonts w:ascii="Arial" w:cs="Arial" w:eastAsia="Arial" w:hAnsi="Arial"/>
          <w:sz w:val="16"/>
          <w:szCs w:val="16"/>
          <w:color w:val="FFFFFF"/>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432435</wp:posOffset>
                </wp:positionV>
                <wp:extent cx="653224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05pt" to="514.35pt,34.05pt" o:allowincell="f" strokecolor="#000000" strokeweight="1.62pt"/>
            </w:pict>
          </mc:Fallback>
        </mc:AlternateContent>
      </w:r>
    </w:p>
    <w:p>
      <w:pPr>
        <w:sectPr>
          <w:pgSz w:w="11900" w:h="16840" w:orient="portrait"/>
          <w:cols w:equalWidth="0" w:num="1">
            <w:col w:w="10264"/>
          </w:cols>
          <w:pgMar w:left="816" w:top="971" w:right="824" w:bottom="1440" w:gutter="0" w:footer="0" w:header="0"/>
        </w:sectPr>
      </w:pPr>
    </w:p>
    <w:bookmarkStart w:id="219" w:name="page220"/>
    <w:bookmarkEnd w:id="219"/>
    <w:p>
      <w:pPr>
        <w:ind w:right="60"/>
        <w:spacing w:after="0" w:line="266" w:lineRule="auto"/>
        <w:rPr>
          <w:sz w:val="20"/>
          <w:szCs w:val="20"/>
          <w:color w:val="auto"/>
        </w:rPr>
      </w:pPr>
      <w:r>
        <w:rPr>
          <w:rFonts w:ascii="Arial" w:cs="Arial" w:eastAsia="Arial" w:hAnsi="Arial"/>
          <w:sz w:val="14"/>
          <w:szCs w:val="14"/>
          <w:color w:val="001446"/>
        </w:rPr>
        <w:t>A stockholder’s notice to the Corporate Secretary of the Company must be in proper written form and must include the information and consents required by our Bylaws (including information required under Rule 14a-19) related to the stockholder giving the notice, the beneficial owner (if any) on whose behalf the nomination or proposal is made, and each person whom the stockholder proposes to nominate for election as a director, or the business desired to be brought before the meeting.</w:t>
      </w:r>
    </w:p>
    <w:p>
      <w:pPr>
        <w:spacing w:after="0" w:line="126" w:lineRule="exact"/>
        <w:rPr>
          <w:sz w:val="20"/>
          <w:szCs w:val="20"/>
          <w:color w:val="auto"/>
        </w:rPr>
      </w:pPr>
    </w:p>
    <w:p>
      <w:pPr>
        <w:ind w:right="440"/>
        <w:spacing w:after="0" w:line="299" w:lineRule="auto"/>
        <w:rPr>
          <w:sz w:val="20"/>
          <w:szCs w:val="20"/>
          <w:color w:val="auto"/>
        </w:rPr>
      </w:pPr>
      <w:r>
        <w:rPr>
          <w:rFonts w:ascii="Arial" w:cs="Arial" w:eastAsia="Arial" w:hAnsi="Arial"/>
          <w:sz w:val="14"/>
          <w:szCs w:val="14"/>
          <w:color w:val="001446"/>
        </w:rPr>
        <w:t>A copy of the full text of the Bylaw provisions discussed above may be obtained by writing to the Corporate Secretary of the Company at 1 HaMada Street Herziliya Pituach, Israel, 4673335.</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001446"/>
        </w:rPr>
        <w:t>Directors’ Attendance At Annual Stockholder Meetings</w:t>
      </w:r>
    </w:p>
    <w:p>
      <w:pPr>
        <w:spacing w:after="0" w:line="184"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color w:val="001446"/>
        </w:rPr>
        <w:t>The Company encourages members of its Board to attend its annual stockholder meetings. One member of the Company’s Board then serving, attended the Company’s 2025 annual stockholder meeting.</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001446"/>
        </w:rPr>
        <w:t>Other Business</w:t>
      </w:r>
    </w:p>
    <w:p>
      <w:pPr>
        <w:spacing w:after="0" w:line="183" w:lineRule="exact"/>
        <w:rPr>
          <w:sz w:val="20"/>
          <w:szCs w:val="20"/>
          <w:color w:val="auto"/>
        </w:rPr>
      </w:pPr>
    </w:p>
    <w:p>
      <w:pPr>
        <w:ind w:right="180"/>
        <w:spacing w:after="0" w:line="275" w:lineRule="auto"/>
        <w:rPr>
          <w:sz w:val="20"/>
          <w:szCs w:val="20"/>
          <w:color w:val="auto"/>
        </w:rPr>
      </w:pPr>
      <w:r>
        <w:rPr>
          <w:rFonts w:ascii="Arial" w:cs="Arial" w:eastAsia="Arial" w:hAnsi="Arial"/>
          <w:sz w:val="14"/>
          <w:szCs w:val="14"/>
          <w:color w:val="001446"/>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however, it is intended that proxies will be voted in respect thereof in accordance with the judgment of the persons voting such proxies.</w:t>
      </w:r>
    </w:p>
    <w:p>
      <w:pPr>
        <w:spacing w:after="0" w:line="125"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001446"/>
        </w:rPr>
        <w:t xml:space="preserve">Whether or not you expect to attend the meeting, please vote by telephone or via the Internet or by completing, dating, signing, and promptly returning the proxy card if you request and receive (or requested and received) a form of proxy, so that your shares may be represented at the meeting. Directions to the Annual Meeting can be obtained by contacting our Investor Relations department at </w:t>
      </w:r>
      <w:r>
        <w:rPr>
          <w:rFonts w:ascii="Arial" w:cs="Arial" w:eastAsia="Arial" w:hAnsi="Arial"/>
          <w:sz w:val="14"/>
          <w:szCs w:val="14"/>
          <w:u w:val="single" w:color="auto"/>
          <w:color w:val="001446"/>
        </w:rPr>
        <w:t>investors</w:t>
      </w:r>
      <w:r>
        <w:rPr>
          <w:rFonts w:ascii="Arial" w:cs="Arial" w:eastAsia="Arial" w:hAnsi="Arial"/>
          <w:sz w:val="14"/>
          <w:szCs w:val="14"/>
          <w:color w:val="001446"/>
        </w:rPr>
        <w:t>@</w:t>
      </w:r>
      <w:r>
        <w:rPr>
          <w:rFonts w:ascii="Arial" w:cs="Arial" w:eastAsia="Arial" w:hAnsi="Arial"/>
          <w:sz w:val="14"/>
          <w:szCs w:val="14"/>
          <w:u w:val="single" w:color="auto"/>
          <w:color w:val="001446"/>
        </w:rPr>
        <w:t>solared</w:t>
      </w:r>
      <w:r>
        <w:rPr>
          <w:rFonts w:ascii="Arial" w:cs="Arial" w:eastAsia="Arial" w:hAnsi="Arial"/>
          <w:sz w:val="14"/>
          <w:szCs w:val="14"/>
          <w:color w:val="001446"/>
        </w:rPr>
        <w:t>g</w:t>
      </w:r>
      <w:r>
        <w:rPr>
          <w:rFonts w:ascii="Arial" w:cs="Arial" w:eastAsia="Arial" w:hAnsi="Arial"/>
          <w:sz w:val="14"/>
          <w:szCs w:val="14"/>
          <w:u w:val="single" w:color="auto"/>
          <w:color w:val="001446"/>
        </w:rPr>
        <w:t>e.com</w:t>
      </w:r>
      <w:r>
        <w:rPr>
          <w:rFonts w:ascii="Arial" w:cs="Arial" w:eastAsia="Arial" w:hAnsi="Arial"/>
          <w:sz w:val="14"/>
          <w:szCs w:val="14"/>
          <w:color w:val="001446"/>
        </w:rPr>
        <w: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Where You Can Find More Information</w:t>
      </w:r>
    </w:p>
    <w:p>
      <w:pPr>
        <w:spacing w:after="0" w:line="183" w:lineRule="exact"/>
        <w:rPr>
          <w:sz w:val="20"/>
          <w:szCs w:val="20"/>
          <w:color w:val="auto"/>
        </w:rPr>
      </w:pPr>
    </w:p>
    <w:p>
      <w:pPr>
        <w:ind w:right="360"/>
        <w:spacing w:after="0" w:line="299" w:lineRule="auto"/>
        <w:rPr>
          <w:sz w:val="20"/>
          <w:szCs w:val="20"/>
          <w:color w:val="auto"/>
        </w:rPr>
      </w:pPr>
      <w:r>
        <w:rPr>
          <w:rFonts w:ascii="Arial" w:cs="Arial" w:eastAsia="Arial" w:hAnsi="Arial"/>
          <w:sz w:val="14"/>
          <w:szCs w:val="14"/>
          <w:color w:val="001446"/>
        </w:rPr>
        <w:t>The Company files annual, quarterly, and current reports, proxy statements, and other information with the Securities and Exchange Commission under the Securities Exchange Act of 1934, as amended.</w:t>
      </w:r>
    </w:p>
    <w:p>
      <w:pPr>
        <w:spacing w:after="0" w:line="103"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001446"/>
        </w:rPr>
        <w:t xml:space="preserve">We make available free of charge on or through our website,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Arial" w:cs="Arial" w:eastAsia="Arial" w:hAnsi="Arial"/>
          <w:sz w:val="14"/>
          <w:szCs w:val="14"/>
          <w:u w:val="single" w:color="auto"/>
          <w:color w:val="001446"/>
        </w:rPr>
        <w:t>www.sec.</w:t>
      </w:r>
      <w:r>
        <w:rPr>
          <w:rFonts w:ascii="Arial" w:cs="Arial" w:eastAsia="Arial" w:hAnsi="Arial"/>
          <w:sz w:val="14"/>
          <w:szCs w:val="14"/>
          <w:color w:val="001446"/>
        </w:rPr>
        <w:t>g</w:t>
      </w:r>
      <w:r>
        <w:rPr>
          <w:rFonts w:ascii="Arial" w:cs="Arial" w:eastAsia="Arial" w:hAnsi="Arial"/>
          <w:sz w:val="14"/>
          <w:szCs w:val="14"/>
          <w:u w:val="single" w:color="auto"/>
          <w:color w:val="001446"/>
        </w:rPr>
        <w:t>ov</w:t>
      </w:r>
      <w:r>
        <w:rPr>
          <w:rFonts w:ascii="Arial" w:cs="Arial" w:eastAsia="Arial" w:hAnsi="Arial"/>
          <w:sz w:val="14"/>
          <w:szCs w:val="14"/>
          <w:color w:val="001446"/>
        </w:rPr>
        <w:t>, also contains reports, proxy statements, and other information about issuers, like us, who file electronically with the SEC.</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color w:val="001446"/>
        </w:rPr>
        <w:t xml:space="preserve">WE WILL PROVIDE, WITHOUT CHARGE, ON THE WRITTEN REQUEST OF ANY STOCKHOLDER, A COPY OF OUR ANNUAL REPORT ON FORM 10-K FOR THE YEAR ENDED DECEMBER 31, 2025, INCLUDING THE FINANCIAL STATEMENTS AND THE FINANCIAL STATEMENT SCHEDULES REQUIRED TO BE FILED WITH THE SEC PURSUANT TO RULE 13A-1. STOCKHOLDERS SHOULD DIRECT SUCH REQUESTS TO THE COMPANY’S SECRETARY AT SOLAREDGE TECHNOLOGIES, INC., 1 HAMADA STREET, HERZILIYA PITUACH, ISRAEL, 4673335, OR BY EMAIL AT </w:t>
      </w:r>
      <w:r>
        <w:rPr>
          <w:rFonts w:ascii="Arial" w:cs="Arial" w:eastAsia="Arial" w:hAnsi="Arial"/>
          <w:sz w:val="14"/>
          <w:szCs w:val="14"/>
          <w:b w:val="1"/>
          <w:bCs w:val="1"/>
          <w:u w:val="single" w:color="auto"/>
          <w:color w:val="001446"/>
        </w:rPr>
        <w:t>INVESTORS</w:t>
      </w:r>
      <w:r>
        <w:rPr>
          <w:rFonts w:ascii="Arial" w:cs="Arial" w:eastAsia="Arial" w:hAnsi="Arial"/>
          <w:sz w:val="14"/>
          <w:szCs w:val="14"/>
          <w:b w:val="1"/>
          <w:bCs w:val="1"/>
          <w:color w:val="001446"/>
        </w:rPr>
        <w:t>@</w:t>
      </w:r>
      <w:r>
        <w:rPr>
          <w:rFonts w:ascii="Arial" w:cs="Arial" w:eastAsia="Arial" w:hAnsi="Arial"/>
          <w:sz w:val="14"/>
          <w:szCs w:val="14"/>
          <w:b w:val="1"/>
          <w:bCs w:val="1"/>
          <w:u w:val="single" w:color="auto"/>
          <w:color w:val="001446"/>
        </w:rPr>
        <w:t>SOLAREDGE.COM</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194310</wp:posOffset>
                </wp:positionV>
                <wp:extent cx="6532245" cy="584835"/>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835"/>
                        </a:xfrm>
                        <a:prstGeom prst="rect">
                          <a:avLst/>
                        </a:prstGeom>
                        <a:solidFill>
                          <a:srgbClr val="00082E"/>
                        </a:solidFill>
                      </wps:spPr>
                      <wps:bodyPr/>
                    </wps:wsp>
                  </a:graphicData>
                </a:graphic>
              </wp:anchor>
            </w:drawing>
          </mc:Choice>
          <mc:Fallback>
            <w:pict>
              <v:rect id="Shape 435" o:spid="_x0000_s1460" style="position:absolute;margin-left:-0.1499pt;margin-top:15.3pt;width:514.35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4">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2pt"/>
            </w:pict>
          </mc:Fallback>
        </mc:AlternateContent>
      </w:r>
    </w:p>
    <w:p>
      <w:pPr>
        <w:sectPr>
          <w:pgSz w:w="11900" w:h="16840" w:orient="portrait"/>
          <w:cols w:equalWidth="0" w:num="1">
            <w:col w:w="10220"/>
          </w:cols>
          <w:pgMar w:left="820" w:top="983" w:right="864"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b w:val="1"/>
          <w:bCs w:val="1"/>
          <w:color w:val="2E90D6"/>
        </w:rPr>
        <w:t>APPENDIX A</w:t>
      </w:r>
    </w:p>
    <w:p>
      <w:pPr>
        <w:spacing w:after="0" w:line="18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001446"/>
        </w:rPr>
        <w:t>To provide investors and others with additional information regarding SolarEdge’s results, SolarEdge has disclosed in this proxy statement non-GAAP net income (loss) and net diluted income (loss) per share, which are non-GAAP financial measures. SolarEdge has provided a reconciliation of these non-GAAP financial measures to the most directly comparable GAAP financial measures below.</w:t>
      </w:r>
    </w:p>
    <w:p>
      <w:pPr>
        <w:spacing w:after="0" w:line="13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001446"/>
        </w:rPr>
        <w:t>SolarEdge’s management uses these non-GAAP financial measures to understand and compare operating results across accounting periods, for internal budgeting and forecasting purposes, for short- and long-term operating plans, to calculate bonus payments and to evaluate SolarEdge’s financial performance, the performance of its individual functional groups and the ability of operations to generate cash. Management believes these non-GAAP financial measures reflect SolarEdge’s ongoing business in a manner that allows for meaningful period-to-period comparisons and analysis of trends in SolarEdge’s business, as it excludes charges and gains that are not reflective of ongoing operating results. Management also believes that these non-GAAP financial measures provide useful information to investors and others in understanding and evaluating SolarEdge’s operating results and future prospects from the same perspective as management and in comparing financial results across accounting periods.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99060</wp:posOffset>
                </wp:positionV>
                <wp:extent cx="6532245"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7">
                          <a:solidFill>
                            <a:srgbClr val="78BAE6"/>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8pt" to="514.15pt,7.8pt" o:allowincell="f" strokecolor="#78BAE6" strokeweight="0.8399pt"/>
            </w:pict>
          </mc:Fallback>
        </mc:AlternateContent>
      </w:r>
    </w:p>
    <w:p>
      <w:pPr>
        <w:spacing w:after="0" w:line="141" w:lineRule="exact"/>
        <w:rPr>
          <w:sz w:val="20"/>
          <w:szCs w:val="20"/>
          <w:color w:val="auto"/>
        </w:rPr>
      </w:pPr>
    </w:p>
    <w:p>
      <w:pPr>
        <w:ind w:right="3780"/>
        <w:spacing w:after="0" w:line="317" w:lineRule="auto"/>
        <w:rPr>
          <w:sz w:val="20"/>
          <w:szCs w:val="20"/>
          <w:color w:val="auto"/>
        </w:rPr>
      </w:pPr>
      <w:r>
        <w:rPr>
          <w:rFonts w:ascii="Arial" w:cs="Arial" w:eastAsia="Arial" w:hAnsi="Arial"/>
          <w:sz w:val="14"/>
          <w:szCs w:val="14"/>
          <w:b w:val="1"/>
          <w:bCs w:val="1"/>
          <w:color w:val="001346"/>
        </w:rPr>
        <w:t>Reconciliation of GAAP Net Income and Diluted EPS to Non-GAAP Net Income and Diluted EPS U.S. dollars in thousands (except share and per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-28575</wp:posOffset>
                </wp:positionV>
                <wp:extent cx="6532245"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78BAE6"/>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2499pt" to="514.15pt,-2.2499pt" o:allowincell="f" strokecolor="#78BAE6" strokeweight="0.8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92710</wp:posOffset>
                </wp:positionV>
                <wp:extent cx="6532245" cy="46736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67360"/>
                        </a:xfrm>
                        <a:prstGeom prst="rect">
                          <a:avLst/>
                        </a:prstGeom>
                        <a:solidFill>
                          <a:srgbClr val="001446"/>
                        </a:solidFill>
                      </wps:spPr>
                      <wps:bodyPr/>
                    </wps:wsp>
                  </a:graphicData>
                </a:graphic>
              </wp:anchor>
            </w:drawing>
          </mc:Choice>
          <mc:Fallback>
            <w:pict>
              <v:rect id="Shape 439" o:spid="_x0000_s1464" style="position:absolute;margin-left:-0.1999pt;margin-top:7.3pt;width:514.35pt;height:3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46" stroked="f"/>
            </w:pict>
          </mc:Fallback>
        </mc:AlternateContent>
      </w:r>
    </w:p>
    <w:p>
      <w:pPr>
        <w:spacing w:after="0" w:line="189" w:lineRule="exact"/>
        <w:rPr>
          <w:sz w:val="20"/>
          <w:szCs w:val="20"/>
          <w:color w:val="auto"/>
        </w:rPr>
      </w:pPr>
    </w:p>
    <w:p>
      <w:pPr>
        <w:ind w:left="7400"/>
        <w:spacing w:after="0"/>
        <w:rPr>
          <w:sz w:val="20"/>
          <w:szCs w:val="20"/>
          <w:color w:val="auto"/>
        </w:rPr>
      </w:pPr>
      <w:r>
        <w:rPr>
          <w:rFonts w:ascii="Arial" w:cs="Arial" w:eastAsia="Arial" w:hAnsi="Arial"/>
          <w:sz w:val="13"/>
          <w:szCs w:val="13"/>
          <w:b w:val="1"/>
          <w:bCs w:val="1"/>
          <w:color w:val="FFFFFF"/>
        </w:rPr>
        <w:t>Reconciliation of GAAP to non-GAAP</w:t>
      </w:r>
    </w:p>
    <w:p>
      <w:pPr>
        <w:spacing w:after="0" w:line="139" w:lineRule="exact"/>
        <w:rPr>
          <w:sz w:val="20"/>
          <w:szCs w:val="20"/>
          <w:color w:val="auto"/>
        </w:rPr>
      </w:pPr>
    </w:p>
    <w:p>
      <w:pPr>
        <w:ind w:left="7400"/>
        <w:spacing w:after="0"/>
        <w:rPr>
          <w:sz w:val="20"/>
          <w:szCs w:val="20"/>
          <w:color w:val="auto"/>
        </w:rPr>
      </w:pPr>
      <w:r>
        <w:rPr>
          <w:rFonts w:ascii="Arial" w:cs="Arial" w:eastAsia="Arial" w:hAnsi="Arial"/>
          <w:sz w:val="13"/>
          <w:szCs w:val="13"/>
          <w:b w:val="1"/>
          <w:bCs w:val="1"/>
          <w:color w:val="FFFFFF"/>
        </w:rPr>
        <w:t>Net income Year ended December 31,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tcPr>
          <w:p>
            <w:pPr>
              <w:ind w:left="7520"/>
              <w:spacing w:after="0"/>
              <w:rPr>
                <w:sz w:val="20"/>
                <w:szCs w:val="20"/>
                <w:color w:val="auto"/>
              </w:rPr>
            </w:pPr>
            <w:r>
              <w:rPr>
                <w:rFonts w:ascii="Arial" w:cs="Arial" w:eastAsia="Arial" w:hAnsi="Arial"/>
                <w:sz w:val="13"/>
                <w:szCs w:val="13"/>
                <w:color w:val="FFFFFF"/>
                <w:w w:val="96"/>
              </w:rPr>
              <w:t>2025</w:t>
            </w:r>
          </w:p>
        </w:tc>
        <w:tc>
          <w:tcPr>
            <w:tcW w:w="1040" w:type="dxa"/>
            <w:vAlign w:val="bottom"/>
          </w:tcPr>
          <w:p>
            <w:pPr>
              <w:spacing w:after="0"/>
              <w:rPr>
                <w:sz w:val="13"/>
                <w:szCs w:val="13"/>
                <w:color w:val="auto"/>
              </w:rPr>
            </w:pPr>
          </w:p>
        </w:tc>
        <w:tc>
          <w:tcPr>
            <w:tcW w:w="1420" w:type="dxa"/>
            <w:vAlign w:val="bottom"/>
          </w:tcPr>
          <w:p>
            <w:pPr>
              <w:jc w:val="right"/>
              <w:ind w:right="656"/>
              <w:spacing w:after="0"/>
              <w:rPr>
                <w:sz w:val="20"/>
                <w:szCs w:val="20"/>
                <w:color w:val="auto"/>
              </w:rPr>
            </w:pPr>
            <w:r>
              <w:rPr>
                <w:rFonts w:ascii="Arial" w:cs="Arial" w:eastAsia="Arial" w:hAnsi="Arial"/>
                <w:sz w:val="13"/>
                <w:szCs w:val="13"/>
                <w:color w:val="FFFFFF"/>
              </w:rPr>
              <w:t>2024</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b w:val="1"/>
                <w:bCs w:val="1"/>
                <w:color w:val="auto"/>
              </w:rPr>
              <w:t>Net income (loss) (GAAP)</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w w:val="95"/>
              </w:rPr>
              <w:t>$(405,448)</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$(1,806,357)</w:t>
            </w:r>
          </w:p>
        </w:tc>
      </w:tr>
      <w:tr>
        <w:trPr>
          <w:trHeight w:val="28"/>
        </w:trPr>
        <w:tc>
          <w:tcPr>
            <w:tcW w:w="7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Revenues from finance component</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(1,375)</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(984)</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Discontinued operation</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17,101</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28,214</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Stock-based compensation</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92,545</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137,251</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Amortization of stock-based compensation capitalized in inventories</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2,701</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3,138</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Amortization and depreciation of acquired assets</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2,742</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8,017</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Restructuring charges</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5,144</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20,934</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Assets impairment and disposal by abandonment</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5,998</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251,823</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Loss (gain) from assets sales</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23,721</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5,746</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Certain litigation and other contingencies</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(399)</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Acquisition costs</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9</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Non cash interest expense</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17,259</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14,877</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CTA reclassification upon liquidation of a foreign subsidiary</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59,520</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One-time foreign exchange impact from VAT settlement agreement</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10,963</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Currency fluctuation related to lease standard</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10,430</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(744)</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Loss (gain) from sale of equity and debt investments</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(2)</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(2,966)</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Loss (gain) from business combination</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(1,125)</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Gain from the repurchase of convertible notes</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(146)</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(15,456)</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Gain From sale of private held companies</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(3,862)</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w:t>
            </w:r>
          </w:p>
        </w:tc>
      </w:tr>
      <w:tr>
        <w:trPr>
          <w:trHeight w:val="20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Loss from impairment of private held companies</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21,438</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5,000</w:t>
            </w:r>
          </w:p>
        </w:tc>
      </w:tr>
      <w:tr>
        <w:trPr>
          <w:trHeight w:val="182"/>
        </w:trPr>
        <w:tc>
          <w:tcPr>
            <w:tcW w:w="7820" w:type="dxa"/>
            <w:vAlign w:val="bottom"/>
          </w:tcPr>
          <w:p>
            <w:pPr>
              <w:ind w:left="80"/>
              <w:spacing w:after="0"/>
              <w:rPr>
                <w:sz w:val="20"/>
                <w:szCs w:val="20"/>
                <w:color w:val="auto"/>
              </w:rPr>
            </w:pPr>
            <w:r>
              <w:rPr>
                <w:rFonts w:ascii="Arial" w:cs="Arial" w:eastAsia="Arial" w:hAnsi="Arial"/>
                <w:sz w:val="13"/>
                <w:szCs w:val="13"/>
                <w:color w:val="auto"/>
              </w:rPr>
              <w:t>Income tax adjustment</w:t>
            </w:r>
          </w:p>
        </w:tc>
        <w:tc>
          <w:tcPr>
            <w:tcW w:w="1040" w:type="dxa"/>
            <w:vAlign w:val="bottom"/>
          </w:tcPr>
          <w:p>
            <w:pPr>
              <w:jc w:val="right"/>
              <w:ind w:right="356"/>
              <w:spacing w:after="0"/>
              <w:rPr>
                <w:sz w:val="20"/>
                <w:szCs w:val="20"/>
                <w:color w:val="auto"/>
              </w:rPr>
            </w:pPr>
            <w:r>
              <w:rPr>
                <w:rFonts w:ascii="Arial" w:cs="Arial" w:eastAsia="Arial" w:hAnsi="Arial"/>
                <w:sz w:val="13"/>
                <w:szCs w:val="13"/>
                <w:color w:val="001446"/>
              </w:rPr>
              <w:t>10</w:t>
            </w:r>
          </w:p>
        </w:tc>
        <w:tc>
          <w:tcPr>
            <w:tcW w:w="1420" w:type="dxa"/>
            <w:vAlign w:val="bottom"/>
          </w:tcPr>
          <w:p>
            <w:pPr>
              <w:jc w:val="right"/>
              <w:ind w:right="16"/>
              <w:spacing w:after="0"/>
              <w:rPr>
                <w:sz w:val="20"/>
                <w:szCs w:val="20"/>
                <w:color w:val="auto"/>
              </w:rPr>
            </w:pPr>
            <w:r>
              <w:rPr>
                <w:rFonts w:ascii="Arial" w:cs="Arial" w:eastAsia="Arial" w:hAnsi="Arial"/>
                <w:sz w:val="13"/>
                <w:szCs w:val="13"/>
                <w:color w:val="001446"/>
              </w:rPr>
              <w:t>39,007</w:t>
            </w:r>
          </w:p>
        </w:tc>
      </w:tr>
      <w:tr>
        <w:trPr>
          <w:trHeight w:val="192"/>
        </w:trPr>
        <w:tc>
          <w:tcPr>
            <w:tcW w:w="7820" w:type="dxa"/>
            <w:vAlign w:val="bottom"/>
            <w:shd w:val="clear" w:color="auto" w:fill="E3E3E3"/>
          </w:tcPr>
          <w:p>
            <w:pPr>
              <w:ind w:left="80"/>
              <w:spacing w:after="0"/>
              <w:rPr>
                <w:sz w:val="20"/>
                <w:szCs w:val="20"/>
                <w:color w:val="auto"/>
              </w:rPr>
            </w:pPr>
            <w:r>
              <w:rPr>
                <w:rFonts w:ascii="Arial" w:cs="Arial" w:eastAsia="Arial" w:hAnsi="Arial"/>
                <w:sz w:val="13"/>
                <w:szCs w:val="13"/>
                <w:color w:val="auto"/>
              </w:rPr>
              <w:t>equity method adjustments</w:t>
            </w:r>
          </w:p>
        </w:tc>
        <w:tc>
          <w:tcPr>
            <w:tcW w:w="1040" w:type="dxa"/>
            <w:vAlign w:val="bottom"/>
            <w:shd w:val="clear" w:color="auto" w:fill="E3E3E3"/>
          </w:tcPr>
          <w:p>
            <w:pPr>
              <w:jc w:val="right"/>
              <w:ind w:right="356"/>
              <w:spacing w:after="0"/>
              <w:rPr>
                <w:sz w:val="20"/>
                <w:szCs w:val="20"/>
                <w:color w:val="auto"/>
              </w:rPr>
            </w:pPr>
            <w:r>
              <w:rPr>
                <w:rFonts w:ascii="Arial" w:cs="Arial" w:eastAsia="Arial" w:hAnsi="Arial"/>
                <w:sz w:val="13"/>
                <w:szCs w:val="13"/>
                <w:color w:val="001446"/>
              </w:rPr>
              <w:t>960</w:t>
            </w:r>
          </w:p>
        </w:tc>
        <w:tc>
          <w:tcPr>
            <w:tcW w:w="142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001446"/>
              </w:rPr>
              <w:t>1,896</w:t>
            </w:r>
          </w:p>
        </w:tc>
      </w:tr>
      <w:tr>
        <w:trPr>
          <w:trHeight w:val="261"/>
        </w:trPr>
        <w:tc>
          <w:tcPr>
            <w:tcW w:w="7820" w:type="dxa"/>
            <w:vAlign w:val="bottom"/>
            <w:shd w:val="clear" w:color="auto" w:fill="001446"/>
          </w:tcPr>
          <w:p>
            <w:pPr>
              <w:ind w:left="80"/>
              <w:spacing w:after="0"/>
              <w:rPr>
                <w:sz w:val="20"/>
                <w:szCs w:val="20"/>
                <w:color w:val="auto"/>
              </w:rPr>
            </w:pPr>
            <w:r>
              <w:rPr>
                <w:rFonts w:ascii="Arial" w:cs="Arial" w:eastAsia="Arial" w:hAnsi="Arial"/>
                <w:sz w:val="13"/>
                <w:szCs w:val="13"/>
                <w:b w:val="1"/>
                <w:bCs w:val="1"/>
                <w:color w:val="FFFFFF"/>
              </w:rPr>
              <w:t>Net income (loss) (non-GAAP)</w:t>
            </w:r>
          </w:p>
        </w:tc>
        <w:tc>
          <w:tcPr>
            <w:tcW w:w="1040" w:type="dxa"/>
            <w:vAlign w:val="bottom"/>
            <w:shd w:val="clear" w:color="auto" w:fill="001446"/>
          </w:tcPr>
          <w:p>
            <w:pPr>
              <w:jc w:val="right"/>
              <w:ind w:right="356"/>
              <w:spacing w:after="0"/>
              <w:rPr>
                <w:sz w:val="20"/>
                <w:szCs w:val="20"/>
                <w:color w:val="auto"/>
              </w:rPr>
            </w:pPr>
            <w:r>
              <w:rPr>
                <w:rFonts w:ascii="Arial" w:cs="Arial" w:eastAsia="Arial" w:hAnsi="Arial"/>
                <w:sz w:val="13"/>
                <w:szCs w:val="13"/>
                <w:color w:val="F0F0F0"/>
                <w:w w:val="95"/>
              </w:rPr>
              <w:t>$(140,301)</w:t>
            </w:r>
          </w:p>
        </w:tc>
        <w:tc>
          <w:tcPr>
            <w:tcW w:w="1420" w:type="dxa"/>
            <w:vAlign w:val="bottom"/>
            <w:shd w:val="clear" w:color="auto" w:fill="001446"/>
          </w:tcPr>
          <w:p>
            <w:pPr>
              <w:jc w:val="right"/>
              <w:ind w:right="16"/>
              <w:spacing w:after="0"/>
              <w:rPr>
                <w:sz w:val="20"/>
                <w:szCs w:val="20"/>
                <w:color w:val="auto"/>
              </w:rPr>
            </w:pPr>
            <w:r>
              <w:rPr>
                <w:rFonts w:ascii="Arial" w:cs="Arial" w:eastAsia="Arial" w:hAnsi="Arial"/>
                <w:sz w:val="13"/>
                <w:szCs w:val="13"/>
                <w:color w:val="F0F0F0"/>
              </w:rPr>
              <w:t>$(1,312,119)</w:t>
            </w:r>
          </w:p>
        </w:tc>
      </w:tr>
      <w:tr>
        <w:trPr>
          <w:trHeight w:val="66"/>
        </w:trPr>
        <w:tc>
          <w:tcPr>
            <w:tcW w:w="7820" w:type="dxa"/>
            <w:vAlign w:val="bottom"/>
            <w:shd w:val="clear" w:color="auto" w:fill="001446"/>
          </w:tcPr>
          <w:p>
            <w:pPr>
              <w:spacing w:after="0"/>
              <w:rPr>
                <w:sz w:val="5"/>
                <w:szCs w:val="5"/>
                <w:color w:val="auto"/>
              </w:rPr>
            </w:pPr>
          </w:p>
        </w:tc>
        <w:tc>
          <w:tcPr>
            <w:tcW w:w="1040" w:type="dxa"/>
            <w:vAlign w:val="bottom"/>
            <w:shd w:val="clear" w:color="auto" w:fill="001446"/>
          </w:tcPr>
          <w:p>
            <w:pPr>
              <w:spacing w:after="0"/>
              <w:rPr>
                <w:sz w:val="5"/>
                <w:szCs w:val="5"/>
                <w:color w:val="auto"/>
              </w:rPr>
            </w:pPr>
          </w:p>
        </w:tc>
        <w:tc>
          <w:tcPr>
            <w:tcW w:w="1420" w:type="dxa"/>
            <w:vAlign w:val="bottom"/>
            <w:shd w:val="clear" w:color="auto" w:fill="001446"/>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117475</wp:posOffset>
                </wp:positionV>
                <wp:extent cx="6532245" cy="583565"/>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3565"/>
                        </a:xfrm>
                        <a:prstGeom prst="rect">
                          <a:avLst/>
                        </a:prstGeom>
                        <a:solidFill>
                          <a:srgbClr val="00082E"/>
                        </a:solidFill>
                      </wps:spPr>
                      <wps:bodyPr/>
                    </wps:wsp>
                  </a:graphicData>
                </a:graphic>
              </wp:anchor>
            </w:drawing>
          </mc:Choice>
          <mc:Fallback>
            <w:pict>
              <v:rect id="Shape 440" o:spid="_x0000_s1465" style="position:absolute;margin-left:-0.1499pt;margin-top:9.25pt;width:514.35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9811">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5599pt"/>
            </w:pict>
          </mc:Fallback>
        </mc:AlternateContent>
      </w:r>
    </w:p>
    <w:p>
      <w:pPr>
        <w:sectPr>
          <w:pgSz w:w="11900" w:h="16840" w:orient="portrait"/>
          <w:cols w:equalWidth="0" w:num="1">
            <w:col w:w="10280"/>
          </w:cols>
          <w:pgMar w:left="820" w:top="967" w:right="804"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51"/>
        </w:trPr>
        <w:tc>
          <w:tcPr>
            <w:tcW w:w="1180" w:type="dxa"/>
            <w:vAlign w:val="bottom"/>
            <w:shd w:val="clear" w:color="auto" w:fill="001446"/>
          </w:tcPr>
          <w:p>
            <w:pPr>
              <w:spacing w:after="0"/>
              <w:rPr>
                <w:sz w:val="21"/>
                <w:szCs w:val="21"/>
                <w:color w:val="auto"/>
              </w:rPr>
            </w:pPr>
          </w:p>
        </w:tc>
        <w:tc>
          <w:tcPr>
            <w:tcW w:w="540" w:type="dxa"/>
            <w:vAlign w:val="bottom"/>
            <w:shd w:val="clear" w:color="auto" w:fill="001446"/>
          </w:tcPr>
          <w:p>
            <w:pPr>
              <w:spacing w:after="0"/>
              <w:rPr>
                <w:sz w:val="21"/>
                <w:szCs w:val="21"/>
                <w:color w:val="auto"/>
              </w:rPr>
            </w:pPr>
          </w:p>
        </w:tc>
        <w:tc>
          <w:tcPr>
            <w:tcW w:w="3880" w:type="dxa"/>
            <w:vAlign w:val="bottom"/>
            <w:shd w:val="clear" w:color="auto" w:fill="001446"/>
          </w:tcPr>
          <w:p>
            <w:pPr>
              <w:spacing w:after="0"/>
              <w:rPr>
                <w:sz w:val="21"/>
                <w:szCs w:val="21"/>
                <w:color w:val="auto"/>
              </w:rPr>
            </w:pPr>
          </w:p>
        </w:tc>
        <w:tc>
          <w:tcPr>
            <w:tcW w:w="4080" w:type="dxa"/>
            <w:vAlign w:val="bottom"/>
            <w:gridSpan w:val="3"/>
            <w:shd w:val="clear" w:color="auto" w:fill="001446"/>
          </w:tcPr>
          <w:p>
            <w:pPr>
              <w:jc w:val="center"/>
              <w:ind w:left="1736"/>
              <w:spacing w:after="0"/>
              <w:rPr>
                <w:sz w:val="20"/>
                <w:szCs w:val="20"/>
                <w:color w:val="auto"/>
              </w:rPr>
            </w:pPr>
            <w:r>
              <w:rPr>
                <w:rFonts w:ascii="Arial" w:cs="Arial" w:eastAsia="Arial" w:hAnsi="Arial"/>
                <w:sz w:val="13"/>
                <w:szCs w:val="13"/>
                <w:b w:val="1"/>
                <w:bCs w:val="1"/>
                <w:color w:val="FFFFFF"/>
                <w:w w:val="98"/>
              </w:rPr>
              <w:t>Reconciliation of GAAP to non-GAAP</w:t>
            </w:r>
          </w:p>
        </w:tc>
        <w:tc>
          <w:tcPr>
            <w:tcW w:w="600" w:type="dxa"/>
            <w:vAlign w:val="bottom"/>
            <w:shd w:val="clear" w:color="auto" w:fill="001446"/>
          </w:tcPr>
          <w:p>
            <w:pPr>
              <w:spacing w:after="0"/>
              <w:rPr>
                <w:sz w:val="21"/>
                <w:szCs w:val="21"/>
                <w:color w:val="auto"/>
              </w:rPr>
            </w:pPr>
          </w:p>
        </w:tc>
      </w:tr>
      <w:tr>
        <w:trPr>
          <w:trHeight w:val="288"/>
        </w:trPr>
        <w:tc>
          <w:tcPr>
            <w:tcW w:w="1180" w:type="dxa"/>
            <w:vAlign w:val="bottom"/>
            <w:shd w:val="clear" w:color="auto" w:fill="001446"/>
          </w:tcPr>
          <w:p>
            <w:pPr>
              <w:spacing w:after="0"/>
              <w:rPr>
                <w:sz w:val="24"/>
                <w:szCs w:val="24"/>
                <w:color w:val="auto"/>
              </w:rPr>
            </w:pPr>
          </w:p>
        </w:tc>
        <w:tc>
          <w:tcPr>
            <w:tcW w:w="540" w:type="dxa"/>
            <w:vAlign w:val="bottom"/>
            <w:shd w:val="clear" w:color="auto" w:fill="001446"/>
          </w:tcPr>
          <w:p>
            <w:pPr>
              <w:spacing w:after="0"/>
              <w:rPr>
                <w:sz w:val="24"/>
                <w:szCs w:val="24"/>
                <w:color w:val="auto"/>
              </w:rPr>
            </w:pPr>
          </w:p>
        </w:tc>
        <w:tc>
          <w:tcPr>
            <w:tcW w:w="3880" w:type="dxa"/>
            <w:vAlign w:val="bottom"/>
            <w:shd w:val="clear" w:color="auto" w:fill="001446"/>
          </w:tcPr>
          <w:p>
            <w:pPr>
              <w:spacing w:after="0"/>
              <w:rPr>
                <w:sz w:val="24"/>
                <w:szCs w:val="24"/>
                <w:color w:val="auto"/>
              </w:rPr>
            </w:pPr>
          </w:p>
        </w:tc>
        <w:tc>
          <w:tcPr>
            <w:tcW w:w="4080" w:type="dxa"/>
            <w:vAlign w:val="bottom"/>
            <w:gridSpan w:val="3"/>
            <w:shd w:val="clear" w:color="auto" w:fill="001446"/>
          </w:tcPr>
          <w:p>
            <w:pPr>
              <w:jc w:val="center"/>
              <w:ind w:left="1736"/>
              <w:spacing w:after="0"/>
              <w:rPr>
                <w:sz w:val="20"/>
                <w:szCs w:val="20"/>
                <w:color w:val="auto"/>
              </w:rPr>
            </w:pPr>
            <w:r>
              <w:rPr>
                <w:rFonts w:ascii="Arial" w:cs="Arial" w:eastAsia="Arial" w:hAnsi="Arial"/>
                <w:sz w:val="13"/>
                <w:szCs w:val="13"/>
                <w:b w:val="1"/>
                <w:bCs w:val="1"/>
                <w:color w:val="FFFFFF"/>
                <w:w w:val="98"/>
              </w:rPr>
              <w:t>Net diluted earnings per share</w:t>
            </w:r>
          </w:p>
        </w:tc>
        <w:tc>
          <w:tcPr>
            <w:tcW w:w="600" w:type="dxa"/>
            <w:vAlign w:val="bottom"/>
            <w:shd w:val="clear" w:color="auto" w:fill="001446"/>
          </w:tcPr>
          <w:p>
            <w:pPr>
              <w:spacing w:after="0"/>
              <w:rPr>
                <w:sz w:val="24"/>
                <w:szCs w:val="24"/>
                <w:color w:val="auto"/>
              </w:rPr>
            </w:pPr>
          </w:p>
        </w:tc>
      </w:tr>
      <w:tr>
        <w:trPr>
          <w:trHeight w:val="288"/>
        </w:trPr>
        <w:tc>
          <w:tcPr>
            <w:tcW w:w="1180" w:type="dxa"/>
            <w:vAlign w:val="bottom"/>
            <w:shd w:val="clear" w:color="auto" w:fill="001446"/>
          </w:tcPr>
          <w:p>
            <w:pPr>
              <w:spacing w:after="0"/>
              <w:rPr>
                <w:sz w:val="24"/>
                <w:szCs w:val="24"/>
                <w:color w:val="auto"/>
              </w:rPr>
            </w:pPr>
          </w:p>
        </w:tc>
        <w:tc>
          <w:tcPr>
            <w:tcW w:w="540" w:type="dxa"/>
            <w:vAlign w:val="bottom"/>
            <w:shd w:val="clear" w:color="auto" w:fill="001446"/>
          </w:tcPr>
          <w:p>
            <w:pPr>
              <w:spacing w:after="0"/>
              <w:rPr>
                <w:sz w:val="24"/>
                <w:szCs w:val="24"/>
                <w:color w:val="auto"/>
              </w:rPr>
            </w:pPr>
          </w:p>
        </w:tc>
        <w:tc>
          <w:tcPr>
            <w:tcW w:w="3880" w:type="dxa"/>
            <w:vAlign w:val="bottom"/>
            <w:shd w:val="clear" w:color="auto" w:fill="001446"/>
          </w:tcPr>
          <w:p>
            <w:pPr>
              <w:spacing w:after="0"/>
              <w:rPr>
                <w:sz w:val="24"/>
                <w:szCs w:val="24"/>
                <w:color w:val="auto"/>
              </w:rPr>
            </w:pPr>
          </w:p>
        </w:tc>
        <w:tc>
          <w:tcPr>
            <w:tcW w:w="2300" w:type="dxa"/>
            <w:vAlign w:val="bottom"/>
            <w:shd w:val="clear" w:color="auto" w:fill="001446"/>
          </w:tcPr>
          <w:p>
            <w:pPr>
              <w:spacing w:after="0"/>
              <w:rPr>
                <w:sz w:val="24"/>
                <w:szCs w:val="24"/>
                <w:color w:val="auto"/>
              </w:rPr>
            </w:pPr>
          </w:p>
        </w:tc>
        <w:tc>
          <w:tcPr>
            <w:tcW w:w="1780" w:type="dxa"/>
            <w:vAlign w:val="bottom"/>
            <w:gridSpan w:val="2"/>
            <w:shd w:val="clear" w:color="auto" w:fill="001446"/>
          </w:tcPr>
          <w:p>
            <w:pPr>
              <w:jc w:val="right"/>
              <w:ind w:right="16"/>
              <w:spacing w:after="0"/>
              <w:rPr>
                <w:sz w:val="20"/>
                <w:szCs w:val="20"/>
                <w:color w:val="auto"/>
              </w:rPr>
            </w:pPr>
            <w:r>
              <w:rPr>
                <w:rFonts w:ascii="Arial" w:cs="Arial" w:eastAsia="Arial" w:hAnsi="Arial"/>
                <w:sz w:val="13"/>
                <w:szCs w:val="13"/>
                <w:b w:val="1"/>
                <w:bCs w:val="1"/>
                <w:color w:val="FFFFFF"/>
              </w:rPr>
              <w:t>Year ended December 31,</w:t>
            </w:r>
          </w:p>
        </w:tc>
        <w:tc>
          <w:tcPr>
            <w:tcW w:w="600" w:type="dxa"/>
            <w:vAlign w:val="bottom"/>
            <w:shd w:val="clear" w:color="auto" w:fill="001446"/>
          </w:tcPr>
          <w:p>
            <w:pPr>
              <w:spacing w:after="0"/>
              <w:rPr>
                <w:sz w:val="24"/>
                <w:szCs w:val="24"/>
                <w:color w:val="auto"/>
              </w:rPr>
            </w:pPr>
          </w:p>
        </w:tc>
      </w:tr>
      <w:tr>
        <w:trPr>
          <w:trHeight w:val="210"/>
        </w:trPr>
        <w:tc>
          <w:tcPr>
            <w:tcW w:w="1180" w:type="dxa"/>
            <w:vAlign w:val="bottom"/>
            <w:shd w:val="clear" w:color="auto" w:fill="001446"/>
          </w:tcPr>
          <w:p>
            <w:pPr>
              <w:spacing w:after="0"/>
              <w:rPr>
                <w:sz w:val="18"/>
                <w:szCs w:val="18"/>
                <w:color w:val="auto"/>
              </w:rPr>
            </w:pPr>
          </w:p>
        </w:tc>
        <w:tc>
          <w:tcPr>
            <w:tcW w:w="540" w:type="dxa"/>
            <w:vAlign w:val="bottom"/>
            <w:shd w:val="clear" w:color="auto" w:fill="001446"/>
          </w:tcPr>
          <w:p>
            <w:pPr>
              <w:spacing w:after="0"/>
              <w:rPr>
                <w:sz w:val="18"/>
                <w:szCs w:val="18"/>
                <w:color w:val="auto"/>
              </w:rPr>
            </w:pPr>
          </w:p>
        </w:tc>
        <w:tc>
          <w:tcPr>
            <w:tcW w:w="3880" w:type="dxa"/>
            <w:vAlign w:val="bottom"/>
            <w:shd w:val="clear" w:color="auto" w:fill="001446"/>
          </w:tcPr>
          <w:p>
            <w:pPr>
              <w:spacing w:after="0"/>
              <w:rPr>
                <w:sz w:val="18"/>
                <w:szCs w:val="18"/>
                <w:color w:val="auto"/>
              </w:rPr>
            </w:pPr>
          </w:p>
        </w:tc>
        <w:tc>
          <w:tcPr>
            <w:tcW w:w="2300" w:type="dxa"/>
            <w:vAlign w:val="bottom"/>
            <w:shd w:val="clear" w:color="auto" w:fill="001446"/>
          </w:tcPr>
          <w:p>
            <w:pPr>
              <w:jc w:val="right"/>
              <w:ind w:right="36"/>
              <w:spacing w:after="0"/>
              <w:rPr>
                <w:sz w:val="20"/>
                <w:szCs w:val="20"/>
                <w:color w:val="auto"/>
              </w:rPr>
            </w:pPr>
            <w:r>
              <w:rPr>
                <w:rFonts w:ascii="Arial" w:cs="Arial" w:eastAsia="Arial" w:hAnsi="Arial"/>
                <w:sz w:val="13"/>
                <w:szCs w:val="13"/>
                <w:color w:val="FFFFFF"/>
              </w:rPr>
              <w:t>2025</w:t>
            </w:r>
          </w:p>
        </w:tc>
        <w:tc>
          <w:tcPr>
            <w:tcW w:w="900" w:type="dxa"/>
            <w:vAlign w:val="bottom"/>
            <w:shd w:val="clear" w:color="auto" w:fill="001446"/>
          </w:tcPr>
          <w:p>
            <w:pPr>
              <w:spacing w:after="0"/>
              <w:rPr>
                <w:sz w:val="18"/>
                <w:szCs w:val="18"/>
                <w:color w:val="auto"/>
              </w:rPr>
            </w:pPr>
          </w:p>
        </w:tc>
        <w:tc>
          <w:tcPr>
            <w:tcW w:w="880" w:type="dxa"/>
            <w:vAlign w:val="bottom"/>
            <w:shd w:val="clear" w:color="auto" w:fill="001446"/>
          </w:tcPr>
          <w:p>
            <w:pPr>
              <w:jc w:val="right"/>
              <w:ind w:right="56"/>
              <w:spacing w:after="0"/>
              <w:rPr>
                <w:sz w:val="20"/>
                <w:szCs w:val="20"/>
                <w:color w:val="auto"/>
              </w:rPr>
            </w:pPr>
            <w:r>
              <w:rPr>
                <w:rFonts w:ascii="Arial" w:cs="Arial" w:eastAsia="Arial" w:hAnsi="Arial"/>
                <w:sz w:val="13"/>
                <w:szCs w:val="13"/>
                <w:color w:val="FFFFFF"/>
              </w:rPr>
              <w:t>2024</w:t>
            </w:r>
          </w:p>
        </w:tc>
        <w:tc>
          <w:tcPr>
            <w:tcW w:w="600" w:type="dxa"/>
            <w:vAlign w:val="bottom"/>
            <w:shd w:val="clear" w:color="auto" w:fill="001446"/>
          </w:tcPr>
          <w:p>
            <w:pPr>
              <w:spacing w:after="0"/>
              <w:rPr>
                <w:sz w:val="18"/>
                <w:szCs w:val="18"/>
                <w:color w:val="auto"/>
              </w:rPr>
            </w:pPr>
          </w:p>
        </w:tc>
      </w:tr>
      <w:tr>
        <w:trPr>
          <w:trHeight w:val="187"/>
        </w:trPr>
        <w:tc>
          <w:tcPr>
            <w:tcW w:w="5600" w:type="dxa"/>
            <w:vAlign w:val="bottom"/>
            <w:gridSpan w:val="3"/>
          </w:tcPr>
          <w:p>
            <w:pPr>
              <w:ind w:left="80"/>
              <w:spacing w:after="0"/>
              <w:rPr>
                <w:sz w:val="20"/>
                <w:szCs w:val="20"/>
                <w:color w:val="auto"/>
              </w:rPr>
            </w:pPr>
            <w:r>
              <w:rPr>
                <w:rFonts w:ascii="Arial" w:cs="Arial" w:eastAsia="Arial" w:hAnsi="Arial"/>
                <w:sz w:val="13"/>
                <w:szCs w:val="13"/>
                <w:b w:val="1"/>
                <w:bCs w:val="1"/>
                <w:color w:val="auto"/>
              </w:rPr>
              <w:t>Net income (loss) per share (GAAP)</w:t>
            </w:r>
          </w:p>
        </w:tc>
        <w:tc>
          <w:tcPr>
            <w:tcW w:w="2300" w:type="dxa"/>
            <w:vAlign w:val="bottom"/>
          </w:tcPr>
          <w:p>
            <w:pPr>
              <w:spacing w:after="0"/>
              <w:rPr>
                <w:sz w:val="16"/>
                <w:szCs w:val="16"/>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 (6.88)</w:t>
            </w:r>
          </w:p>
        </w:tc>
        <w:tc>
          <w:tcPr>
            <w:tcW w:w="88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w w:val="96"/>
              </w:rPr>
              <w:t>$ (31.64)</w:t>
            </w:r>
          </w:p>
        </w:tc>
      </w:tr>
      <w:tr>
        <w:trPr>
          <w:trHeight w:val="197"/>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Revenues from finance component</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(0.02)</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(0.02)</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Discontinued operation</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0.29</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0.49</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Stock-based compensation</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1.57</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2.41</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Amortization of stock-based compensation capitalized in inventories</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0.05</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0.05</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Amortization and depreciation of acquired assets</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0.04</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0.14</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Restructuring charges</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0.09</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0.37</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Assets impairment and disposal by abandonment</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0.10</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4.41</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Loss (gain) from assets sales</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0.40</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0.10</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Certain litigation and other contingencies</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(0.01)</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Acquisition costs</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0.00</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Non cash interest expense</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0.30</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0.26</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CTA reclassification upon liquidation of a foreign subsidiary</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1.01</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One-time foreign exchange impact from VAT settlement agreement</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0.18</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Currency fluctuation related to lease standard</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0.18</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(0.01)</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Loss (gain) from sale of equity and debt investments</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0.00</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(0.05)</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Loss (gain) from business combination</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(0.02)</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Gain from the repurchase of convertible notes</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0.00</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(0.27)</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Gain From sale of private held companies</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(0.07)</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20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Loss from impairment of private held companies</w:t>
            </w:r>
          </w:p>
        </w:tc>
        <w:tc>
          <w:tcPr>
            <w:tcW w:w="2300" w:type="dxa"/>
            <w:vAlign w:val="bottom"/>
            <w:shd w:val="clear" w:color="auto" w:fill="E3E3E3"/>
          </w:tcPr>
          <w:p>
            <w:pPr>
              <w:spacing w:after="0"/>
              <w:rPr>
                <w:sz w:val="17"/>
                <w:szCs w:val="17"/>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0.36</w:t>
            </w:r>
          </w:p>
        </w:tc>
        <w:tc>
          <w:tcPr>
            <w:tcW w:w="880" w:type="dxa"/>
            <w:vAlign w:val="bottom"/>
            <w:shd w:val="clear" w:color="auto" w:fill="E3E3E3"/>
          </w:tcPr>
          <w:p>
            <w:pPr>
              <w:spacing w:after="0"/>
              <w:rPr>
                <w:sz w:val="17"/>
                <w:szCs w:val="17"/>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0.09</w:t>
            </w:r>
          </w:p>
        </w:tc>
      </w:tr>
      <w:tr>
        <w:trPr>
          <w:trHeight w:val="182"/>
        </w:trPr>
        <w:tc>
          <w:tcPr>
            <w:tcW w:w="5600" w:type="dxa"/>
            <w:vAlign w:val="bottom"/>
            <w:gridSpan w:val="3"/>
          </w:tcPr>
          <w:p>
            <w:pPr>
              <w:ind w:left="80"/>
              <w:spacing w:after="0"/>
              <w:rPr>
                <w:sz w:val="20"/>
                <w:szCs w:val="20"/>
                <w:color w:val="auto"/>
              </w:rPr>
            </w:pPr>
            <w:r>
              <w:rPr>
                <w:rFonts w:ascii="Arial" w:cs="Arial" w:eastAsia="Arial" w:hAnsi="Arial"/>
                <w:sz w:val="13"/>
                <w:szCs w:val="13"/>
                <w:color w:val="auto"/>
              </w:rPr>
              <w:t>Income tax adjustment</w:t>
            </w:r>
          </w:p>
        </w:tc>
        <w:tc>
          <w:tcPr>
            <w:tcW w:w="230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0.00</w:t>
            </w:r>
          </w:p>
        </w:tc>
        <w:tc>
          <w:tcPr>
            <w:tcW w:w="8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0.68</w:t>
            </w:r>
          </w:p>
        </w:tc>
      </w:tr>
      <w:tr>
        <w:trPr>
          <w:trHeight w:val="192"/>
        </w:trPr>
        <w:tc>
          <w:tcPr>
            <w:tcW w:w="5600" w:type="dxa"/>
            <w:vAlign w:val="bottom"/>
            <w:gridSpan w:val="3"/>
            <w:shd w:val="clear" w:color="auto" w:fill="E3E3E3"/>
          </w:tcPr>
          <w:p>
            <w:pPr>
              <w:ind w:left="80"/>
              <w:spacing w:after="0"/>
              <w:rPr>
                <w:sz w:val="20"/>
                <w:szCs w:val="20"/>
                <w:color w:val="auto"/>
              </w:rPr>
            </w:pPr>
            <w:r>
              <w:rPr>
                <w:rFonts w:ascii="Arial" w:cs="Arial" w:eastAsia="Arial" w:hAnsi="Arial"/>
                <w:sz w:val="13"/>
                <w:szCs w:val="13"/>
                <w:color w:val="auto"/>
              </w:rPr>
              <w:t>equity method adjustments</w:t>
            </w:r>
          </w:p>
        </w:tc>
        <w:tc>
          <w:tcPr>
            <w:tcW w:w="2300" w:type="dxa"/>
            <w:vAlign w:val="bottom"/>
            <w:shd w:val="clear" w:color="auto" w:fill="E3E3E3"/>
          </w:tcPr>
          <w:p>
            <w:pPr>
              <w:spacing w:after="0"/>
              <w:rPr>
                <w:sz w:val="16"/>
                <w:szCs w:val="16"/>
                <w:color w:val="auto"/>
              </w:rPr>
            </w:pPr>
          </w:p>
        </w:tc>
        <w:tc>
          <w:tcPr>
            <w:tcW w:w="900" w:type="dxa"/>
            <w:vAlign w:val="bottom"/>
            <w:shd w:val="clear" w:color="auto" w:fill="E3E3E3"/>
          </w:tcPr>
          <w:p>
            <w:pPr>
              <w:jc w:val="right"/>
              <w:ind w:right="296"/>
              <w:spacing w:after="0"/>
              <w:rPr>
                <w:sz w:val="20"/>
                <w:szCs w:val="20"/>
                <w:color w:val="auto"/>
              </w:rPr>
            </w:pPr>
            <w:r>
              <w:rPr>
                <w:rFonts w:ascii="Arial" w:cs="Arial" w:eastAsia="Arial" w:hAnsi="Arial"/>
                <w:sz w:val="13"/>
                <w:szCs w:val="13"/>
                <w:color w:val="auto"/>
              </w:rPr>
              <w:t>0.02</w:t>
            </w:r>
          </w:p>
        </w:tc>
        <w:tc>
          <w:tcPr>
            <w:tcW w:w="880" w:type="dxa"/>
            <w:vAlign w:val="bottom"/>
            <w:shd w:val="clear" w:color="auto" w:fill="E3E3E3"/>
          </w:tcPr>
          <w:p>
            <w:pPr>
              <w:spacing w:after="0"/>
              <w:rPr>
                <w:sz w:val="16"/>
                <w:szCs w:val="16"/>
                <w:color w:val="auto"/>
              </w:rPr>
            </w:pPr>
          </w:p>
        </w:tc>
        <w:tc>
          <w:tcPr>
            <w:tcW w:w="600" w:type="dxa"/>
            <w:vAlign w:val="bottom"/>
            <w:shd w:val="clear" w:color="auto" w:fill="E3E3E3"/>
          </w:tcPr>
          <w:p>
            <w:pPr>
              <w:jc w:val="right"/>
              <w:ind w:right="16"/>
              <w:spacing w:after="0"/>
              <w:rPr>
                <w:sz w:val="20"/>
                <w:szCs w:val="20"/>
                <w:color w:val="auto"/>
              </w:rPr>
            </w:pPr>
            <w:r>
              <w:rPr>
                <w:rFonts w:ascii="Arial" w:cs="Arial" w:eastAsia="Arial" w:hAnsi="Arial"/>
                <w:sz w:val="13"/>
                <w:szCs w:val="13"/>
                <w:color w:val="auto"/>
              </w:rPr>
              <w:t>0.03</w:t>
            </w:r>
          </w:p>
        </w:tc>
      </w:tr>
      <w:tr>
        <w:trPr>
          <w:trHeight w:val="237"/>
        </w:trPr>
        <w:tc>
          <w:tcPr>
            <w:tcW w:w="1180" w:type="dxa"/>
            <w:vAlign w:val="bottom"/>
            <w:shd w:val="clear" w:color="auto" w:fill="001446"/>
          </w:tcPr>
          <w:p>
            <w:pPr>
              <w:ind w:left="80"/>
              <w:spacing w:after="0"/>
              <w:rPr>
                <w:sz w:val="20"/>
                <w:szCs w:val="20"/>
                <w:color w:val="auto"/>
              </w:rPr>
            </w:pPr>
            <w:r>
              <w:rPr>
                <w:rFonts w:ascii="Arial" w:cs="Arial" w:eastAsia="Arial" w:hAnsi="Arial"/>
                <w:sz w:val="13"/>
                <w:szCs w:val="13"/>
                <w:b w:val="1"/>
                <w:bCs w:val="1"/>
                <w:color w:val="FFFFFF"/>
                <w:w w:val="99"/>
              </w:rPr>
              <w:t>Net income (loss)</w:t>
            </w:r>
          </w:p>
        </w:tc>
        <w:tc>
          <w:tcPr>
            <w:tcW w:w="540" w:type="dxa"/>
            <w:vAlign w:val="bottom"/>
            <w:shd w:val="clear" w:color="auto" w:fill="001446"/>
          </w:tcPr>
          <w:p>
            <w:pPr>
              <w:spacing w:after="0"/>
              <w:rPr>
                <w:sz w:val="20"/>
                <w:szCs w:val="20"/>
                <w:color w:val="auto"/>
              </w:rPr>
            </w:pPr>
            <w:r>
              <w:rPr>
                <w:rFonts w:ascii="Arial" w:cs="Arial" w:eastAsia="Arial" w:hAnsi="Arial"/>
                <w:sz w:val="13"/>
                <w:szCs w:val="13"/>
                <w:color w:val="FFFFFF"/>
                <w:w w:val="94"/>
                <w:shd w:val="clear" w:color="auto" w:fill="001446"/>
              </w:rPr>
              <w:t>per share</w:t>
            </w:r>
          </w:p>
        </w:tc>
        <w:tc>
          <w:tcPr>
            <w:tcW w:w="3880" w:type="dxa"/>
            <w:vAlign w:val="bottom"/>
            <w:shd w:val="clear" w:color="auto" w:fill="001446"/>
          </w:tcPr>
          <w:p>
            <w:pPr>
              <w:ind w:left="40"/>
              <w:spacing w:after="0"/>
              <w:rPr>
                <w:sz w:val="20"/>
                <w:szCs w:val="20"/>
                <w:color w:val="auto"/>
              </w:rPr>
            </w:pPr>
            <w:r>
              <w:rPr>
                <w:rFonts w:ascii="Arial" w:cs="Arial" w:eastAsia="Arial" w:hAnsi="Arial"/>
                <w:sz w:val="13"/>
                <w:szCs w:val="13"/>
                <w:b w:val="1"/>
                <w:bCs w:val="1"/>
                <w:color w:val="FFFFFF"/>
              </w:rPr>
              <w:t>(non-GAAP)</w:t>
            </w:r>
          </w:p>
        </w:tc>
        <w:tc>
          <w:tcPr>
            <w:tcW w:w="2300" w:type="dxa"/>
            <w:vAlign w:val="bottom"/>
            <w:shd w:val="clear" w:color="auto" w:fill="001446"/>
          </w:tcPr>
          <w:p>
            <w:pPr>
              <w:jc w:val="right"/>
              <w:ind w:right="476"/>
              <w:spacing w:after="0"/>
              <w:rPr>
                <w:sz w:val="20"/>
                <w:szCs w:val="20"/>
                <w:color w:val="auto"/>
              </w:rPr>
            </w:pPr>
            <w:r>
              <w:rPr>
                <w:rFonts w:ascii="Arial" w:cs="Arial" w:eastAsia="Arial" w:hAnsi="Arial"/>
                <w:sz w:val="13"/>
                <w:szCs w:val="13"/>
                <w:b w:val="1"/>
                <w:bCs w:val="1"/>
                <w:color w:val="F0F0F0"/>
              </w:rPr>
              <w:t>$</w:t>
            </w:r>
          </w:p>
        </w:tc>
        <w:tc>
          <w:tcPr>
            <w:tcW w:w="900" w:type="dxa"/>
            <w:vAlign w:val="bottom"/>
            <w:shd w:val="clear" w:color="auto" w:fill="001446"/>
          </w:tcPr>
          <w:p>
            <w:pPr>
              <w:jc w:val="right"/>
              <w:ind w:right="296"/>
              <w:spacing w:after="0"/>
              <w:rPr>
                <w:sz w:val="20"/>
                <w:szCs w:val="20"/>
                <w:color w:val="auto"/>
              </w:rPr>
            </w:pPr>
            <w:r>
              <w:rPr>
                <w:rFonts w:ascii="Arial" w:cs="Arial" w:eastAsia="Arial" w:hAnsi="Arial"/>
                <w:sz w:val="13"/>
                <w:szCs w:val="13"/>
                <w:b w:val="1"/>
                <w:bCs w:val="1"/>
                <w:color w:val="F0F0F0"/>
              </w:rPr>
              <w:t>(2.38)</w:t>
            </w:r>
          </w:p>
        </w:tc>
        <w:tc>
          <w:tcPr>
            <w:tcW w:w="880" w:type="dxa"/>
            <w:vAlign w:val="bottom"/>
            <w:shd w:val="clear" w:color="auto" w:fill="001446"/>
          </w:tcPr>
          <w:p>
            <w:pPr>
              <w:jc w:val="right"/>
              <w:ind w:right="396"/>
              <w:spacing w:after="0"/>
              <w:rPr>
                <w:sz w:val="20"/>
                <w:szCs w:val="20"/>
                <w:color w:val="auto"/>
              </w:rPr>
            </w:pPr>
            <w:r>
              <w:rPr>
                <w:rFonts w:ascii="Arial" w:cs="Arial" w:eastAsia="Arial" w:hAnsi="Arial"/>
                <w:sz w:val="13"/>
                <w:szCs w:val="13"/>
                <w:b w:val="1"/>
                <w:bCs w:val="1"/>
                <w:color w:val="F0F0F0"/>
              </w:rPr>
              <w:t>$</w:t>
            </w:r>
          </w:p>
        </w:tc>
        <w:tc>
          <w:tcPr>
            <w:tcW w:w="600" w:type="dxa"/>
            <w:vAlign w:val="bottom"/>
            <w:shd w:val="clear" w:color="auto" w:fill="001446"/>
          </w:tcPr>
          <w:p>
            <w:pPr>
              <w:jc w:val="right"/>
              <w:ind w:right="16"/>
              <w:spacing w:after="0"/>
              <w:rPr>
                <w:sz w:val="20"/>
                <w:szCs w:val="20"/>
                <w:color w:val="auto"/>
              </w:rPr>
            </w:pPr>
            <w:r>
              <w:rPr>
                <w:rFonts w:ascii="Arial" w:cs="Arial" w:eastAsia="Arial" w:hAnsi="Arial"/>
                <w:sz w:val="13"/>
                <w:szCs w:val="13"/>
                <w:b w:val="1"/>
                <w:bCs w:val="1"/>
                <w:color w:val="F0F0F0"/>
              </w:rPr>
              <w:t>(22.99)</w:t>
            </w:r>
          </w:p>
        </w:tc>
      </w:tr>
      <w:tr>
        <w:trPr>
          <w:trHeight w:val="90"/>
        </w:trPr>
        <w:tc>
          <w:tcPr>
            <w:tcW w:w="1180" w:type="dxa"/>
            <w:vAlign w:val="bottom"/>
            <w:shd w:val="clear" w:color="auto" w:fill="001446"/>
          </w:tcPr>
          <w:p>
            <w:pPr>
              <w:spacing w:after="0"/>
              <w:rPr>
                <w:sz w:val="7"/>
                <w:szCs w:val="7"/>
                <w:color w:val="auto"/>
              </w:rPr>
            </w:pPr>
          </w:p>
        </w:tc>
        <w:tc>
          <w:tcPr>
            <w:tcW w:w="540" w:type="dxa"/>
            <w:vAlign w:val="bottom"/>
            <w:shd w:val="clear" w:color="auto" w:fill="001446"/>
          </w:tcPr>
          <w:p>
            <w:pPr>
              <w:spacing w:after="0"/>
              <w:rPr>
                <w:sz w:val="7"/>
                <w:szCs w:val="7"/>
                <w:color w:val="auto"/>
              </w:rPr>
            </w:pPr>
          </w:p>
        </w:tc>
        <w:tc>
          <w:tcPr>
            <w:tcW w:w="3880" w:type="dxa"/>
            <w:vAlign w:val="bottom"/>
            <w:shd w:val="clear" w:color="auto" w:fill="001446"/>
          </w:tcPr>
          <w:p>
            <w:pPr>
              <w:spacing w:after="0"/>
              <w:rPr>
                <w:sz w:val="7"/>
                <w:szCs w:val="7"/>
                <w:color w:val="auto"/>
              </w:rPr>
            </w:pPr>
          </w:p>
        </w:tc>
        <w:tc>
          <w:tcPr>
            <w:tcW w:w="2300" w:type="dxa"/>
            <w:vAlign w:val="bottom"/>
            <w:shd w:val="clear" w:color="auto" w:fill="001446"/>
          </w:tcPr>
          <w:p>
            <w:pPr>
              <w:spacing w:after="0"/>
              <w:rPr>
                <w:sz w:val="7"/>
                <w:szCs w:val="7"/>
                <w:color w:val="auto"/>
              </w:rPr>
            </w:pPr>
          </w:p>
        </w:tc>
        <w:tc>
          <w:tcPr>
            <w:tcW w:w="900" w:type="dxa"/>
            <w:vAlign w:val="bottom"/>
            <w:shd w:val="clear" w:color="auto" w:fill="001446"/>
          </w:tcPr>
          <w:p>
            <w:pPr>
              <w:spacing w:after="0"/>
              <w:rPr>
                <w:sz w:val="7"/>
                <w:szCs w:val="7"/>
                <w:color w:val="auto"/>
              </w:rPr>
            </w:pPr>
          </w:p>
        </w:tc>
        <w:tc>
          <w:tcPr>
            <w:tcW w:w="880" w:type="dxa"/>
            <w:vAlign w:val="bottom"/>
            <w:shd w:val="clear" w:color="auto" w:fill="001446"/>
          </w:tcPr>
          <w:p>
            <w:pPr>
              <w:spacing w:after="0"/>
              <w:rPr>
                <w:sz w:val="7"/>
                <w:szCs w:val="7"/>
                <w:color w:val="auto"/>
              </w:rPr>
            </w:pPr>
          </w:p>
        </w:tc>
        <w:tc>
          <w:tcPr>
            <w:tcW w:w="600" w:type="dxa"/>
            <w:vAlign w:val="bottom"/>
            <w:shd w:val="clear" w:color="auto" w:fill="001446"/>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116840</wp:posOffset>
                </wp:positionV>
                <wp:extent cx="6532245" cy="58420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442" o:spid="_x0000_s1467" style="position:absolute;margin-left:-0.1499pt;margin-top:9.2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431800</wp:posOffset>
                </wp:positionV>
                <wp:extent cx="6532245"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pt" to="514.15pt,34pt" o:allowincell="f" strokecolor="#000000" strokeweight="1.6199pt"/>
            </w:pict>
          </mc:Fallback>
        </mc:AlternateContent>
      </w:r>
    </w:p>
    <w:p>
      <w:pPr>
        <w:sectPr>
          <w:pgSz w:w="11900" w:h="16840" w:orient="portrait"/>
          <w:cols w:equalWidth="0" w:num="1">
            <w:col w:w="10280"/>
          </w:cols>
          <w:pgMar w:left="820" w:top="999" w:right="804"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b w:val="1"/>
          <w:bCs w:val="1"/>
          <w:color w:val="2E90D6"/>
        </w:rPr>
        <w:t>Appendix B:</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Amendment to the Company’s Restated Certificate of Incorporation to Limit the Liability of Certain Officers as Permitted by Law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-94615</wp:posOffset>
                </wp:positionV>
                <wp:extent cx="653224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0668">
                          <a:solidFill>
                            <a:srgbClr val="78BAE6"/>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4499pt" to="514.15pt,-7.4499pt" o:allowincell="f" strokecolor="#78BAE6" strokeweight="0.8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21590</wp:posOffset>
                </wp:positionV>
                <wp:extent cx="6532245"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6">
                          <a:solidFill>
                            <a:srgbClr val="78BAE6"/>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pt" to="514.15pt,1.7pt" o:allowincell="f" strokecolor="#78BAE6" strokeweight="0.78pt"/>
            </w:pict>
          </mc:Fallback>
        </mc:AlternateConten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1446"/>
        </w:rPr>
        <w:t>Article X</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1446"/>
        </w:rPr>
        <w:t xml:space="preserve">LIABILITY OF DIRECTORS </w:t>
      </w:r>
      <w:r>
        <w:rPr>
          <w:rFonts w:ascii="Arial" w:cs="Arial" w:eastAsia="Arial" w:hAnsi="Arial"/>
          <w:sz w:val="14"/>
          <w:szCs w:val="14"/>
          <w:u w:val="single" w:color="auto"/>
          <w:color w:val="061ED0"/>
        </w:rPr>
        <w:t>AND OFFICERS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4"/>
          <w:szCs w:val="14"/>
          <w:color w:val="001446"/>
        </w:rPr>
        <w:t xml:space="preserve">Section 10.1 </w:t>
      </w:r>
      <w:r>
        <w:rPr>
          <w:rFonts w:ascii="Arial" w:cs="Arial" w:eastAsia="Arial" w:hAnsi="Arial"/>
          <w:sz w:val="14"/>
          <w:szCs w:val="14"/>
          <w:u w:val="single" w:color="auto"/>
          <w:color w:val="001446"/>
        </w:rPr>
        <w:t>No Personal Liabilit</w:t>
      </w:r>
      <w:r>
        <w:rPr>
          <w:rFonts w:ascii="Arial" w:cs="Arial" w:eastAsia="Arial" w:hAnsi="Arial"/>
          <w:sz w:val="14"/>
          <w:szCs w:val="14"/>
          <w:color w:val="001446"/>
        </w:rPr>
        <w:t xml:space="preserve">y. To the fullest extent permitted by the DGCL as the same exists or as may hereafter be amended, no director </w:t>
      </w:r>
      <w:r>
        <w:rPr>
          <w:rFonts w:ascii="Arial" w:cs="Arial" w:eastAsia="Arial" w:hAnsi="Arial"/>
          <w:sz w:val="14"/>
          <w:szCs w:val="14"/>
          <w:u w:val="single" w:color="auto"/>
          <w:color w:val="061ED0"/>
        </w:rPr>
        <w:t>or officer</w:t>
      </w:r>
      <w:r>
        <w:rPr>
          <w:rFonts w:ascii="Arial" w:cs="Arial" w:eastAsia="Arial" w:hAnsi="Arial"/>
          <w:sz w:val="14"/>
          <w:szCs w:val="14"/>
          <w:color w:val="001446"/>
        </w:rPr>
        <w:t xml:space="preserve"> of the Corporation shall be personally liable to the Corporation or its stockholders for monetary damages for breach of fiduciary duty as a director </w:t>
      </w:r>
      <w:r>
        <w:rPr>
          <w:rFonts w:ascii="Arial" w:cs="Arial" w:eastAsia="Arial" w:hAnsi="Arial"/>
          <w:sz w:val="14"/>
          <w:szCs w:val="14"/>
          <w:u w:val="single" w:color="auto"/>
          <w:color w:val="061ED0"/>
        </w:rPr>
        <w:t>or officer</w:t>
      </w:r>
      <w:r>
        <w:rPr>
          <w:rFonts w:ascii="Arial" w:cs="Arial" w:eastAsia="Arial" w:hAnsi="Arial"/>
          <w:sz w:val="14"/>
          <w:szCs w:val="14"/>
          <w:color w:val="061ED0"/>
        </w:rPr>
        <w:t>, as</w:t>
      </w:r>
      <w:r>
        <w:rPr>
          <w:rFonts w:ascii="Arial" w:cs="Arial" w:eastAsia="Arial" w:hAnsi="Arial"/>
          <w:sz w:val="14"/>
          <w:szCs w:val="14"/>
          <w:color w:val="001446"/>
        </w:rPr>
        <w:t xml:space="preserve"> </w:t>
      </w:r>
      <w:r>
        <w:rPr>
          <w:rFonts w:ascii="Arial" w:cs="Arial" w:eastAsia="Arial" w:hAnsi="Arial"/>
          <w:sz w:val="14"/>
          <w:szCs w:val="14"/>
          <w:u w:val="single" w:color="auto"/>
          <w:color w:val="061ED0"/>
        </w:rPr>
        <w:t>applicable</w:t>
      </w:r>
      <w:r>
        <w:rPr>
          <w:rFonts w:ascii="Arial" w:cs="Arial" w:eastAsia="Arial" w:hAnsi="Arial"/>
          <w:sz w:val="14"/>
          <w:szCs w:val="14"/>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-135890</wp:posOffset>
            </wp:positionV>
            <wp:extent cx="10160" cy="4763"/>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61">
                      <a:extLst>
                        <a:ext uri="{28A0092B-C50C-407E-A947-70E740481C1C}"/>
                      </a:extLst>
                    </a:blip>
                    <a:srcRect/>
                    <a:stretch>
                      <a:fillRect/>
                    </a:stretch>
                  </pic:blipFill>
                  <pic:spPr bwMode="auto">
                    <a:xfrm>
                      <a:off x="0" y="0"/>
                      <a:ext cx="10160" cy="4763"/>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-29210</wp:posOffset>
            </wp:positionV>
            <wp:extent cx="127000" cy="4763"/>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62">
                      <a:extLst>
                        <a:ext uri="{28A0092B-C50C-407E-A947-70E740481C1C}"/>
                      </a:extLst>
                    </a:blip>
                    <a:srcRect/>
                    <a:stretch>
                      <a:fillRect/>
                    </a:stretch>
                  </pic:blipFill>
                  <pic:spPr bwMode="auto">
                    <a:xfrm>
                      <a:off x="0" y="0"/>
                      <a:ext cx="127000" cy="4763"/>
                    </a:xfrm>
                    <a:prstGeom prst="rect">
                      <a:avLst/>
                    </a:prstGeom>
                    <a:noFill/>
                  </pic:spPr>
                </pic:pic>
              </a:graphicData>
            </a:graphic>
          </wp:anchor>
        </w:drawing>
      </w:r>
    </w:p>
    <w:p>
      <w:pPr>
        <w:spacing w:after="0" w:line="268" w:lineRule="exact"/>
        <w:rPr>
          <w:sz w:val="20"/>
          <w:szCs w:val="20"/>
          <w:color w:val="auto"/>
        </w:rPr>
      </w:pPr>
    </w:p>
    <w:p>
      <w:pPr>
        <w:jc w:val="both"/>
        <w:ind w:right="220"/>
        <w:spacing w:after="0" w:line="275" w:lineRule="auto"/>
        <w:rPr>
          <w:sz w:val="20"/>
          <w:szCs w:val="20"/>
          <w:color w:val="auto"/>
        </w:rPr>
      </w:pPr>
      <w:r>
        <w:rPr>
          <w:rFonts w:ascii="Arial" w:cs="Arial" w:eastAsia="Arial" w:hAnsi="Arial"/>
          <w:sz w:val="14"/>
          <w:szCs w:val="14"/>
          <w:color w:val="001446"/>
        </w:rPr>
        <w:t xml:space="preserve">Section 10.2 </w:t>
      </w:r>
      <w:r>
        <w:rPr>
          <w:rFonts w:ascii="Arial" w:cs="Arial" w:eastAsia="Arial" w:hAnsi="Arial"/>
          <w:sz w:val="14"/>
          <w:szCs w:val="14"/>
          <w:u w:val="single" w:color="auto"/>
          <w:color w:val="001446"/>
        </w:rPr>
        <w:t>Amendment or Repeal</w:t>
      </w:r>
      <w:r>
        <w:rPr>
          <w:rFonts w:ascii="Arial" w:cs="Arial" w:eastAsia="Arial" w:hAnsi="Arial"/>
          <w:sz w:val="14"/>
          <w:szCs w:val="14"/>
          <w:color w:val="001446"/>
        </w:rPr>
        <w:t xml:space="preserve">. Any amendment, alteration or repeal of this Article X that adversely affects any right of a director </w:t>
      </w:r>
      <w:r>
        <w:rPr>
          <w:rFonts w:ascii="Arial" w:cs="Arial" w:eastAsia="Arial" w:hAnsi="Arial"/>
          <w:sz w:val="14"/>
          <w:szCs w:val="14"/>
          <w:u w:val="single" w:color="auto"/>
          <w:color w:val="061ED0"/>
        </w:rPr>
        <w:t>or officer</w:t>
      </w:r>
      <w:r>
        <w:rPr>
          <w:rFonts w:ascii="Arial" w:cs="Arial" w:eastAsia="Arial" w:hAnsi="Arial"/>
          <w:sz w:val="14"/>
          <w:szCs w:val="14"/>
          <w:color w:val="001446"/>
        </w:rPr>
        <w:t xml:space="preserve"> shall be prospective only and shall not limit or eliminate any such right with respect to any proceeding involving any occurrence or alleged occurrence of any action or omission to act that took place prior to such amendment or repeal.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85725</wp:posOffset>
                </wp:positionV>
                <wp:extent cx="6532245" cy="5842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584200"/>
                        </a:xfrm>
                        <a:prstGeom prst="rect">
                          <a:avLst/>
                        </a:prstGeom>
                        <a:solidFill>
                          <a:srgbClr val="00082E"/>
                        </a:solidFill>
                      </wps:spPr>
                      <wps:bodyPr/>
                    </wps:wsp>
                  </a:graphicData>
                </a:graphic>
              </wp:anchor>
            </w:drawing>
          </mc:Choice>
          <mc:Fallback>
            <w:pict>
              <v:rect id="Shape 448" o:spid="_x0000_s1473" style="position:absolute;margin-left:-0.1499pt;margin-top:6.75pt;width:514.35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82E" stroked="f"/>
            </w:pict>
          </mc:Fallback>
        </mc:AlternateContent>
      </w:r>
    </w:p>
    <w:p>
      <w:pPr>
        <w:spacing w:after="0" w:line="200" w:lineRule="exact"/>
        <w:rPr>
          <w:sz w:val="20"/>
          <w:szCs w:val="20"/>
          <w:color w:val="auto"/>
        </w:rPr>
      </w:pPr>
    </w:p>
    <w:p>
      <w:pPr>
        <w:spacing w:after="0" w:line="265" w:lineRule="exact"/>
        <w:rPr>
          <w:sz w:val="20"/>
          <w:szCs w:val="20"/>
          <w:color w:val="auto"/>
        </w:rPr>
      </w:pPr>
    </w:p>
    <w:p>
      <w:pPr>
        <w:ind w:left="620"/>
        <w:spacing w:after="0"/>
        <w:rPr>
          <w:sz w:val="20"/>
          <w:szCs w:val="20"/>
          <w:color w:val="auto"/>
        </w:rPr>
      </w:pPr>
      <w:r>
        <w:rPr>
          <w:rFonts w:ascii="Arial" w:cs="Arial" w:eastAsia="Arial" w:hAnsi="Arial"/>
          <w:sz w:val="16"/>
          <w:szCs w:val="16"/>
          <w:color w:val="FFFFFF"/>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432435</wp:posOffset>
                </wp:positionV>
                <wp:extent cx="6532245"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05pt" to="514.15pt,34.05pt" o:allowincell="f" strokecolor="#000000" strokeweight="1.6199pt"/>
            </w:pict>
          </mc:Fallback>
        </mc:AlternateContent>
      </w:r>
    </w:p>
    <w:p>
      <w:pPr>
        <w:sectPr>
          <w:pgSz w:w="11900" w:h="16840" w:orient="portrait"/>
          <w:cols w:equalWidth="0" w:num="1">
            <w:col w:w="10200"/>
          </w:cols>
          <w:pgMar w:left="820" w:top="967" w:right="884" w:bottom="1440" w:gutter="0" w:footer="0" w:header="0"/>
        </w:sectPr>
      </w:pPr>
    </w:p>
    <w:bookmarkStart w:id="223" w:name="page224"/>
    <w:bookmarkEnd w:id="223"/>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518160</wp:posOffset>
                </wp:positionH>
                <wp:positionV relativeFrom="page">
                  <wp:posOffset>5588000</wp:posOffset>
                </wp:positionV>
                <wp:extent cx="6532880" cy="58420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880" cy="584200"/>
                        </a:xfrm>
                        <a:prstGeom prst="rect">
                          <a:avLst/>
                        </a:prstGeom>
                        <a:solidFill>
                          <a:srgbClr val="00082E"/>
                        </a:solidFill>
                      </wps:spPr>
                      <wps:bodyPr/>
                    </wps:wsp>
                  </a:graphicData>
                </a:graphic>
              </wp:anchor>
            </w:drawing>
          </mc:Choice>
          <mc:Fallback>
            <w:pict>
              <v:rect id="Shape 450" o:spid="_x0000_s1475" style="position:absolute;margin-left:40.8pt;margin-top:440pt;width:514.4pt;height:4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82E" stroked="f">
                <w10:wrap anchorx="page" anchory="page"/>
              </v:rect>
            </w:pict>
          </mc:Fallback>
        </mc:AlternateContent>
        <w:drawing>
          <wp:anchor simplePos="0" relativeHeight="251657728" behindDoc="1" locked="0" layoutInCell="0" allowOverlap="1">
            <wp:simplePos x="0" y="0"/>
            <wp:positionH relativeFrom="page">
              <wp:posOffset>518160</wp:posOffset>
            </wp:positionH>
            <wp:positionV relativeFrom="page">
              <wp:posOffset>807720</wp:posOffset>
            </wp:positionV>
            <wp:extent cx="6593840" cy="45440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63">
                      <a:extLst>
                        <a:ext uri="{28A0092B-C50C-407E-A947-70E740481C1C}"/>
                      </a:extLst>
                    </a:blip>
                    <a:srcRect/>
                    <a:stretch>
                      <a:fillRect/>
                    </a:stretch>
                  </pic:blipFill>
                  <pic:spPr bwMode="auto">
                    <a:xfrm>
                      <a:off x="0" y="0"/>
                      <a:ext cx="6593840" cy="454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FFFFFF"/>
        </w:rPr>
        <w:t>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-396240</wp:posOffset>
                </wp:positionH>
                <wp:positionV relativeFrom="paragraph">
                  <wp:posOffset>432435</wp:posOffset>
                </wp:positionV>
                <wp:extent cx="6532245"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20573">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999pt,34.05pt" to="483.15pt,34.05pt" o:allowincell="f" strokecolor="#000000" strokeweight="1.6199pt"/>
            </w:pict>
          </mc:Fallback>
        </mc:AlternateContent>
      </w:r>
    </w:p>
    <w:p>
      <w:pPr>
        <w:sectPr>
          <w:pgSz w:w="11900" w:h="16840" w:orient="portrait"/>
          <w:cols w:equalWidth="0" w:num="1">
            <w:col w:w="9024"/>
          </w:cols>
          <w:pgMar w:left="1440" w:top="1440" w:right="1440" w:bottom="1440" w:gutter="0" w:footer="0" w:header="0"/>
        </w:sectPr>
      </w:pPr>
    </w:p>
    <w:bookmarkStart w:id="224" w:name="page225"/>
    <w:bookmarkEnd w:id="224"/>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845185</wp:posOffset>
            </wp:positionH>
            <wp:positionV relativeFrom="page">
              <wp:posOffset>635000</wp:posOffset>
            </wp:positionV>
            <wp:extent cx="1653540" cy="3429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653540" cy="342900"/>
                    </a:xfrm>
                    <a:prstGeom prst="rect">
                      <a:avLst/>
                    </a:prstGeom>
                    <a:noFill/>
                  </pic:spPr>
                </pic:pic>
              </a:graphicData>
            </a:graphic>
          </wp:anchor>
        </w:drawing>
        <w:drawing>
          <wp:anchor simplePos="0" relativeHeight="251657728" behindDoc="1" locked="0" layoutInCell="0" allowOverlap="1">
            <wp:simplePos x="0" y="0"/>
            <wp:positionH relativeFrom="page">
              <wp:posOffset>3931285</wp:posOffset>
            </wp:positionH>
            <wp:positionV relativeFrom="page">
              <wp:posOffset>635000</wp:posOffset>
            </wp:positionV>
            <wp:extent cx="1889760" cy="4419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889760" cy="44196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49"/>
        </w:trPr>
        <w:tc>
          <w:tcPr>
            <w:tcW w:w="3400" w:type="dxa"/>
            <w:vAlign w:val="bottom"/>
          </w:tcPr>
          <w:p>
            <w:pPr>
              <w:spacing w:after="0"/>
              <w:rPr>
                <w:sz w:val="20"/>
                <w:szCs w:val="20"/>
                <w:color w:val="auto"/>
              </w:rPr>
            </w:pPr>
            <w:r>
              <w:rPr>
                <w:rFonts w:ascii="Arial" w:cs="Arial" w:eastAsia="Arial" w:hAnsi="Arial"/>
                <w:sz w:val="13"/>
                <w:szCs w:val="13"/>
                <w:i w:val="1"/>
                <w:iCs w:val="1"/>
                <w:color w:val="auto"/>
              </w:rPr>
              <w:t>SOLAREDGE TECHNOLOGIES, INC.</w:t>
            </w:r>
          </w:p>
        </w:tc>
        <w:tc>
          <w:tcPr>
            <w:tcW w:w="5840" w:type="dxa"/>
            <w:vAlign w:val="bottom"/>
            <w:gridSpan w:val="7"/>
          </w:tcPr>
          <w:p>
            <w:pPr>
              <w:ind w:left="1220"/>
              <w:spacing w:after="0"/>
              <w:rPr>
                <w:sz w:val="20"/>
                <w:szCs w:val="20"/>
                <w:color w:val="auto"/>
              </w:rPr>
            </w:pPr>
            <w:r>
              <w:rPr>
                <w:rFonts w:ascii="Arial" w:cs="Arial" w:eastAsia="Arial" w:hAnsi="Arial"/>
                <w:sz w:val="13"/>
                <w:szCs w:val="13"/>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line="144" w:lineRule="exact"/>
              <w:rPr>
                <w:sz w:val="20"/>
                <w:szCs w:val="20"/>
                <w:color w:val="auto"/>
              </w:rPr>
            </w:pPr>
            <w:r>
              <w:rPr>
                <w:rFonts w:ascii="Arial" w:cs="Arial" w:eastAsia="Arial" w:hAnsi="Arial"/>
                <w:sz w:val="13"/>
                <w:szCs w:val="13"/>
                <w:i w:val="1"/>
                <w:iCs w:val="1"/>
                <w:color w:val="auto"/>
              </w:rPr>
              <w:t>1 HAMADA ST.</w:t>
            </w:r>
          </w:p>
        </w:tc>
        <w:tc>
          <w:tcPr>
            <w:tcW w:w="2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vMerge w:val="continue"/>
          </w:tcPr>
          <w:p>
            <w:pPr>
              <w:spacing w:after="0"/>
              <w:rPr>
                <w:sz w:val="10"/>
                <w:szCs w:val="10"/>
                <w:color w:val="auto"/>
              </w:rPr>
            </w:pPr>
          </w:p>
        </w:tc>
        <w:tc>
          <w:tcPr>
            <w:tcW w:w="2900" w:type="dxa"/>
            <w:vAlign w:val="bottom"/>
            <w:gridSpan w:val="2"/>
          </w:tcPr>
          <w:p>
            <w:pPr>
              <w:ind w:left="1220"/>
              <w:spacing w:after="0" w:line="124" w:lineRule="exact"/>
              <w:rPr>
                <w:sz w:val="20"/>
                <w:szCs w:val="20"/>
                <w:color w:val="auto"/>
              </w:rPr>
            </w:pPr>
            <w:r>
              <w:rPr>
                <w:rFonts w:ascii="Arial" w:cs="Arial" w:eastAsia="Arial" w:hAnsi="Arial"/>
                <w:sz w:val="13"/>
                <w:szCs w:val="13"/>
                <w:color w:val="auto"/>
              </w:rPr>
              <w:t>Use the Internet to transmit</w:t>
            </w:r>
          </w:p>
        </w:tc>
        <w:tc>
          <w:tcPr>
            <w:tcW w:w="2940" w:type="dxa"/>
            <w:vAlign w:val="bottom"/>
            <w:gridSpan w:val="5"/>
          </w:tcPr>
          <w:p>
            <w:pPr>
              <w:spacing w:after="0" w:line="124" w:lineRule="exact"/>
              <w:rPr>
                <w:sz w:val="20"/>
                <w:szCs w:val="20"/>
                <w:color w:val="auto"/>
              </w:rPr>
            </w:pPr>
            <w:r>
              <w:rPr>
                <w:rFonts w:ascii="Arial" w:cs="Arial" w:eastAsia="Arial" w:hAnsi="Arial"/>
                <w:sz w:val="13"/>
                <w:szCs w:val="13"/>
                <w:color w:val="auto"/>
                <w:w w:val="97"/>
              </w:rPr>
              <w:t>your voting instructions and for electronic delivery of</w:t>
            </w:r>
          </w:p>
        </w:tc>
        <w:tc>
          <w:tcPr>
            <w:tcW w:w="0" w:type="dxa"/>
            <w:vAlign w:val="bottom"/>
          </w:tcPr>
          <w:p>
            <w:pPr>
              <w:spacing w:after="0"/>
              <w:rPr>
                <w:sz w:val="1"/>
                <w:szCs w:val="1"/>
                <w:color w:val="auto"/>
              </w:rPr>
            </w:pPr>
          </w:p>
        </w:tc>
      </w:tr>
      <w:tr>
        <w:trPr>
          <w:trHeight w:val="144"/>
        </w:trPr>
        <w:tc>
          <w:tcPr>
            <w:tcW w:w="3400" w:type="dxa"/>
            <w:vAlign w:val="bottom"/>
          </w:tcPr>
          <w:p>
            <w:pPr>
              <w:spacing w:after="0" w:line="144" w:lineRule="exact"/>
              <w:rPr>
                <w:sz w:val="20"/>
                <w:szCs w:val="20"/>
                <w:color w:val="auto"/>
              </w:rPr>
            </w:pPr>
            <w:r>
              <w:rPr>
                <w:rFonts w:ascii="Arial" w:cs="Arial" w:eastAsia="Arial" w:hAnsi="Arial"/>
                <w:sz w:val="13"/>
                <w:szCs w:val="13"/>
                <w:i w:val="1"/>
                <w:iCs w:val="1"/>
                <w:color w:val="auto"/>
              </w:rPr>
              <w:t>HERZLIYA PITUACH 4673335</w:t>
            </w:r>
          </w:p>
        </w:tc>
        <w:tc>
          <w:tcPr>
            <w:tcW w:w="5840" w:type="dxa"/>
            <w:vAlign w:val="bottom"/>
            <w:gridSpan w:val="7"/>
          </w:tcPr>
          <w:p>
            <w:pPr>
              <w:ind w:left="1220"/>
              <w:spacing w:after="0" w:line="144" w:lineRule="exact"/>
              <w:rPr>
                <w:sz w:val="20"/>
                <w:szCs w:val="20"/>
                <w:color w:val="auto"/>
              </w:rPr>
            </w:pPr>
            <w:r>
              <w:rPr>
                <w:rFonts w:ascii="Arial" w:cs="Arial" w:eastAsia="Arial" w:hAnsi="Arial"/>
                <w:sz w:val="13"/>
                <w:szCs w:val="13"/>
                <w:color w:val="auto"/>
                <w:w w:val="99"/>
              </w:rPr>
              <w:t>information. Vote by 11:59 p.m. Eastern Time on June 2, 2026. Have your proxy</w:t>
            </w:r>
          </w:p>
        </w:tc>
        <w:tc>
          <w:tcPr>
            <w:tcW w:w="0" w:type="dxa"/>
            <w:vAlign w:val="bottom"/>
          </w:tcPr>
          <w:p>
            <w:pPr>
              <w:spacing w:after="0"/>
              <w:rPr>
                <w:sz w:val="1"/>
                <w:szCs w:val="1"/>
                <w:color w:val="auto"/>
              </w:rPr>
            </w:pPr>
          </w:p>
        </w:tc>
      </w:tr>
      <w:tr>
        <w:trPr>
          <w:trHeight w:val="144"/>
        </w:trPr>
        <w:tc>
          <w:tcPr>
            <w:tcW w:w="3400" w:type="dxa"/>
            <w:vAlign w:val="bottom"/>
          </w:tcPr>
          <w:p>
            <w:pPr>
              <w:spacing w:after="0" w:line="144" w:lineRule="exact"/>
              <w:rPr>
                <w:sz w:val="20"/>
                <w:szCs w:val="20"/>
                <w:color w:val="auto"/>
              </w:rPr>
            </w:pPr>
            <w:r>
              <w:rPr>
                <w:rFonts w:ascii="Arial" w:cs="Arial" w:eastAsia="Arial" w:hAnsi="Arial"/>
                <w:sz w:val="13"/>
                <w:szCs w:val="13"/>
                <w:i w:val="1"/>
                <w:iCs w:val="1"/>
                <w:color w:val="auto"/>
              </w:rPr>
              <w:t>ISRAEL</w:t>
            </w:r>
          </w:p>
        </w:tc>
        <w:tc>
          <w:tcPr>
            <w:tcW w:w="5840" w:type="dxa"/>
            <w:vAlign w:val="bottom"/>
            <w:gridSpan w:val="7"/>
          </w:tcPr>
          <w:p>
            <w:pPr>
              <w:ind w:left="1220"/>
              <w:spacing w:after="0" w:line="144" w:lineRule="exact"/>
              <w:rPr>
                <w:sz w:val="20"/>
                <w:szCs w:val="20"/>
                <w:color w:val="auto"/>
              </w:rPr>
            </w:pPr>
            <w:r>
              <w:rPr>
                <w:rFonts w:ascii="Arial" w:cs="Arial" w:eastAsia="Arial" w:hAnsi="Arial"/>
                <w:sz w:val="13"/>
                <w:szCs w:val="13"/>
                <w:color w:val="auto"/>
              </w:rPr>
              <w:t>card in hand when you access the website and follow the instructions to obtain</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5840" w:type="dxa"/>
            <w:vAlign w:val="bottom"/>
            <w:gridSpan w:val="7"/>
          </w:tcPr>
          <w:p>
            <w:pPr>
              <w:ind w:left="1220"/>
              <w:spacing w:after="0"/>
              <w:rPr>
                <w:sz w:val="20"/>
                <w:szCs w:val="20"/>
                <w:color w:val="auto"/>
              </w:rPr>
            </w:pPr>
            <w:r>
              <w:rPr>
                <w:rFonts w:ascii="Arial" w:cs="Arial" w:eastAsia="Arial" w:hAnsi="Arial"/>
                <w:sz w:val="13"/>
                <w:szCs w:val="13"/>
                <w:color w:val="auto"/>
              </w:rPr>
              <w:t>your records and to create an electronic voting instruction form.</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ELECTRONIC DELIVERY OF FUTURE PROXY MATERIALS</w:t>
      </w:r>
    </w:p>
    <w:p>
      <w:pPr>
        <w:ind w:left="5140"/>
        <w:spacing w:after="0" w:line="231" w:lineRule="auto"/>
        <w:rPr>
          <w:sz w:val="20"/>
          <w:szCs w:val="20"/>
          <w:color w:val="auto"/>
        </w:rPr>
      </w:pPr>
      <w:r>
        <w:rPr>
          <w:rFonts w:ascii="Arial" w:cs="Arial" w:eastAsia="Arial" w:hAnsi="Arial"/>
          <w:sz w:val="13"/>
          <w:szCs w:val="13"/>
          <w:color w:val="auto"/>
        </w:rPr>
        <w:t>If you would like to reduce the costs incurred by our company in mailing proxy</w:t>
      </w:r>
    </w:p>
    <w:p>
      <w:pPr>
        <w:ind w:left="5140"/>
        <w:spacing w:after="0" w:line="232" w:lineRule="auto"/>
        <w:rPr>
          <w:sz w:val="20"/>
          <w:szCs w:val="20"/>
          <w:color w:val="auto"/>
        </w:rPr>
      </w:pPr>
      <w:r>
        <w:rPr>
          <w:rFonts w:ascii="Arial" w:cs="Arial" w:eastAsia="Arial" w:hAnsi="Arial"/>
          <w:sz w:val="13"/>
          <w:szCs w:val="13"/>
          <w:color w:val="auto"/>
        </w:rPr>
        <w:t>materials, you can consent to receiving all future proxy statements, proxy cards</w:t>
      </w:r>
    </w:p>
    <w:p>
      <w:pPr>
        <w:ind w:left="5140"/>
        <w:spacing w:after="0" w:line="231" w:lineRule="auto"/>
        <w:rPr>
          <w:sz w:val="20"/>
          <w:szCs w:val="20"/>
          <w:color w:val="auto"/>
        </w:rPr>
      </w:pPr>
      <w:r>
        <w:rPr>
          <w:rFonts w:ascii="Arial" w:cs="Arial" w:eastAsia="Arial" w:hAnsi="Arial"/>
          <w:sz w:val="13"/>
          <w:szCs w:val="13"/>
          <w:color w:val="auto"/>
        </w:rPr>
        <w:t>and annual reports electronically via e-mail or the Internet. To sign up for</w:t>
      </w:r>
    </w:p>
    <w:p>
      <w:pPr>
        <w:ind w:left="5140"/>
        <w:spacing w:after="0" w:line="231" w:lineRule="auto"/>
        <w:rPr>
          <w:sz w:val="20"/>
          <w:szCs w:val="20"/>
          <w:color w:val="auto"/>
        </w:rPr>
      </w:pPr>
      <w:r>
        <w:rPr>
          <w:rFonts w:ascii="Arial" w:cs="Arial" w:eastAsia="Arial" w:hAnsi="Arial"/>
          <w:sz w:val="13"/>
          <w:szCs w:val="13"/>
          <w:color w:val="auto"/>
        </w:rPr>
        <w:t>electronic delivery, please follow the instructions above to vote using the Internet</w:t>
      </w:r>
    </w:p>
    <w:p>
      <w:pPr>
        <w:ind w:left="5140"/>
        <w:spacing w:after="0" w:line="231" w:lineRule="auto"/>
        <w:rPr>
          <w:sz w:val="20"/>
          <w:szCs w:val="20"/>
          <w:color w:val="auto"/>
        </w:rPr>
      </w:pPr>
      <w:r>
        <w:rPr>
          <w:rFonts w:ascii="Arial" w:cs="Arial" w:eastAsia="Arial" w:hAnsi="Arial"/>
          <w:sz w:val="13"/>
          <w:szCs w:val="13"/>
          <w:color w:val="auto"/>
        </w:rPr>
        <w:t>and, when prompted, indicate that you agree to receive or access proxy materials</w:t>
      </w:r>
    </w:p>
    <w:p>
      <w:pPr>
        <w:ind w:left="5140"/>
        <w:spacing w:after="0"/>
        <w:rPr>
          <w:sz w:val="20"/>
          <w:szCs w:val="20"/>
          <w:color w:val="auto"/>
        </w:rPr>
      </w:pPr>
      <w:r>
        <w:rPr>
          <w:rFonts w:ascii="Arial" w:cs="Arial" w:eastAsia="Arial" w:hAnsi="Arial"/>
          <w:sz w:val="13"/>
          <w:szCs w:val="13"/>
          <w:color w:val="auto"/>
        </w:rPr>
        <w:t>electronically in future years.</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VOTE BY PHONE - 1-800-690-6903</w:t>
      </w:r>
    </w:p>
    <w:p>
      <w:pPr>
        <w:ind w:left="5140"/>
        <w:spacing w:after="0" w:line="231" w:lineRule="auto"/>
        <w:rPr>
          <w:sz w:val="20"/>
          <w:szCs w:val="20"/>
          <w:color w:val="auto"/>
        </w:rPr>
      </w:pPr>
      <w:r>
        <w:rPr>
          <w:rFonts w:ascii="Arial" w:cs="Arial" w:eastAsia="Arial" w:hAnsi="Arial"/>
          <w:sz w:val="13"/>
          <w:szCs w:val="13"/>
          <w:color w:val="auto"/>
        </w:rPr>
        <w:t>Use any touch-tone telephone to transmit your voting instructions. Vote by 11:59</w:t>
      </w:r>
    </w:p>
    <w:p>
      <w:pPr>
        <w:ind w:left="5140"/>
        <w:spacing w:after="0" w:line="232" w:lineRule="auto"/>
        <w:rPr>
          <w:sz w:val="20"/>
          <w:szCs w:val="20"/>
          <w:color w:val="auto"/>
        </w:rPr>
      </w:pPr>
      <w:r>
        <w:rPr>
          <w:rFonts w:ascii="Arial" w:cs="Arial" w:eastAsia="Arial" w:hAnsi="Arial"/>
          <w:sz w:val="13"/>
          <w:szCs w:val="13"/>
          <w:color w:val="auto"/>
        </w:rPr>
        <w:t>p.m. Eastern Time on June 2, 2026. Have your proxy card in hand when you call</w:t>
      </w:r>
    </w:p>
    <w:p>
      <w:pPr>
        <w:ind w:left="5140"/>
        <w:spacing w:after="0"/>
        <w:rPr>
          <w:sz w:val="20"/>
          <w:szCs w:val="20"/>
          <w:color w:val="auto"/>
        </w:rPr>
      </w:pPr>
      <w:r>
        <w:rPr>
          <w:rFonts w:ascii="Arial" w:cs="Arial" w:eastAsia="Arial" w:hAnsi="Arial"/>
          <w:sz w:val="13"/>
          <w:szCs w:val="13"/>
          <w:color w:val="auto"/>
        </w:rPr>
        <w:t>and then follow the instructions.</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VOTE BY MAIL</w:t>
      </w:r>
    </w:p>
    <w:p>
      <w:pPr>
        <w:ind w:left="5140"/>
        <w:spacing w:after="0" w:line="231" w:lineRule="auto"/>
        <w:rPr>
          <w:sz w:val="20"/>
          <w:szCs w:val="20"/>
          <w:color w:val="auto"/>
        </w:rPr>
      </w:pPr>
      <w:r>
        <w:rPr>
          <w:rFonts w:ascii="Arial" w:cs="Arial" w:eastAsia="Arial" w:hAnsi="Arial"/>
          <w:sz w:val="13"/>
          <w:szCs w:val="13"/>
          <w:color w:val="auto"/>
        </w:rPr>
        <w:t>Mark, sign and date your proxy card and return it in the postage-paid envelope</w:t>
      </w:r>
    </w:p>
    <w:p>
      <w:pPr>
        <w:ind w:left="5140"/>
        <w:spacing w:after="0" w:line="232" w:lineRule="auto"/>
        <w:rPr>
          <w:sz w:val="20"/>
          <w:szCs w:val="20"/>
          <w:color w:val="auto"/>
        </w:rPr>
      </w:pPr>
      <w:r>
        <w:rPr>
          <w:rFonts w:ascii="Arial" w:cs="Arial" w:eastAsia="Arial" w:hAnsi="Arial"/>
          <w:sz w:val="13"/>
          <w:szCs w:val="13"/>
          <w:color w:val="auto"/>
        </w:rPr>
        <w:t>we have provided or return it to Vote Processing, c/o Broadridge, 51 Mercedes</w:t>
      </w:r>
    </w:p>
    <w:p>
      <w:pPr>
        <w:ind w:left="5140"/>
        <w:spacing w:after="0"/>
        <w:rPr>
          <w:sz w:val="20"/>
          <w:szCs w:val="20"/>
          <w:color w:val="auto"/>
        </w:rPr>
      </w:pPr>
      <w:r>
        <w:rPr>
          <w:rFonts w:ascii="Arial" w:cs="Arial" w:eastAsia="Arial" w:hAnsi="Arial"/>
          <w:sz w:val="13"/>
          <w:szCs w:val="13"/>
          <w:color w:val="auto"/>
        </w:rPr>
        <w:t>Way, Edgewood, NY 11717.</w:t>
      </w:r>
    </w:p>
    <w:p>
      <w:pPr>
        <w:spacing w:after="0" w:line="133" w:lineRule="exact"/>
        <w:rPr>
          <w:sz w:val="20"/>
          <w:szCs w:val="20"/>
          <w:color w:val="auto"/>
        </w:rPr>
      </w:pPr>
    </w:p>
    <w:p>
      <w:pPr>
        <w:jc w:val="right"/>
        <w:ind w:right="500"/>
        <w:spacing w:after="0"/>
        <w:rPr>
          <w:sz w:val="20"/>
          <w:szCs w:val="20"/>
          <w:color w:val="auto"/>
        </w:rPr>
      </w:pPr>
      <w:r>
        <w:rPr>
          <w:rFonts w:ascii="Arial" w:cs="Arial" w:eastAsia="Arial" w:hAnsi="Arial"/>
          <w:sz w:val="13"/>
          <w:szCs w:val="13"/>
          <w:b w:val="1"/>
          <w:bCs w:val="1"/>
          <w:color w:val="auto"/>
        </w:rPr>
        <w:t>HOW TO ACCESS PROXY MATERIALS ELECTRONICALLY OR SIGN UP</w:t>
      </w:r>
    </w:p>
    <w:p>
      <w:pPr>
        <w:ind w:left="5140"/>
        <w:spacing w:after="0"/>
        <w:tabs>
          <w:tab w:leader="none" w:pos="5540" w:val="left"/>
          <w:tab w:leader="none" w:pos="6520" w:val="left"/>
          <w:tab w:leader="none" w:pos="7300" w:val="left"/>
          <w:tab w:leader="none" w:pos="7740" w:val="left"/>
          <w:tab w:leader="none" w:pos="8420" w:val="left"/>
          <w:tab w:leader="none" w:pos="8740" w:val="left"/>
        </w:tabs>
        <w:rPr>
          <w:sz w:val="20"/>
          <w:szCs w:val="20"/>
          <w:color w:val="auto"/>
        </w:rPr>
      </w:pPr>
      <w:r>
        <w:rPr>
          <w:rFonts w:ascii="Arial" w:cs="Arial" w:eastAsia="Arial" w:hAnsi="Arial"/>
          <w:sz w:val="13"/>
          <w:szCs w:val="13"/>
          <w:b w:val="1"/>
          <w:bCs w:val="1"/>
          <w:color w:val="auto"/>
        </w:rPr>
        <w:t>FOR</w:t>
        <w:tab/>
        <w:t>ELECTRONIC</w:t>
        <w:tab/>
        <w:t>DELIVERY</w:t>
        <w:tab/>
        <w:t>AND</w:t>
        <w:tab/>
        <w:t>DONATE</w:t>
        <w:tab/>
        <w:t>TO</w:t>
      </w:r>
      <w:r>
        <w:rPr>
          <w:sz w:val="20"/>
          <w:szCs w:val="20"/>
          <w:color w:val="auto"/>
        </w:rPr>
        <w:tab/>
      </w:r>
      <w:r>
        <w:rPr>
          <w:rFonts w:ascii="Arial" w:cs="Arial" w:eastAsia="Arial" w:hAnsi="Arial"/>
          <w:sz w:val="12"/>
          <w:szCs w:val="12"/>
          <w:b w:val="1"/>
          <w:bCs w:val="1"/>
          <w:color w:val="auto"/>
        </w:rPr>
        <w:t>CONSERVATION</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INTERNATIONAL IN ONLY THREE EASY STEPS:</w:t>
      </w:r>
    </w:p>
    <w:p>
      <w:pPr>
        <w:spacing w:after="0" w:line="132"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 xml:space="preserve">1. Go to </w:t>
      </w:r>
      <w:r>
        <w:rPr>
          <w:rFonts w:ascii="Arial" w:cs="Arial" w:eastAsia="Arial" w:hAnsi="Arial"/>
          <w:sz w:val="13"/>
          <w:szCs w:val="13"/>
          <w:b w:val="1"/>
          <w:bCs w:val="1"/>
          <w:u w:val="single" w:color="auto"/>
          <w:color w:val="auto"/>
        </w:rPr>
        <w:t>www.prox</w:t>
      </w:r>
      <w:r>
        <w:rPr>
          <w:rFonts w:ascii="Arial" w:cs="Arial" w:eastAsia="Arial" w:hAnsi="Arial"/>
          <w:sz w:val="13"/>
          <w:szCs w:val="13"/>
          <w:b w:val="1"/>
          <w:bCs w:val="1"/>
          <w:color w:val="auto"/>
        </w:rPr>
        <w:t>y</w:t>
      </w:r>
      <w:r>
        <w:rPr>
          <w:rFonts w:ascii="Arial" w:cs="Arial" w:eastAsia="Arial" w:hAnsi="Arial"/>
          <w:sz w:val="13"/>
          <w:szCs w:val="13"/>
          <w:b w:val="1"/>
          <w:bCs w:val="1"/>
          <w:u w:val="single" w:color="auto"/>
          <w:color w:val="auto"/>
        </w:rPr>
        <w:t>vote.com</w:t>
      </w:r>
    </w:p>
    <w:p>
      <w:pPr>
        <w:ind w:left="5140"/>
        <w:spacing w:after="0" w:line="231" w:lineRule="auto"/>
        <w:rPr>
          <w:sz w:val="20"/>
          <w:szCs w:val="20"/>
          <w:color w:val="auto"/>
        </w:rPr>
      </w:pPr>
      <w:r>
        <w:rPr>
          <w:rFonts w:ascii="Arial" w:cs="Arial" w:eastAsia="Arial" w:hAnsi="Arial"/>
          <w:sz w:val="13"/>
          <w:szCs w:val="13"/>
          <w:color w:val="auto"/>
        </w:rPr>
        <w:t>2. Type in the 16-digit control number included on your enclosed voting card (in</w:t>
      </w:r>
    </w:p>
    <w:p>
      <w:pPr>
        <w:ind w:left="5140"/>
        <w:spacing w:after="0" w:line="232" w:lineRule="auto"/>
        <w:rPr>
          <w:sz w:val="20"/>
          <w:szCs w:val="20"/>
          <w:color w:val="auto"/>
        </w:rPr>
      </w:pPr>
      <w:r>
        <w:rPr>
          <w:rFonts w:ascii="Arial" w:cs="Arial" w:eastAsia="Arial" w:hAnsi="Arial"/>
          <w:sz w:val="13"/>
          <w:szCs w:val="13"/>
          <w:color w:val="auto"/>
        </w:rPr>
        <w:t>the box marked by the arrow) and click 'Get Started'</w:t>
      </w:r>
    </w:p>
    <w:p>
      <w:pPr>
        <w:ind w:left="5140"/>
        <w:spacing w:after="0"/>
        <w:rPr>
          <w:sz w:val="20"/>
          <w:szCs w:val="20"/>
          <w:color w:val="auto"/>
        </w:rPr>
      </w:pPr>
      <w:r>
        <w:rPr>
          <w:rFonts w:ascii="Arial" w:cs="Arial" w:eastAsia="Arial" w:hAnsi="Arial"/>
          <w:sz w:val="13"/>
          <w:szCs w:val="13"/>
          <w:color w:val="auto"/>
        </w:rPr>
        <w:t>3. On the upper right side, click on ‘Delivery Settings’</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Proxy materials and other stockholder communications will be sent to the email</w:t>
      </w:r>
    </w:p>
    <w:p>
      <w:pPr>
        <w:ind w:left="5140"/>
        <w:spacing w:after="0" w:line="231" w:lineRule="auto"/>
        <w:rPr>
          <w:sz w:val="20"/>
          <w:szCs w:val="20"/>
          <w:color w:val="auto"/>
        </w:rPr>
      </w:pPr>
      <w:r>
        <w:rPr>
          <w:rFonts w:ascii="Arial" w:cs="Arial" w:eastAsia="Arial" w:hAnsi="Arial"/>
          <w:sz w:val="13"/>
          <w:szCs w:val="13"/>
          <w:color w:val="auto"/>
        </w:rPr>
        <w:t>address  provided.  E-delivery  will  begin  with  the  next  communication.  Your</w:t>
      </w:r>
    </w:p>
    <w:p>
      <w:pPr>
        <w:ind w:left="5140"/>
        <w:spacing w:after="0" w:line="231" w:lineRule="auto"/>
        <w:rPr>
          <w:sz w:val="20"/>
          <w:szCs w:val="20"/>
          <w:color w:val="auto"/>
        </w:rPr>
      </w:pPr>
      <w:r>
        <w:rPr>
          <w:rFonts w:ascii="Arial" w:cs="Arial" w:eastAsia="Arial" w:hAnsi="Arial"/>
          <w:sz w:val="13"/>
          <w:szCs w:val="13"/>
          <w:color w:val="auto"/>
        </w:rPr>
        <w:t>enrollment will remain in effect as long as you are a stockholder and your email</w:t>
      </w:r>
    </w:p>
    <w:p>
      <w:pPr>
        <w:ind w:left="5140"/>
        <w:spacing w:after="0"/>
        <w:rPr>
          <w:sz w:val="20"/>
          <w:szCs w:val="20"/>
          <w:color w:val="auto"/>
        </w:rPr>
      </w:pPr>
      <w:r>
        <w:rPr>
          <w:rFonts w:ascii="Arial" w:cs="Arial" w:eastAsia="Arial" w:hAnsi="Arial"/>
          <w:sz w:val="13"/>
          <w:szCs w:val="13"/>
          <w:color w:val="auto"/>
        </w:rPr>
        <w:t>account is active or until you choose to cancel.</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tbl>
      <w:tblPr>
        <w:tblLayout w:type="fixed"/>
        <w:tblInd w:w="3200" w:type="dxa"/>
        <w:tblCellMar>
          <w:top w:w="0" w:type="dxa"/>
          <w:left w:w="0" w:type="dxa"/>
          <w:bottom w:w="0" w:type="dxa"/>
          <w:right w:w="0" w:type="dxa"/>
        </w:tblCellMar>
      </w:tblPr>
      <w:tr>
        <w:trPr>
          <w:trHeight w:val="172"/>
        </w:trPr>
        <w:tc>
          <w:tcPr>
            <w:tcW w:w="4140" w:type="dxa"/>
            <w:vAlign w:val="bottom"/>
          </w:tcPr>
          <w:p>
            <w:pPr>
              <w:ind w:left="2240"/>
              <w:spacing w:after="0"/>
              <w:rPr>
                <w:sz w:val="20"/>
                <w:szCs w:val="20"/>
                <w:color w:val="auto"/>
              </w:rPr>
            </w:pPr>
            <w:r>
              <w:rPr>
                <w:rFonts w:ascii="Arial" w:cs="Arial" w:eastAsia="Arial" w:hAnsi="Arial"/>
                <w:sz w:val="13"/>
                <w:szCs w:val="13"/>
                <w:color w:val="auto"/>
              </w:rPr>
              <w:t>V94184-P50803</w:t>
            </w:r>
          </w:p>
        </w:tc>
        <w:tc>
          <w:tcPr>
            <w:tcW w:w="2940" w:type="dxa"/>
            <w:vAlign w:val="bottom"/>
          </w:tcPr>
          <w:p>
            <w:pPr>
              <w:jc w:val="right"/>
              <w:spacing w:after="0"/>
              <w:rPr>
                <w:sz w:val="20"/>
                <w:szCs w:val="20"/>
                <w:color w:val="auto"/>
              </w:rPr>
            </w:pPr>
            <w:r>
              <w:rPr>
                <w:rFonts w:ascii="Arial" w:cs="Arial" w:eastAsia="Arial" w:hAnsi="Arial"/>
                <w:sz w:val="13"/>
                <w:szCs w:val="13"/>
                <w:color w:val="auto"/>
              </w:rPr>
              <w:t>KEEP THIS PORTION FOR YOUR RECORD</w:t>
            </w:r>
            <w:r>
              <w:rPr>
                <w:rFonts w:ascii="Arial" w:cs="Arial" w:eastAsia="Arial" w:hAnsi="Arial"/>
                <w:sz w:val="13"/>
                <w:szCs w:val="13"/>
                <w:u w:val="single" w:color="auto"/>
                <w:color w:val="auto"/>
              </w:rPr>
              <w:t>S</w:t>
            </w:r>
          </w:p>
        </w:tc>
        <w:tc>
          <w:tcPr>
            <w:tcW w:w="0" w:type="dxa"/>
            <w:vAlign w:val="bottom"/>
          </w:tcPr>
          <w:p>
            <w:pPr>
              <w:spacing w:after="0"/>
              <w:rPr>
                <w:sz w:val="1"/>
                <w:szCs w:val="1"/>
                <w:color w:val="auto"/>
              </w:rPr>
            </w:pPr>
          </w:p>
        </w:tc>
      </w:tr>
      <w:tr>
        <w:trPr>
          <w:trHeight w:val="188"/>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94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72"/>
        </w:trPr>
        <w:tc>
          <w:tcPr>
            <w:tcW w:w="414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532880" cy="39217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66">
                      <a:extLst>
                        <a:ext uri="{28A0092B-C50C-407E-A947-70E740481C1C}"/>
                      </a:extLst>
                    </a:blip>
                    <a:srcRect/>
                    <a:stretch>
                      <a:fillRect/>
                    </a:stretch>
                  </pic:blipFill>
                  <pic:spPr bwMode="auto">
                    <a:xfrm>
                      <a:off x="0" y="0"/>
                      <a:ext cx="6532880" cy="3921760"/>
                    </a:xfrm>
                    <a:prstGeom prst="rect">
                      <a:avLst/>
                    </a:prstGeom>
                    <a:noFill/>
                  </pic:spPr>
                </pic:pic>
              </a:graphicData>
            </a:graphic>
          </wp:anchor>
        </w:drawing>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SOLAREDGE TECHNOLOGIES, INC.</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Company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6085840</wp:posOffset>
            </wp:positionH>
            <wp:positionV relativeFrom="paragraph">
              <wp:posOffset>-92075</wp:posOffset>
            </wp:positionV>
            <wp:extent cx="330835" cy="3232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67">
                      <a:extLst>
                        <a:ext uri="{28A0092B-C50C-407E-A947-70E740481C1C}"/>
                      </a:extLst>
                    </a:blip>
                    <a:srcRect/>
                    <a:stretch>
                      <a:fillRect/>
                    </a:stretch>
                  </pic:blipFill>
                  <pic:spPr bwMode="auto">
                    <a:xfrm>
                      <a:off x="0" y="0"/>
                      <a:ext cx="330835" cy="32321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each of the following nominees:</w:t>
      </w:r>
    </w:p>
    <w:p>
      <w:pPr>
        <w:sectPr>
          <w:pgSz w:w="11900" w:h="16840" w:orient="portrait"/>
          <w:cols w:equalWidth="0" w:num="1">
            <w:col w:w="10280"/>
          </w:cols>
          <w:pgMar w:left="820" w:top="1440" w:right="804" w:bottom="1440" w:gutter="0" w:footer="0" w:header="0"/>
        </w:sectPr>
      </w:pPr>
    </w:p>
    <w:p>
      <w:pPr>
        <w:spacing w:after="0" w:line="135" w:lineRule="exact"/>
        <w:rPr>
          <w:sz w:val="20"/>
          <w:szCs w:val="20"/>
          <w:color w:val="auto"/>
        </w:rPr>
      </w:pPr>
    </w:p>
    <w:p>
      <w:pPr>
        <w:ind w:left="580" w:hanging="246"/>
        <w:spacing w:after="0"/>
        <w:tabs>
          <w:tab w:leader="none" w:pos="5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190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200" w:type="dxa"/>
            <w:vAlign w:val="bottom"/>
          </w:tcPr>
          <w:p>
            <w:pPr>
              <w:jc w:val="center"/>
              <w:ind w:left="736"/>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359"/>
        </w:trPr>
        <w:tc>
          <w:tcPr>
            <w:tcW w:w="200" w:type="dxa"/>
            <w:vAlign w:val="bottom"/>
          </w:tcPr>
          <w:p>
            <w:pPr>
              <w:spacing w:after="0"/>
              <w:rPr>
                <w:sz w:val="20"/>
                <w:szCs w:val="20"/>
                <w:color w:val="auto"/>
              </w:rPr>
            </w:pPr>
            <w:r>
              <w:rPr>
                <w:rFonts w:ascii="Arial" w:cs="Arial" w:eastAsia="Arial" w:hAnsi="Arial"/>
                <w:sz w:val="13"/>
                <w:szCs w:val="13"/>
                <w:color w:val="auto"/>
                <w:w w:val="99"/>
              </w:rPr>
              <w:t>1a.</w:t>
            </w:r>
          </w:p>
        </w:tc>
        <w:tc>
          <w:tcPr>
            <w:tcW w:w="1700" w:type="dxa"/>
            <w:vAlign w:val="bottom"/>
          </w:tcPr>
          <w:p>
            <w:pPr>
              <w:ind w:left="40"/>
              <w:spacing w:after="0"/>
              <w:rPr>
                <w:sz w:val="20"/>
                <w:szCs w:val="20"/>
                <w:color w:val="auto"/>
              </w:rPr>
            </w:pPr>
            <w:r>
              <w:rPr>
                <w:rFonts w:ascii="Arial" w:cs="Arial" w:eastAsia="Arial" w:hAnsi="Arial"/>
                <w:sz w:val="13"/>
                <w:szCs w:val="13"/>
                <w:color w:val="auto"/>
              </w:rPr>
              <w:t>Avery More</w:t>
            </w:r>
          </w:p>
        </w:tc>
        <w:tc>
          <w:tcPr>
            <w:tcW w:w="1200" w:type="dxa"/>
            <w:vAlign w:val="bottom"/>
          </w:tcPr>
          <w:p>
            <w:pPr>
              <w:jc w:val="center"/>
              <w:ind w:left="736"/>
              <w:spacing w:after="0"/>
              <w:rPr>
                <w:sz w:val="20"/>
                <w:szCs w:val="20"/>
                <w:color w:val="auto"/>
              </w:rPr>
            </w:pPr>
            <w:r>
              <w:rPr>
                <w:rFonts w:ascii="Segoe UI Symbol" w:cs="Segoe UI Symbol" w:eastAsia="Segoe UI Symbol" w:hAnsi="Segoe UI Symbol"/>
                <w:sz w:val="13"/>
                <w:szCs w:val="13"/>
                <w:color w:val="auto"/>
              </w:rPr>
              <w:t>☐</w:t>
            </w:r>
          </w:p>
        </w:tc>
        <w:tc>
          <w:tcPr>
            <w:tcW w:w="620" w:type="dxa"/>
            <w:vAlign w:val="bottom"/>
          </w:tcPr>
          <w:p>
            <w:pPr>
              <w:jc w:val="center"/>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jc w:val="center"/>
              <w:spacing w:after="0"/>
              <w:rPr>
                <w:sz w:val="20"/>
                <w:szCs w:val="20"/>
                <w:color w:val="auto"/>
              </w:rPr>
            </w:pPr>
            <w:r>
              <w:rPr>
                <w:rFonts w:ascii="Segoe UI Symbol" w:cs="Segoe UI Symbol" w:eastAsia="Segoe UI Symbol" w:hAnsi="Segoe UI Symbol"/>
                <w:sz w:val="13"/>
                <w:szCs w:val="13"/>
                <w:color w:val="auto"/>
              </w:rPr>
              <w:t>☐</w:t>
            </w:r>
          </w:p>
        </w:tc>
      </w:tr>
      <w:tr>
        <w:trPr>
          <w:trHeight w:val="312"/>
        </w:trPr>
        <w:tc>
          <w:tcPr>
            <w:tcW w:w="200" w:type="dxa"/>
            <w:vAlign w:val="bottom"/>
          </w:tcPr>
          <w:p>
            <w:pPr>
              <w:spacing w:after="0"/>
              <w:rPr>
                <w:sz w:val="20"/>
                <w:szCs w:val="20"/>
                <w:color w:val="auto"/>
              </w:rPr>
            </w:pPr>
            <w:r>
              <w:rPr>
                <w:rFonts w:ascii="Arial" w:cs="Arial" w:eastAsia="Arial" w:hAnsi="Arial"/>
                <w:sz w:val="13"/>
                <w:szCs w:val="13"/>
                <w:color w:val="auto"/>
                <w:w w:val="99"/>
              </w:rPr>
              <w:t>1b.</w:t>
            </w:r>
          </w:p>
        </w:tc>
        <w:tc>
          <w:tcPr>
            <w:tcW w:w="1700" w:type="dxa"/>
            <w:vAlign w:val="bottom"/>
          </w:tcPr>
          <w:p>
            <w:pPr>
              <w:ind w:left="40"/>
              <w:spacing w:after="0"/>
              <w:rPr>
                <w:sz w:val="20"/>
                <w:szCs w:val="20"/>
                <w:color w:val="auto"/>
              </w:rPr>
            </w:pPr>
            <w:r>
              <w:rPr>
                <w:rFonts w:ascii="Arial" w:cs="Arial" w:eastAsia="Arial" w:hAnsi="Arial"/>
                <w:sz w:val="13"/>
                <w:szCs w:val="13"/>
                <w:color w:val="auto"/>
              </w:rPr>
              <w:t>Gilad Almogy</w:t>
            </w:r>
          </w:p>
        </w:tc>
        <w:tc>
          <w:tcPr>
            <w:tcW w:w="1200" w:type="dxa"/>
            <w:vAlign w:val="bottom"/>
          </w:tcPr>
          <w:p>
            <w:pPr>
              <w:jc w:val="center"/>
              <w:ind w:left="736"/>
              <w:spacing w:after="0"/>
              <w:rPr>
                <w:sz w:val="20"/>
                <w:szCs w:val="20"/>
                <w:color w:val="auto"/>
              </w:rPr>
            </w:pPr>
            <w:r>
              <w:rPr>
                <w:rFonts w:ascii="Segoe UI Symbol" w:cs="Segoe UI Symbol" w:eastAsia="Segoe UI Symbol" w:hAnsi="Segoe UI Symbol"/>
                <w:sz w:val="13"/>
                <w:szCs w:val="13"/>
                <w:color w:val="auto"/>
              </w:rPr>
              <w:t>☐</w:t>
            </w:r>
          </w:p>
        </w:tc>
        <w:tc>
          <w:tcPr>
            <w:tcW w:w="620" w:type="dxa"/>
            <w:vAlign w:val="bottom"/>
          </w:tcPr>
          <w:p>
            <w:pPr>
              <w:jc w:val="center"/>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jc w:val="center"/>
              <w:spacing w:after="0"/>
              <w:rPr>
                <w:sz w:val="20"/>
                <w:szCs w:val="20"/>
                <w:color w:val="auto"/>
              </w:rPr>
            </w:pPr>
            <w:r>
              <w:rPr>
                <w:rFonts w:ascii="Segoe UI Symbol" w:cs="Segoe UI Symbol" w:eastAsia="Segoe UI Symbol" w:hAnsi="Segoe UI Symbol"/>
                <w:sz w:val="13"/>
                <w:szCs w:val="13"/>
                <w:color w:val="auto"/>
              </w:rPr>
              <w:t>☐</w:t>
            </w:r>
          </w:p>
        </w:tc>
      </w:tr>
      <w:tr>
        <w:trPr>
          <w:trHeight w:val="312"/>
        </w:trPr>
        <w:tc>
          <w:tcPr>
            <w:tcW w:w="200" w:type="dxa"/>
            <w:vAlign w:val="bottom"/>
          </w:tcPr>
          <w:p>
            <w:pPr>
              <w:spacing w:after="0"/>
              <w:rPr>
                <w:sz w:val="20"/>
                <w:szCs w:val="20"/>
                <w:color w:val="auto"/>
              </w:rPr>
            </w:pPr>
            <w:r>
              <w:rPr>
                <w:rFonts w:ascii="Arial" w:cs="Arial" w:eastAsia="Arial" w:hAnsi="Arial"/>
                <w:sz w:val="13"/>
                <w:szCs w:val="13"/>
                <w:color w:val="auto"/>
              </w:rPr>
              <w:t>1c.</w:t>
            </w:r>
          </w:p>
        </w:tc>
        <w:tc>
          <w:tcPr>
            <w:tcW w:w="1700" w:type="dxa"/>
            <w:vAlign w:val="bottom"/>
          </w:tcPr>
          <w:p>
            <w:pPr>
              <w:ind w:left="40"/>
              <w:spacing w:after="0"/>
              <w:rPr>
                <w:sz w:val="20"/>
                <w:szCs w:val="20"/>
                <w:color w:val="auto"/>
              </w:rPr>
            </w:pPr>
            <w:r>
              <w:rPr>
                <w:rFonts w:ascii="Arial" w:cs="Arial" w:eastAsia="Arial" w:hAnsi="Arial"/>
                <w:sz w:val="13"/>
                <w:szCs w:val="13"/>
                <w:color w:val="auto"/>
              </w:rPr>
              <w:t>Betsy Atkins</w:t>
            </w:r>
          </w:p>
        </w:tc>
        <w:tc>
          <w:tcPr>
            <w:tcW w:w="1200" w:type="dxa"/>
            <w:vAlign w:val="bottom"/>
          </w:tcPr>
          <w:p>
            <w:pPr>
              <w:jc w:val="center"/>
              <w:ind w:left="736"/>
              <w:spacing w:after="0"/>
              <w:rPr>
                <w:sz w:val="20"/>
                <w:szCs w:val="20"/>
                <w:color w:val="auto"/>
              </w:rPr>
            </w:pPr>
            <w:r>
              <w:rPr>
                <w:rFonts w:ascii="Segoe UI Symbol" w:cs="Segoe UI Symbol" w:eastAsia="Segoe UI Symbol" w:hAnsi="Segoe UI Symbol"/>
                <w:sz w:val="13"/>
                <w:szCs w:val="13"/>
                <w:color w:val="auto"/>
              </w:rPr>
              <w:t>☐</w:t>
            </w:r>
          </w:p>
        </w:tc>
        <w:tc>
          <w:tcPr>
            <w:tcW w:w="620" w:type="dxa"/>
            <w:vAlign w:val="bottom"/>
          </w:tcPr>
          <w:p>
            <w:pPr>
              <w:jc w:val="center"/>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jc w:val="center"/>
              <w:spacing w:after="0"/>
              <w:rPr>
                <w:sz w:val="20"/>
                <w:szCs w:val="20"/>
                <w:color w:val="auto"/>
              </w:rPr>
            </w:pPr>
            <w:r>
              <w:rPr>
                <w:rFonts w:ascii="Segoe UI Symbol" w:cs="Segoe UI Symbol" w:eastAsia="Segoe UI Symbol" w:hAnsi="Segoe UI Symbol"/>
                <w:sz w:val="13"/>
                <w:szCs w:val="13"/>
                <w:color w:val="auto"/>
              </w:rPr>
              <w:t>☐</w:t>
            </w:r>
          </w:p>
        </w:tc>
      </w:tr>
    </w:tbl>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jc w:val="right"/>
              <w:ind w:right="56"/>
              <w:spacing w:after="0"/>
              <w:rPr>
                <w:sz w:val="20"/>
                <w:szCs w:val="20"/>
                <w:color w:val="auto"/>
              </w:rPr>
            </w:pPr>
            <w:r>
              <w:rPr>
                <w:rFonts w:ascii="Arial" w:cs="Arial" w:eastAsia="Arial" w:hAnsi="Arial"/>
                <w:sz w:val="13"/>
                <w:szCs w:val="13"/>
                <w:b w:val="1"/>
                <w:bCs w:val="1"/>
                <w:color w:val="auto"/>
                <w:w w:val="98"/>
              </w:rPr>
              <w:t>The Board of Directors recommends you vote FOR</w:t>
            </w:r>
          </w:p>
        </w:tc>
        <w:tc>
          <w:tcPr>
            <w:tcW w:w="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182"/>
        </w:trPr>
        <w:tc>
          <w:tcPr>
            <w:tcW w:w="3240" w:type="dxa"/>
            <w:vAlign w:val="bottom"/>
          </w:tcPr>
          <w:p>
            <w:pPr>
              <w:jc w:val="right"/>
              <w:ind w:right="1896"/>
              <w:spacing w:after="0"/>
              <w:rPr>
                <w:sz w:val="20"/>
                <w:szCs w:val="20"/>
                <w:color w:val="auto"/>
              </w:rPr>
            </w:pPr>
            <w:r>
              <w:rPr>
                <w:rFonts w:ascii="Arial" w:cs="Arial" w:eastAsia="Arial" w:hAnsi="Arial"/>
                <w:sz w:val="13"/>
                <w:szCs w:val="13"/>
                <w:b w:val="1"/>
                <w:bCs w:val="1"/>
                <w:color w:val="auto"/>
                <w:w w:val="96"/>
              </w:rPr>
              <w:t>Proposals 2, 3 and 4:</w:t>
            </w: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40" w:type="dxa"/>
            <w:vAlign w:val="bottom"/>
          </w:tcPr>
          <w:p>
            <w:pPr>
              <w:jc w:val="right"/>
              <w:ind w:right="56"/>
              <w:spacing w:after="0"/>
              <w:rPr>
                <w:sz w:val="20"/>
                <w:szCs w:val="20"/>
                <w:color w:val="auto"/>
              </w:rPr>
            </w:pPr>
            <w:r>
              <w:rPr>
                <w:rFonts w:ascii="Arial" w:cs="Arial" w:eastAsia="Arial" w:hAnsi="Arial"/>
                <w:sz w:val="13"/>
                <w:szCs w:val="13"/>
                <w:color w:val="auto"/>
              </w:rPr>
              <w:t>2.  Ratification  of  the  appointment  of  Kost  Forer</w:t>
            </w:r>
          </w:p>
        </w:tc>
        <w:tc>
          <w:tcPr>
            <w:tcW w:w="400" w:type="dxa"/>
            <w:vAlign w:val="bottom"/>
            <w:vMerge w:val="restart"/>
          </w:tcPr>
          <w:p>
            <w:pPr>
              <w:jc w:val="center"/>
              <w:spacing w:after="0"/>
              <w:rPr>
                <w:sz w:val="20"/>
                <w:szCs w:val="20"/>
                <w:color w:val="auto"/>
              </w:rPr>
            </w:pPr>
            <w:r>
              <w:rPr>
                <w:rFonts w:ascii="Segoe UI Symbol" w:cs="Segoe UI Symbol" w:eastAsia="Segoe UI Symbol" w:hAnsi="Segoe UI Symbol"/>
                <w:sz w:val="13"/>
                <w:szCs w:val="13"/>
                <w:color w:val="auto"/>
              </w:rPr>
              <w:t>☐</w:t>
            </w:r>
          </w:p>
        </w:tc>
        <w:tc>
          <w:tcPr>
            <w:tcW w:w="620" w:type="dxa"/>
            <w:vAlign w:val="bottom"/>
            <w:vMerge w:val="restart"/>
          </w:tcPr>
          <w:p>
            <w:pPr>
              <w:jc w:val="center"/>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vMerge w:val="restart"/>
          </w:tcPr>
          <w:p>
            <w:pPr>
              <w:jc w:val="center"/>
              <w:spacing w:after="0"/>
              <w:rPr>
                <w:sz w:val="20"/>
                <w:szCs w:val="20"/>
                <w:color w:val="auto"/>
              </w:rPr>
            </w:pPr>
            <w:r>
              <w:rPr>
                <w:rFonts w:ascii="Segoe UI Symbol" w:cs="Segoe UI Symbol" w:eastAsia="Segoe UI Symbol" w:hAnsi="Segoe UI Symbol"/>
                <w:sz w:val="13"/>
                <w:szCs w:val="13"/>
                <w:color w:val="auto"/>
              </w:rPr>
              <w:t>☐</w:t>
            </w:r>
          </w:p>
        </w:tc>
        <w:tc>
          <w:tcPr>
            <w:tcW w:w="0" w:type="dxa"/>
            <w:vAlign w:val="bottom"/>
          </w:tcPr>
          <w:p>
            <w:pPr>
              <w:spacing w:after="0"/>
              <w:rPr>
                <w:sz w:val="1"/>
                <w:szCs w:val="1"/>
                <w:color w:val="auto"/>
              </w:rPr>
            </w:pPr>
          </w:p>
        </w:tc>
      </w:tr>
      <w:tr>
        <w:trPr>
          <w:trHeight w:val="144"/>
        </w:trPr>
        <w:tc>
          <w:tcPr>
            <w:tcW w:w="3240" w:type="dxa"/>
            <w:vAlign w:val="bottom"/>
          </w:tcPr>
          <w:p>
            <w:pPr>
              <w:jc w:val="right"/>
              <w:ind w:right="56"/>
              <w:spacing w:after="0" w:line="144" w:lineRule="exact"/>
              <w:rPr>
                <w:sz w:val="20"/>
                <w:szCs w:val="20"/>
                <w:color w:val="auto"/>
              </w:rPr>
            </w:pPr>
            <w:r>
              <w:rPr>
                <w:rFonts w:ascii="Arial" w:cs="Arial" w:eastAsia="Arial" w:hAnsi="Arial"/>
                <w:sz w:val="13"/>
                <w:szCs w:val="13"/>
                <w:color w:val="auto"/>
              </w:rPr>
              <w:t>Gabbay &amp; Kasierer, a member of EY Global as the</w:t>
            </w:r>
          </w:p>
        </w:tc>
        <w:tc>
          <w:tcPr>
            <w:tcW w:w="4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jc w:val="right"/>
              <w:ind w:right="56"/>
              <w:spacing w:after="0" w:line="144" w:lineRule="exact"/>
              <w:rPr>
                <w:sz w:val="20"/>
                <w:szCs w:val="20"/>
                <w:color w:val="auto"/>
              </w:rPr>
            </w:pPr>
            <w:r>
              <w:rPr>
                <w:rFonts w:ascii="Arial" w:cs="Arial" w:eastAsia="Arial" w:hAnsi="Arial"/>
                <w:sz w:val="13"/>
                <w:szCs w:val="13"/>
                <w:color w:val="auto"/>
              </w:rPr>
              <w:t>Company’s   independent   registered   public</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jc w:val="right"/>
              <w:ind w:right="56"/>
              <w:spacing w:after="0" w:line="144" w:lineRule="exact"/>
              <w:rPr>
                <w:sz w:val="20"/>
                <w:szCs w:val="20"/>
                <w:color w:val="auto"/>
              </w:rPr>
            </w:pPr>
            <w:r>
              <w:rPr>
                <w:rFonts w:ascii="Arial" w:cs="Arial" w:eastAsia="Arial" w:hAnsi="Arial"/>
                <w:sz w:val="13"/>
                <w:szCs w:val="13"/>
                <w:color w:val="auto"/>
              </w:rPr>
              <w:t>accounting firm for the year ending December 31,</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tcPr>
          <w:p>
            <w:pPr>
              <w:jc w:val="right"/>
              <w:ind w:right="2616"/>
              <w:spacing w:after="0"/>
              <w:rPr>
                <w:sz w:val="20"/>
                <w:szCs w:val="20"/>
                <w:color w:val="auto"/>
              </w:rPr>
            </w:pPr>
            <w:r>
              <w:rPr>
                <w:rFonts w:ascii="Arial" w:cs="Arial" w:eastAsia="Arial" w:hAnsi="Arial"/>
                <w:sz w:val="13"/>
                <w:szCs w:val="13"/>
                <w:color w:val="auto"/>
              </w:rPr>
              <w:t>2026.</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40" w:orient="portrait"/>
          <w:cols w:equalWidth="0" w:num="2">
            <w:col w:w="4840" w:space="500"/>
            <w:col w:w="4940"/>
          </w:cols>
          <w:pgMar w:left="820" w:top="1440" w:right="804" w:bottom="1440" w:gutter="0" w:footer="0" w:header="0"/>
          <w:type w:val="continuous"/>
        </w:sectPr>
      </w:pPr>
    </w:p>
    <w:tbl>
      <w:tblPr>
        <w:tblLayout w:type="fixed"/>
        <w:tblInd w:w="580" w:type="dxa"/>
        <w:tblCellMar>
          <w:top w:w="0" w:type="dxa"/>
          <w:left w:w="0" w:type="dxa"/>
          <w:bottom w:w="0" w:type="dxa"/>
          <w:right w:w="0" w:type="dxa"/>
        </w:tblCellMar>
      </w:tblPr>
      <w:tr>
        <w:trPr>
          <w:trHeight w:val="291"/>
        </w:trPr>
        <w:tc>
          <w:tcPr>
            <w:tcW w:w="200" w:type="dxa"/>
            <w:vAlign w:val="bottom"/>
          </w:tcPr>
          <w:p>
            <w:pPr>
              <w:spacing w:after="0"/>
              <w:rPr>
                <w:sz w:val="20"/>
                <w:szCs w:val="20"/>
                <w:color w:val="auto"/>
              </w:rPr>
            </w:pPr>
            <w:r>
              <w:rPr>
                <w:rFonts w:ascii="Arial" w:cs="Arial" w:eastAsia="Arial" w:hAnsi="Arial"/>
                <w:sz w:val="13"/>
                <w:szCs w:val="13"/>
                <w:color w:val="auto"/>
                <w:w w:val="99"/>
              </w:rPr>
              <w:t>1d.</w:t>
            </w:r>
          </w:p>
        </w:tc>
        <w:tc>
          <w:tcPr>
            <w:tcW w:w="1940" w:type="dxa"/>
            <w:vAlign w:val="bottom"/>
          </w:tcPr>
          <w:p>
            <w:pPr>
              <w:ind w:left="40"/>
              <w:spacing w:after="0"/>
              <w:rPr>
                <w:sz w:val="20"/>
                <w:szCs w:val="20"/>
                <w:color w:val="auto"/>
              </w:rPr>
            </w:pPr>
            <w:r>
              <w:rPr>
                <w:rFonts w:ascii="Arial" w:cs="Arial" w:eastAsia="Arial" w:hAnsi="Arial"/>
                <w:sz w:val="13"/>
                <w:szCs w:val="13"/>
                <w:color w:val="auto"/>
              </w:rPr>
              <w:t>Dana Gross</w:t>
            </w:r>
          </w:p>
        </w:tc>
        <w:tc>
          <w:tcPr>
            <w:tcW w:w="1040" w:type="dxa"/>
            <w:vAlign w:val="bottom"/>
          </w:tcPr>
          <w:p>
            <w:pPr>
              <w:ind w:left="700"/>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ind w:left="200"/>
              <w:spacing w:after="0"/>
              <w:rPr>
                <w:sz w:val="20"/>
                <w:szCs w:val="20"/>
                <w:color w:val="auto"/>
              </w:rPr>
            </w:pPr>
            <w:r>
              <w:rPr>
                <w:rFonts w:ascii="Segoe UI Symbol" w:cs="Segoe UI Symbol" w:eastAsia="Segoe UI Symbol" w:hAnsi="Segoe UI Symbol"/>
                <w:sz w:val="13"/>
                <w:szCs w:val="13"/>
                <w:color w:val="auto"/>
              </w:rPr>
              <w:t>☐</w:t>
            </w:r>
          </w:p>
        </w:tc>
        <w:tc>
          <w:tcPr>
            <w:tcW w:w="360" w:type="dxa"/>
            <w:vAlign w:val="bottom"/>
          </w:tcPr>
          <w:p>
            <w:pPr>
              <w:ind w:left="240"/>
              <w:spacing w:after="0"/>
              <w:rPr>
                <w:sz w:val="20"/>
                <w:szCs w:val="20"/>
                <w:color w:val="auto"/>
              </w:rPr>
            </w:pPr>
            <w:r>
              <w:rPr>
                <w:rFonts w:ascii="Segoe UI Symbol" w:cs="Segoe UI Symbol" w:eastAsia="Segoe UI Symbol" w:hAnsi="Segoe UI Symbol"/>
                <w:sz w:val="13"/>
                <w:szCs w:val="13"/>
                <w:color w:val="auto"/>
                <w:w w:val="88"/>
              </w:rPr>
              <w:t>☐</w:t>
            </w:r>
          </w:p>
        </w:tc>
      </w:tr>
      <w:tr>
        <w:trPr>
          <w:trHeight w:val="312"/>
        </w:trPr>
        <w:tc>
          <w:tcPr>
            <w:tcW w:w="200" w:type="dxa"/>
            <w:vAlign w:val="bottom"/>
          </w:tcPr>
          <w:p>
            <w:pPr>
              <w:spacing w:after="0"/>
              <w:rPr>
                <w:sz w:val="20"/>
                <w:szCs w:val="20"/>
                <w:color w:val="auto"/>
              </w:rPr>
            </w:pPr>
            <w:r>
              <w:rPr>
                <w:rFonts w:ascii="Arial" w:cs="Arial" w:eastAsia="Arial" w:hAnsi="Arial"/>
                <w:sz w:val="13"/>
                <w:szCs w:val="13"/>
                <w:color w:val="auto"/>
                <w:w w:val="99"/>
              </w:rPr>
              <w:t>1e.</w:t>
            </w:r>
          </w:p>
        </w:tc>
        <w:tc>
          <w:tcPr>
            <w:tcW w:w="1940" w:type="dxa"/>
            <w:vAlign w:val="bottom"/>
          </w:tcPr>
          <w:p>
            <w:pPr>
              <w:ind w:left="40"/>
              <w:spacing w:after="0"/>
              <w:rPr>
                <w:sz w:val="20"/>
                <w:szCs w:val="20"/>
                <w:color w:val="auto"/>
              </w:rPr>
            </w:pPr>
            <w:r>
              <w:rPr>
                <w:rFonts w:ascii="Arial" w:cs="Arial" w:eastAsia="Arial" w:hAnsi="Arial"/>
                <w:sz w:val="13"/>
                <w:szCs w:val="13"/>
                <w:color w:val="auto"/>
              </w:rPr>
              <w:t>Guy Gecht</w:t>
            </w:r>
          </w:p>
        </w:tc>
        <w:tc>
          <w:tcPr>
            <w:tcW w:w="1040" w:type="dxa"/>
            <w:vAlign w:val="bottom"/>
          </w:tcPr>
          <w:p>
            <w:pPr>
              <w:ind w:left="700"/>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ind w:left="200"/>
              <w:spacing w:after="0"/>
              <w:rPr>
                <w:sz w:val="20"/>
                <w:szCs w:val="20"/>
                <w:color w:val="auto"/>
              </w:rPr>
            </w:pPr>
            <w:r>
              <w:rPr>
                <w:rFonts w:ascii="Segoe UI Symbol" w:cs="Segoe UI Symbol" w:eastAsia="Segoe UI Symbol" w:hAnsi="Segoe UI Symbol"/>
                <w:sz w:val="13"/>
                <w:szCs w:val="13"/>
                <w:color w:val="auto"/>
              </w:rPr>
              <w:t>☐</w:t>
            </w:r>
          </w:p>
        </w:tc>
        <w:tc>
          <w:tcPr>
            <w:tcW w:w="360" w:type="dxa"/>
            <w:vAlign w:val="bottom"/>
          </w:tcPr>
          <w:p>
            <w:pPr>
              <w:ind w:left="240"/>
              <w:spacing w:after="0"/>
              <w:rPr>
                <w:sz w:val="20"/>
                <w:szCs w:val="20"/>
                <w:color w:val="auto"/>
              </w:rPr>
            </w:pPr>
            <w:r>
              <w:rPr>
                <w:rFonts w:ascii="Segoe UI Symbol" w:cs="Segoe UI Symbol" w:eastAsia="Segoe UI Symbol" w:hAnsi="Segoe UI Symbol"/>
                <w:sz w:val="13"/>
                <w:szCs w:val="13"/>
                <w:color w:val="auto"/>
                <w:w w:val="88"/>
              </w:rPr>
              <w:t>☐</w:t>
            </w:r>
          </w:p>
        </w:tc>
      </w:tr>
      <w:tr>
        <w:trPr>
          <w:trHeight w:val="312"/>
        </w:trPr>
        <w:tc>
          <w:tcPr>
            <w:tcW w:w="200" w:type="dxa"/>
            <w:vAlign w:val="bottom"/>
          </w:tcPr>
          <w:p>
            <w:pPr>
              <w:spacing w:after="0"/>
              <w:rPr>
                <w:sz w:val="20"/>
                <w:szCs w:val="20"/>
                <w:color w:val="auto"/>
              </w:rPr>
            </w:pPr>
            <w:r>
              <w:rPr>
                <w:rFonts w:ascii="Arial" w:cs="Arial" w:eastAsia="Arial" w:hAnsi="Arial"/>
                <w:sz w:val="13"/>
                <w:szCs w:val="13"/>
                <w:color w:val="auto"/>
              </w:rPr>
              <w:t>1f.</w:t>
            </w:r>
          </w:p>
        </w:tc>
        <w:tc>
          <w:tcPr>
            <w:tcW w:w="1940" w:type="dxa"/>
            <w:vAlign w:val="bottom"/>
          </w:tcPr>
          <w:p>
            <w:pPr>
              <w:ind w:left="40"/>
              <w:spacing w:after="0"/>
              <w:rPr>
                <w:sz w:val="20"/>
                <w:szCs w:val="20"/>
                <w:color w:val="auto"/>
              </w:rPr>
            </w:pPr>
            <w:r>
              <w:rPr>
                <w:rFonts w:ascii="Arial" w:cs="Arial" w:eastAsia="Arial" w:hAnsi="Arial"/>
                <w:sz w:val="13"/>
                <w:szCs w:val="13"/>
                <w:color w:val="auto"/>
              </w:rPr>
              <w:t>Yehoshua (Shuki) Nir</w:t>
            </w:r>
          </w:p>
        </w:tc>
        <w:tc>
          <w:tcPr>
            <w:tcW w:w="1040" w:type="dxa"/>
            <w:vAlign w:val="bottom"/>
          </w:tcPr>
          <w:p>
            <w:pPr>
              <w:ind w:left="700"/>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ind w:left="200"/>
              <w:spacing w:after="0"/>
              <w:rPr>
                <w:sz w:val="20"/>
                <w:szCs w:val="20"/>
                <w:color w:val="auto"/>
              </w:rPr>
            </w:pPr>
            <w:r>
              <w:rPr>
                <w:rFonts w:ascii="Segoe UI Symbol" w:cs="Segoe UI Symbol" w:eastAsia="Segoe UI Symbol" w:hAnsi="Segoe UI Symbol"/>
                <w:sz w:val="13"/>
                <w:szCs w:val="13"/>
                <w:color w:val="auto"/>
              </w:rPr>
              <w:t>☐</w:t>
            </w:r>
          </w:p>
        </w:tc>
        <w:tc>
          <w:tcPr>
            <w:tcW w:w="360" w:type="dxa"/>
            <w:vAlign w:val="bottom"/>
          </w:tcPr>
          <w:p>
            <w:pPr>
              <w:ind w:left="240"/>
              <w:spacing w:after="0"/>
              <w:rPr>
                <w:sz w:val="20"/>
                <w:szCs w:val="20"/>
                <w:color w:val="auto"/>
              </w:rPr>
            </w:pPr>
            <w:r>
              <w:rPr>
                <w:rFonts w:ascii="Segoe UI Symbol" w:cs="Segoe UI Symbol" w:eastAsia="Segoe UI Symbol" w:hAnsi="Segoe UI Symbol"/>
                <w:sz w:val="13"/>
                <w:szCs w:val="13"/>
                <w:color w:val="auto"/>
                <w:w w:val="88"/>
              </w:rPr>
              <w:t>☐</w:t>
            </w:r>
          </w:p>
        </w:tc>
      </w:tr>
      <w:tr>
        <w:trPr>
          <w:trHeight w:val="312"/>
        </w:trPr>
        <w:tc>
          <w:tcPr>
            <w:tcW w:w="200" w:type="dxa"/>
            <w:vAlign w:val="bottom"/>
          </w:tcPr>
          <w:p>
            <w:pPr>
              <w:spacing w:after="0"/>
              <w:rPr>
                <w:sz w:val="20"/>
                <w:szCs w:val="20"/>
                <w:color w:val="auto"/>
              </w:rPr>
            </w:pPr>
            <w:r>
              <w:rPr>
                <w:rFonts w:ascii="Arial" w:cs="Arial" w:eastAsia="Arial" w:hAnsi="Arial"/>
                <w:sz w:val="13"/>
                <w:szCs w:val="13"/>
                <w:color w:val="auto"/>
                <w:w w:val="99"/>
              </w:rPr>
              <w:t>1g.</w:t>
            </w:r>
          </w:p>
        </w:tc>
        <w:tc>
          <w:tcPr>
            <w:tcW w:w="1940" w:type="dxa"/>
            <w:vAlign w:val="bottom"/>
          </w:tcPr>
          <w:p>
            <w:pPr>
              <w:ind w:left="40"/>
              <w:spacing w:after="0"/>
              <w:rPr>
                <w:sz w:val="20"/>
                <w:szCs w:val="20"/>
                <w:color w:val="auto"/>
              </w:rPr>
            </w:pPr>
            <w:r>
              <w:rPr>
                <w:rFonts w:ascii="Arial" w:cs="Arial" w:eastAsia="Arial" w:hAnsi="Arial"/>
                <w:sz w:val="13"/>
                <w:szCs w:val="13"/>
                <w:color w:val="auto"/>
              </w:rPr>
              <w:t>Yoram Tietz</w:t>
            </w:r>
          </w:p>
        </w:tc>
        <w:tc>
          <w:tcPr>
            <w:tcW w:w="1040" w:type="dxa"/>
            <w:vAlign w:val="bottom"/>
          </w:tcPr>
          <w:p>
            <w:pPr>
              <w:ind w:left="700"/>
              <w:spacing w:after="0"/>
              <w:rPr>
                <w:sz w:val="20"/>
                <w:szCs w:val="20"/>
                <w:color w:val="auto"/>
              </w:rPr>
            </w:pPr>
            <w:r>
              <w:rPr>
                <w:rFonts w:ascii="Segoe UI Symbol" w:cs="Segoe UI Symbol" w:eastAsia="Segoe UI Symbol" w:hAnsi="Segoe UI Symbol"/>
                <w:sz w:val="13"/>
                <w:szCs w:val="13"/>
                <w:color w:val="auto"/>
              </w:rPr>
              <w:t>☐</w:t>
            </w:r>
          </w:p>
        </w:tc>
        <w:tc>
          <w:tcPr>
            <w:tcW w:w="540" w:type="dxa"/>
            <w:vAlign w:val="bottom"/>
          </w:tcPr>
          <w:p>
            <w:pPr>
              <w:ind w:left="200"/>
              <w:spacing w:after="0"/>
              <w:rPr>
                <w:sz w:val="20"/>
                <w:szCs w:val="20"/>
                <w:color w:val="auto"/>
              </w:rPr>
            </w:pPr>
            <w:r>
              <w:rPr>
                <w:rFonts w:ascii="Segoe UI Symbol" w:cs="Segoe UI Symbol" w:eastAsia="Segoe UI Symbol" w:hAnsi="Segoe UI Symbol"/>
                <w:sz w:val="13"/>
                <w:szCs w:val="13"/>
                <w:color w:val="auto"/>
              </w:rPr>
              <w:t>☐</w:t>
            </w:r>
          </w:p>
        </w:tc>
        <w:tc>
          <w:tcPr>
            <w:tcW w:w="360" w:type="dxa"/>
            <w:vAlign w:val="bottom"/>
          </w:tcPr>
          <w:p>
            <w:pPr>
              <w:ind w:left="240"/>
              <w:spacing w:after="0"/>
              <w:rPr>
                <w:sz w:val="20"/>
                <w:szCs w:val="20"/>
                <w:color w:val="auto"/>
              </w:rPr>
            </w:pPr>
            <w:r>
              <w:rPr>
                <w:rFonts w:ascii="Segoe UI Symbol" w:cs="Segoe UI Symbol" w:eastAsia="Segoe UI Symbol" w:hAnsi="Segoe UI Symbol"/>
                <w:sz w:val="13"/>
                <w:szCs w:val="13"/>
                <w:color w:val="auto"/>
                <w:w w:val="88"/>
              </w:rPr>
              <w:t>☐</w:t>
            </w: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left="240" w:right="80" w:hanging="238"/>
        <w:spacing w:after="0" w:line="249" w:lineRule="auto"/>
        <w:tabs>
          <w:tab w:leader="none" w:pos="2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Approval of, on an advisory and non-binding basis, the compensation of our named executive officers (the “Say-on-Pay” vote).</w:t>
      </w:r>
    </w:p>
    <w:p>
      <w:pPr>
        <w:spacing w:after="0" w:line="110" w:lineRule="exact"/>
        <w:rPr>
          <w:rFonts w:ascii="Arial" w:cs="Arial" w:eastAsia="Arial" w:hAnsi="Arial"/>
          <w:sz w:val="13"/>
          <w:szCs w:val="13"/>
          <w:color w:val="auto"/>
        </w:rPr>
      </w:pPr>
    </w:p>
    <w:p>
      <w:pPr>
        <w:jc w:val="both"/>
        <w:ind w:left="240" w:right="80" w:hanging="238"/>
        <w:spacing w:after="0" w:line="249" w:lineRule="auto"/>
        <w:tabs>
          <w:tab w:leader="none" w:pos="2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Approval of the amendment to the Company’s Restated Certificate of Incorporation to limit the liability of certain officers as permitted by law.</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w:t>
      </w:r>
      <w:r>
        <w:rPr>
          <w:rFonts w:ascii="Arial" w:cs="Arial" w:eastAsia="Arial" w:hAnsi="Arial"/>
          <w:sz w:val="13"/>
          <w:szCs w:val="13"/>
          <w:b w:val="1"/>
          <w:bCs w:val="1"/>
          <w:color w:val="auto"/>
        </w:rPr>
        <w:t xml:space="preserve"> </w:t>
      </w:r>
      <w:r>
        <w:rPr>
          <w:rFonts w:ascii="Arial" w:cs="Arial" w:eastAsia="Arial" w:hAnsi="Arial"/>
          <w:sz w:val="13"/>
          <w:szCs w:val="13"/>
          <w:color w:val="auto"/>
        </w:rPr>
        <w:t>before the meeting or any adjournment or postponement thereof.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520" w:val="left"/>
          <w:tab w:leader="none" w:pos="1100" w:val="left"/>
        </w:tabs>
        <w:rPr>
          <w:sz w:val="20"/>
          <w:szCs w:val="20"/>
          <w:color w:val="auto"/>
        </w:rPr>
      </w:pPr>
      <w:r>
        <w:rPr>
          <w:rFonts w:ascii="Segoe UI Symbol" w:cs="Segoe UI Symbol" w:eastAsia="Segoe UI Symbol" w:hAnsi="Segoe UI Symbol"/>
          <w:sz w:val="13"/>
          <w:szCs w:val="13"/>
          <w:color w:val="auto"/>
        </w:rPr>
        <w:t>☐</w:t>
      </w:r>
      <w:r>
        <w:rPr>
          <w:sz w:val="20"/>
          <w:szCs w:val="20"/>
          <w:color w:val="auto"/>
        </w:rPr>
        <w:tab/>
      </w:r>
      <w:r>
        <w:rPr>
          <w:rFonts w:ascii="Segoe UI Symbol" w:cs="Segoe UI Symbol" w:eastAsia="Segoe UI Symbol" w:hAnsi="Segoe UI Symbol"/>
          <w:sz w:val="13"/>
          <w:szCs w:val="13"/>
          <w:color w:val="auto"/>
        </w:rPr>
        <w:t>☐</w:t>
      </w:r>
      <w:r>
        <w:rPr>
          <w:sz w:val="20"/>
          <w:szCs w:val="20"/>
          <w:color w:val="auto"/>
        </w:rPr>
        <w:tab/>
      </w:r>
      <w:r>
        <w:rPr>
          <w:rFonts w:ascii="Segoe UI Symbol" w:cs="Segoe UI Symbol" w:eastAsia="Segoe UI Symbol" w:hAnsi="Segoe UI Symbol"/>
          <w:sz w:val="13"/>
          <w:szCs w:val="13"/>
          <w:color w:val="auto"/>
        </w:rPr>
        <w:t>☐</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 w:leader="none" w:pos="1100" w:val="left"/>
        </w:tabs>
        <w:rPr>
          <w:sz w:val="20"/>
          <w:szCs w:val="20"/>
          <w:color w:val="auto"/>
        </w:rPr>
      </w:pPr>
      <w:r>
        <w:rPr>
          <w:rFonts w:ascii="Segoe UI Symbol" w:cs="Segoe UI Symbol" w:eastAsia="Segoe UI Symbol" w:hAnsi="Segoe UI Symbol"/>
          <w:sz w:val="13"/>
          <w:szCs w:val="13"/>
          <w:color w:val="auto"/>
        </w:rPr>
        <w:t>☐</w:t>
      </w:r>
      <w:r>
        <w:rPr>
          <w:sz w:val="20"/>
          <w:szCs w:val="20"/>
          <w:color w:val="auto"/>
        </w:rPr>
        <w:tab/>
      </w:r>
      <w:r>
        <w:rPr>
          <w:rFonts w:ascii="Segoe UI Symbol" w:cs="Segoe UI Symbol" w:eastAsia="Segoe UI Symbol" w:hAnsi="Segoe UI Symbol"/>
          <w:sz w:val="13"/>
          <w:szCs w:val="13"/>
          <w:color w:val="auto"/>
        </w:rPr>
        <w:t>☐</w:t>
      </w:r>
      <w:r>
        <w:rPr>
          <w:sz w:val="20"/>
          <w:szCs w:val="20"/>
          <w:color w:val="auto"/>
        </w:rPr>
        <w:tab/>
      </w:r>
      <w:r>
        <w:rPr>
          <w:rFonts w:ascii="Segoe UI Symbol" w:cs="Segoe UI Symbol" w:eastAsia="Segoe UI Symbol" w:hAnsi="Segoe UI Symbol"/>
          <w:sz w:val="13"/>
          <w:szCs w:val="13"/>
          <w:color w:val="auto"/>
        </w:rPr>
        <w:t>☐</w:t>
      </w:r>
    </w:p>
    <w:p>
      <w:pPr>
        <w:spacing w:after="0" w:line="922" w:lineRule="exact"/>
        <w:rPr>
          <w:sz w:val="20"/>
          <w:szCs w:val="20"/>
          <w:color w:val="auto"/>
        </w:rPr>
      </w:pPr>
    </w:p>
    <w:p>
      <w:pPr>
        <w:sectPr>
          <w:pgSz w:w="11900" w:h="16840" w:orient="portrait"/>
          <w:cols w:equalWidth="0" w:num="3">
            <w:col w:w="4660" w:space="680"/>
            <w:col w:w="3200" w:space="180"/>
            <w:col w:w="1560"/>
          </w:cols>
          <w:pgMar w:left="820" w:top="1440" w:right="804" w:bottom="1440" w:gutter="0" w:footer="0" w:header="0"/>
          <w:type w:val="continuous"/>
        </w:sectPr>
      </w:pPr>
    </w:p>
    <w:p>
      <w:pPr>
        <w:ind w:left="300"/>
        <w:spacing w:after="0"/>
        <w:rPr>
          <w:sz w:val="20"/>
          <w:szCs w:val="20"/>
          <w:color w:val="auto"/>
        </w:rPr>
      </w:pPr>
      <w:r>
        <w:rPr>
          <w:rFonts w:ascii="Arial" w:cs="Arial" w:eastAsia="Arial" w:hAnsi="Arial"/>
          <w:sz w:val="12"/>
          <w:szCs w:val="12"/>
          <w:color w:val="auto"/>
        </w:rPr>
        <w:t>Please sign exactly as your name(s) appear(s) hereon. When signing as attorney,</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executor, administrator, or other fiduciary, please give full title as such. Joint</w:t>
      </w:r>
    </w:p>
    <w:p>
      <w:pPr>
        <w:ind w:left="300"/>
        <w:spacing w:after="0" w:line="231" w:lineRule="auto"/>
        <w:rPr>
          <w:sz w:val="20"/>
          <w:szCs w:val="20"/>
          <w:color w:val="auto"/>
        </w:rPr>
      </w:pPr>
      <w:r>
        <w:rPr>
          <w:rFonts w:ascii="Arial" w:cs="Arial" w:eastAsia="Arial" w:hAnsi="Arial"/>
          <w:sz w:val="13"/>
          <w:szCs w:val="13"/>
          <w:color w:val="auto"/>
        </w:rPr>
        <w:t>owners should each sign personally. All holders must sign. If a corporation or</w:t>
      </w:r>
    </w:p>
    <w:p>
      <w:pPr>
        <w:ind w:left="300"/>
        <w:spacing w:after="0" w:line="231" w:lineRule="auto"/>
        <w:rPr>
          <w:sz w:val="20"/>
          <w:szCs w:val="20"/>
          <w:color w:val="auto"/>
        </w:rPr>
      </w:pPr>
      <w:r>
        <w:rPr>
          <w:rFonts w:ascii="Arial" w:cs="Arial" w:eastAsia="Arial" w:hAnsi="Arial"/>
          <w:sz w:val="13"/>
          <w:szCs w:val="13"/>
          <w:color w:val="auto"/>
        </w:rPr>
        <w:t>partnership, please sign in full corporate or partnership name by authorized</w:t>
      </w:r>
    </w:p>
    <w:p>
      <w:pPr>
        <w:ind w:left="300"/>
        <w:spacing w:after="0"/>
        <w:rPr>
          <w:sz w:val="20"/>
          <w:szCs w:val="20"/>
          <w:color w:val="auto"/>
        </w:rPr>
      </w:pPr>
      <w:r>
        <w:rPr>
          <w:rFonts w:ascii="Arial" w:cs="Arial" w:eastAsia="Arial" w:hAnsi="Arial"/>
          <w:sz w:val="13"/>
          <w:szCs w:val="13"/>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75565</wp:posOffset>
            </wp:positionV>
            <wp:extent cx="5050790" cy="2527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68">
                      <a:extLst>
                        <a:ext uri="{28A0092B-C50C-407E-A947-70E740481C1C}"/>
                      </a:extLst>
                    </a:blip>
                    <a:srcRect/>
                    <a:stretch>
                      <a:fillRect/>
                    </a:stretch>
                  </pic:blipFill>
                  <pic:spPr bwMode="auto">
                    <a:xfrm>
                      <a:off x="0" y="0"/>
                      <a:ext cx="5050790" cy="252730"/>
                    </a:xfrm>
                    <a:prstGeom prst="rect">
                      <a:avLst/>
                    </a:prstGeom>
                    <a:noFill/>
                  </pic:spPr>
                </pic:pic>
              </a:graphicData>
            </a:graphic>
          </wp:anchor>
        </w:drawing>
      </w:r>
    </w:p>
    <w:p>
      <w:pPr>
        <w:sectPr>
          <w:pgSz w:w="11900" w:h="16840" w:orient="portrait"/>
          <w:cols w:equalWidth="0" w:num="1">
            <w:col w:w="10280"/>
          </w:cols>
          <w:pgMar w:left="820" w:top="1440" w:right="804"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300"/>
        <w:spacing w:after="0"/>
        <w:tabs>
          <w:tab w:leader="none" w:pos="3200" w:val="left"/>
          <w:tab w:leader="none" w:pos="4920" w:val="left"/>
          <w:tab w:leader="none" w:pos="74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292735</wp:posOffset>
                </wp:positionV>
                <wp:extent cx="6532245"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15239">
                          <a:solidFill>
                            <a:srgbClr val="000000"/>
                          </a:solidFill>
                          <a:prstDash val="dash"/>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3.05pt" to="514.15pt,23.05pt" o:allowincell="f" strokecolor="#000000" strokeweight="1.1999pt">
                <v:stroke dashstyle="dash"/>
              </v:line>
            </w:pict>
          </mc:Fallback>
        </mc:AlternateContent>
      </w:r>
    </w:p>
    <w:p>
      <w:pPr>
        <w:sectPr>
          <w:pgSz w:w="11900" w:h="16840" w:orient="portrait"/>
          <w:cols w:equalWidth="0" w:num="1">
            <w:col w:w="10280"/>
          </w:cols>
          <w:pgMar w:left="820" w:top="1440" w:right="804" w:bottom="1440" w:gutter="0" w:footer="0" w:header="0"/>
          <w:type w:val="continuous"/>
        </w:sectPr>
      </w:pPr>
    </w:p>
    <w:bookmarkStart w:id="225" w:name="page226"/>
    <w:bookmarkEnd w:id="225"/>
    <w:p>
      <w:pPr>
        <w:jc w:val="center"/>
        <w:ind w:right="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be held on June 3, 2026:</w:t>
      </w:r>
    </w:p>
    <w:p>
      <w:pPr>
        <w:jc w:val="center"/>
        <w:ind w:right="20"/>
        <w:spacing w:after="0"/>
        <w:rPr>
          <w:sz w:val="20"/>
          <w:szCs w:val="20"/>
          <w:color w:val="auto"/>
        </w:rPr>
      </w:pPr>
      <w:r>
        <w:rPr>
          <w:rFonts w:ascii="Arial" w:cs="Arial" w:eastAsia="Arial" w:hAnsi="Arial"/>
          <w:sz w:val="16"/>
          <w:szCs w:val="16"/>
          <w:color w:val="auto"/>
        </w:rPr>
        <w:t>The 2026 Notice and Proxy Statement and 2025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316865</wp:posOffset>
            </wp:positionV>
            <wp:extent cx="6522720" cy="10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69">
                      <a:extLst>
                        <a:ext uri="{28A0092B-C50C-407E-A947-70E740481C1C}"/>
                      </a:extLst>
                    </a:blip>
                    <a:srcRect/>
                    <a:stretch>
                      <a:fillRect/>
                    </a:stretch>
                  </pic:blipFill>
                  <pic:spPr bwMode="auto">
                    <a:xfrm>
                      <a:off x="0" y="0"/>
                      <a:ext cx="6522720" cy="101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V94185-P50803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6985</wp:posOffset>
            </wp:positionV>
            <wp:extent cx="6572250" cy="30829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70">
                      <a:extLst>
                        <a:ext uri="{28A0092B-C50C-407E-A947-70E740481C1C}"/>
                      </a:extLst>
                    </a:blip>
                    <a:srcRect/>
                    <a:stretch>
                      <a:fillRect/>
                    </a:stretch>
                  </pic:blipFill>
                  <pic:spPr bwMode="auto">
                    <a:xfrm>
                      <a:off x="0" y="0"/>
                      <a:ext cx="6572250" cy="3082925"/>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SOLAREDGE TECHNOLOGIES,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Hamada 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Herzliya Pituach, Israel</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Annual Meeting of Stockholders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June 3, 2026, 9:00 AM Eastern Time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THIS PROXY IS SOLICITED ON BEHALF OF THE BOARD OF DIRECTORS</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undersigned hereby appoints Shuki Nir and Dalia Litay, and each of them, with full power of substitution and power to act alone, as proxies to vote all the shares of Common Stock which the undersigned would be entitled to vote if personally present and acting at the Annual Meeting of Stockholders of SolarEdge Technologies, Inc., to be held at 200 Park Avenue, New York, NY 10166-01936, and at any adjournments or postponements thereof.</w:t>
      </w:r>
    </w:p>
    <w:p>
      <w:pPr>
        <w:spacing w:after="0" w:line="10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In their discretion, the proxies are authorized to vote upon such other business as may properly come before the Annual Meeting of Stockholders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nominee named in Proposal 1 becomes unable to serve or for good cause will not serve).</w:t>
      </w:r>
    </w:p>
    <w:p>
      <w:pPr>
        <w:spacing w:after="0" w:line="144"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b w:val="1"/>
          <w:bCs w:val="1"/>
          <w:color w:val="auto"/>
        </w:rPr>
        <w:t>This proxy, when properly executed, will be voted in the manner directed herein. If no such direction is made, this proxy, when properly executed, will be voted in accordance with the Board of Directors’ recommendations.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-167640</wp:posOffset>
                </wp:positionH>
                <wp:positionV relativeFrom="paragraph">
                  <wp:posOffset>367665</wp:posOffset>
                </wp:positionV>
                <wp:extent cx="6532245"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9905">
                          <a:solidFill>
                            <a:srgbClr val="000000"/>
                          </a:solidFill>
                          <a:prstDash val="dash"/>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999pt,28.95pt" to="501.15pt,28.95pt" o:allowincell="f" strokecolor="#000000" strokeweight="0.7799pt">
                <v:stroke dashstyle="dash"/>
              </v:line>
            </w:pict>
          </mc:Fallback>
        </mc:AlternateContent>
        <mc:AlternateContent>
          <mc:Choice Requires="wps">
            <w:drawing>
              <wp:anchor simplePos="0" relativeHeight="251657728" behindDoc="1" locked="0" layoutInCell="0" allowOverlap="1">
                <wp:simplePos x="0" y="0"/>
                <wp:positionH relativeFrom="column">
                  <wp:posOffset>-167640</wp:posOffset>
                </wp:positionH>
                <wp:positionV relativeFrom="paragraph">
                  <wp:posOffset>408305</wp:posOffset>
                </wp:positionV>
                <wp:extent cx="6532245"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2245" cy="4763"/>
                        </a:xfrm>
                        <a:prstGeom prst="line">
                          <a:avLst/>
                        </a:prstGeom>
                        <a:solidFill>
                          <a:srgbClr val="FFFFFF"/>
                        </a:solidFill>
                        <a:ln w="41148">
                          <a:solidFill>
                            <a:srgbClr val="000000"/>
                          </a:solidFill>
                          <a:prstDash val="dash"/>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999pt,32.15pt" to="501.15pt,32.15pt" o:allowincell="f" strokecolor="#000000" strokeweight="3.24pt">
                <v:stroke dashstyle="dash"/>
              </v:line>
            </w:pict>
          </mc:Fallback>
        </mc:AlternateContent>
      </w:r>
    </w:p>
    <w:sectPr>
      <w:pgSz w:w="11900" w:h="16840" w:orient="portrait"/>
      <w:cols w:equalWidth="0" w:num="1">
        <w:col w:w="9780"/>
      </w:cols>
      <w:pgMar w:left="1080" w:top="884" w:right="1044"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MS PMincho">
    <w:panose1 w:val="02020600040205080304"/>
    <w:charset w:val="00"/>
    <w:family w:val="roman"/>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Arial Black">
    <w:panose1 w:val="020B0A04020102020204"/>
    <w:charset w:val="00"/>
    <w:family w:val="swiss"/>
    <w:pitch w:val="variable"/>
    <w:sig w:usb0="A00002AF" w:usb1="400078FB" w:usb2="00000000" w:usb3="00000000" w:csb0="6000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lowerRoman"/>
      <w:start w:val="3"/>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1)"/>
      <w:numFmt w:val="lowerRoman"/>
      <w:start w:val="3"/>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2"/>
    </w:lvl>
  </w:abstractNum>
  <w:abstractNum w:abstractNumId="41">
    <w:nsid w:val="4C04A8AF"/>
    <w:multiLevelType w:val="hybridMultilevel"/>
    <w:lvl w:ilvl="0">
      <w:lvlJc w:val="left"/>
      <w:lvlText w:val="(%1)"/>
      <w:numFmt w:val="decimal"/>
      <w:start w:val="3"/>
    </w:lvl>
  </w:abstractNum>
  <w:abstractNum w:abstractNumId="42">
    <w:nsid w:val="1716703B"/>
    <w:multiLevelType w:val="hybridMultilevel"/>
    <w:lvl w:ilvl="0">
      <w:lvlJc w:val="left"/>
      <w:lvlText w:val="(%1)"/>
      <w:numFmt w:val="decimal"/>
      <w:start w:val="4"/>
    </w:lvl>
  </w:abstractNum>
  <w:abstractNum w:abstractNumId="43">
    <w:nsid w:val="14E17E33"/>
    <w:multiLevelType w:val="hybridMultilevel"/>
    <w:lvl w:ilvl="0">
      <w:lvlJc w:val="left"/>
      <w:lvlText w:val="(%1)"/>
      <w:numFmt w:val="decimal"/>
      <w:start w:val="5"/>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lowerLetter"/>
      <w:start w:val="3"/>
    </w:lvl>
  </w:abstractNum>
  <w:abstractNum w:abstractNumId="47">
    <w:nsid w:val="2DF6D648"/>
    <w:multiLevelType w:val="hybridMultilevel"/>
    <w:lvl w:ilvl="0">
      <w:lvlJc w:val="left"/>
      <w:lvlText w:val="%1."/>
      <w:numFmt w:val="lowerLetter"/>
      <w:start w:val="4"/>
    </w:lvl>
  </w:abstractNum>
  <w:abstractNum w:abstractNumId="48">
    <w:nsid w:val="46B7D447"/>
    <w:multiLevelType w:val="hybridMultilevel"/>
    <w:lvl w:ilvl="0">
      <w:lvlJc w:val="left"/>
      <w:lvlText w:val="%1."/>
      <w:numFmt w:val="lowerLetter"/>
      <w:start w:val="6"/>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1)"/>
      <w:numFmt w:val="lowerRoman"/>
      <w:start w:val="3"/>
    </w:lvl>
  </w:abstractNum>
  <w:abstractNum w:abstractNumId="51">
    <w:nsid w:val="57FC4FBB"/>
    <w:multiLevelType w:val="hybridMultilevel"/>
    <w:lvl w:ilvl="0">
      <w:lvlJc w:val="left"/>
      <w:lvlText w:val="(%1)"/>
      <w:numFmt w:val="lowerRoman"/>
      <w:start w:val="1"/>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Letter"/>
      <w:start w:val="5"/>
    </w:lvl>
  </w:abstractNum>
  <w:abstractNum w:abstractNumId="55">
    <w:nsid w:val="26F324BA"/>
    <w:multiLevelType w:val="hybridMultilevel"/>
    <w:lvl w:ilvl="0">
      <w:lvlJc w:val="left"/>
      <w:lvlText w:val="%1."/>
      <w:numFmt w:val="lowerLetter"/>
      <w:start w:val="6"/>
    </w:lvl>
  </w:abstractNum>
  <w:abstractNum w:abstractNumId="56">
    <w:nsid w:val="7F01579B"/>
    <w:multiLevelType w:val="hybridMultilevel"/>
    <w:lvl w:ilvl="0">
      <w:lvlJc w:val="left"/>
      <w:lvlText w:val="%1."/>
      <w:numFmt w:val="lowerLetter"/>
      <w:start w:val="7"/>
    </w:lvl>
  </w:abstractNum>
  <w:abstractNum w:abstractNumId="57">
    <w:nsid w:val="49DA307D"/>
    <w:multiLevelType w:val="hybridMultilevel"/>
    <w:lvl w:ilvl="0">
      <w:lvlJc w:val="left"/>
      <w:lvlText w:val="%1."/>
      <w:numFmt w:val="lowerLetter"/>
      <w:start w:val="8"/>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lowerRoman"/>
      <w:start w:val="1"/>
    </w:lvl>
  </w:abstractNum>
  <w:abstractNum w:abstractNumId="60">
    <w:nsid w:val="50801EE1"/>
    <w:multiLevelType w:val="hybridMultilevel"/>
    <w:lvl w:ilvl="0">
      <w:lvlJc w:val="left"/>
      <w:lvlText w:val="%1."/>
      <w:numFmt w:val="lowerLetter"/>
      <w:start w:val="10"/>
    </w:lvl>
  </w:abstractNum>
  <w:abstractNum w:abstractNumId="61">
    <w:nsid w:val="488AC1A"/>
    <w:multiLevelType w:val="hybridMultilevel"/>
    <w:lvl w:ilvl="0">
      <w:lvlJc w:val="left"/>
      <w:lvlText w:val="%1."/>
      <w:numFmt w:val="lowerLetter"/>
      <w:start w:val="11"/>
    </w:lvl>
  </w:abstractNum>
  <w:abstractNum w:abstractNumId="62">
    <w:nsid w:val="5FB8011C"/>
    <w:multiLevelType w:val="hybridMultilevel"/>
    <w:lvl w:ilvl="0">
      <w:lvlJc w:val="left"/>
      <w:lvlText w:val="%1."/>
      <w:numFmt w:val="lowerLetter"/>
      <w:start w:val="12"/>
    </w:lvl>
  </w:abstractNum>
  <w:abstractNum w:abstractNumId="63">
    <w:nsid w:val="6AA78F7F"/>
    <w:multiLevelType w:val="hybridMultilevel"/>
    <w:lvl w:ilvl="0">
      <w:lvlJc w:val="left"/>
      <w:lvlText w:val="%1."/>
      <w:numFmt w:val="lowerLetter"/>
      <w:start w:val="14"/>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1."/>
      <w:numFmt w:val="lowerLetter"/>
      <w:start w:val="2"/>
    </w:lvl>
  </w:abstractNum>
  <w:abstractNum w:abstractNumId="67">
    <w:nsid w:val="7D5E18F8"/>
    <w:multiLevelType w:val="hybridMultilevel"/>
    <w:lvl w:ilvl="0">
      <w:lvlJc w:val="left"/>
      <w:lvlText w:val="%1."/>
      <w:numFmt w:val="lowerLetter"/>
      <w:start w:val="4"/>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decimal"/>
      <w:start w:val="19"/>
    </w:lvl>
  </w:abstractNum>
  <w:abstractNum w:abstractNumId="70">
    <w:nsid w:val="7DE67713"/>
    <w:multiLevelType w:val="hybridMultilevel"/>
    <w:lvl w:ilvl="0">
      <w:lvlJc w:val="left"/>
      <w:lvlText w:val="%1"/>
      <w:numFmt w:val="decimal"/>
      <w:start w:val="104"/>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1)"/>
      <w:numFmt w:val="decimal"/>
      <w:start w:val="1"/>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decimal"/>
    </w:lvl>
    <w:lvl w:ilvl="1">
      <w:lvlJc w:val="left"/>
      <w:lvlText w:val="●"/>
      <w:numFmt w:val="bullet"/>
      <w:start w:val="1"/>
    </w:lvl>
  </w:abstractNum>
  <w:abstractNum w:abstractNumId="94">
    <w:nsid w:val="E7FFA2B"/>
    <w:multiLevelType w:val="hybridMultilevel"/>
    <w:lvl w:ilvl="0">
      <w:lvlJc w:val="left"/>
      <w:lvlText w:val="●"/>
      <w:numFmt w:val="bullet"/>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decimal"/>
      <w:start w:val="2"/>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decimal"/>
      <w:start w:val="2"/>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decimal"/>
      <w:start w:val="1"/>
    </w:lvl>
    <w:lvl w:ilvl="1">
      <w:lvlJc w:val="left"/>
      <w:lvlText w:val="(%2)"/>
      <w:numFmt w:val="decimal"/>
      <w:start w:val="1"/>
    </w:lvl>
  </w:abstractNum>
  <w:abstractNum w:abstractNumId="103">
    <w:nsid w:val="2C27173B"/>
    <w:multiLevelType w:val="hybridMultilevel"/>
    <w:lvl w:ilvl="0">
      <w:lvlJc w:val="left"/>
      <w:lvlText w:val="(%1)"/>
      <w:numFmt w:val="decimal"/>
      <w:start w:val="2"/>
    </w:lvl>
    <w:lvl w:ilvl="1">
      <w:lvlJc w:val="left"/>
      <w:lvlText w:val="%2"/>
      <w:numFmt w:val="decimal"/>
      <w:start w:val="1"/>
    </w:lvl>
  </w:abstractNum>
  <w:abstractNum w:abstractNumId="104">
    <w:nsid w:val="4C9B0904"/>
    <w:multiLevelType w:val="hybridMultilevel"/>
    <w:lvl w:ilvl="0">
      <w:lvlJc w:val="left"/>
      <w:lvlText w:val="(%1)"/>
      <w:numFmt w:val="decimal"/>
    </w:lvl>
    <w:lvl w:ilvl="1">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lvl w:ilvl="1">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1."/>
      <w:numFmt w:val="decimal"/>
      <w:start w:val="1"/>
    </w:lvl>
  </w:abstractNum>
  <w:abstractNum w:abstractNumId="110">
    <w:nsid w:val="2708C9AF"/>
    <w:multiLevelType w:val="hybridMultilevel"/>
    <w:lvl w:ilvl="0">
      <w:lvlJc w:val="left"/>
      <w:lvlText w:val="(%1)"/>
      <w:numFmt w:val="decimal"/>
      <w:start w:val="1"/>
    </w:lvl>
  </w:abstractNum>
  <w:abstractNum w:abstractNumId="111">
    <w:nsid w:val="5B25ACE2"/>
    <w:multiLevelType w:val="hybridMultilevel"/>
    <w:lvl w:ilvl="0">
      <w:lvlJc w:val="left"/>
      <w:lvlText w:val="(%1)"/>
      <w:numFmt w:val="decimal"/>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1)"/>
      <w:numFmt w:val="decimal"/>
      <w:start w:val="2"/>
    </w:lvl>
  </w:abstractNum>
  <w:abstractNum w:abstractNumId="115">
    <w:nsid w:val="34FD6B4F"/>
    <w:multiLevelType w:val="hybridMultilevel"/>
    <w:lvl w:ilvl="0">
      <w:lvlJc w:val="left"/>
      <w:lvlText w:val="(%1)"/>
      <w:numFmt w:val="decimal"/>
      <w:start w:val="1"/>
    </w:lvl>
  </w:abstractNum>
  <w:abstractNum w:abstractNumId="116">
    <w:nsid w:val="5915FF32"/>
    <w:multiLevelType w:val="hybridMultilevel"/>
    <w:lvl w:ilvl="0">
      <w:lvlJc w:val="left"/>
      <w:lvlText w:val="(%1)"/>
      <w:numFmt w:val="decimal"/>
      <w:start w:val="2"/>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1)"/>
      <w:numFmt w:val="decimal"/>
      <w:start w:val="1"/>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1)"/>
      <w:numFmt w:val="decimal"/>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decimal"/>
      <w:start w:val="3"/>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1)"/>
      <w:numFmt w:val="decimal"/>
      <w:start w:val="9"/>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2026-04-23T07:43:01Z</dcterms:created>
  <dcterms:modified xsi:type="dcterms:W3CDTF">2026-04-23T07:43:01Z</dcterms:modified>
</cp:coreProperties>
</file>