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9"/>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AVERY MORE</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SOLAREDGE TECHNOLOGIES, INC. </w:t>
              </w:r>
            </w:hyperlink>
            <w:r>
              <w:rPr>
                <w:rFonts w:ascii="Times New Roman" w:cs="Times New Roman" w:eastAsia="Times New Roman" w:hAnsi="Times New Roman"/>
                <w:sz w:val="12"/>
                <w:szCs w:val="12"/>
                <w:color w:val="000000"/>
              </w:rPr>
              <w:t>[</w:t>
            </w:r>
          </w:p>
        </w:tc>
        <w:tc>
          <w:tcPr>
            <w:tcW w:w="162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82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SEDG </w:t>
            </w:r>
            <w:r>
              <w:rPr>
                <w:rFonts w:ascii="Times New Roman" w:cs="Times New Roman" w:eastAsia="Times New Roman" w:hAnsi="Times New Roman"/>
                <w:sz w:val="21"/>
                <w:szCs w:val="21"/>
                <w:color w:val="000000"/>
              </w:rPr>
              <w:t>]</w:t>
            </w: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Chairman of the Board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11700 PRESTON RD., SUITE 660-201</w:t>
            </w:r>
          </w:p>
        </w:tc>
        <w:tc>
          <w:tcPr>
            <w:tcW w:w="15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1520" w:type="dxa"/>
            <w:vAlign w:val="bottom"/>
            <w:gridSpan w:val="6"/>
            <w:vMerge w:val="continue"/>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0" w:type="dxa"/>
            <w:vAlign w:val="bottom"/>
            <w:tcBorders>
              <w:bottom w:val="single" w:sz="8" w:color="2C2C2C"/>
            </w:tcBorders>
            <w:gridSpan w:val="6"/>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360" w:type="dxa"/>
            <w:vAlign w:val="bottom"/>
            <w:gridSpan w:val="9"/>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ind w:left="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75230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05/07/2026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1,355</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6"/>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39.2</w:t>
            </w:r>
          </w:p>
        </w:tc>
        <w:tc>
          <w:tcPr>
            <w:tcW w:w="120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296,590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05/07/2026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1,211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6"/>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38.2751</w:t>
            </w:r>
          </w:p>
        </w:tc>
        <w:tc>
          <w:tcPr>
            <w:tcW w:w="1200" w:type="dxa"/>
            <w:vAlign w:val="bottom"/>
            <w:tcBorders>
              <w:bottom w:val="single" w:sz="8" w:color="2C2C2C"/>
            </w:tcBorders>
            <w:gridSpan w:val="2"/>
          </w:tcPr>
          <w:p>
            <w:pPr>
              <w:jc w:val="center"/>
              <w:ind w:right="197"/>
              <w:spacing w:after="0"/>
              <w:rPr>
                <w:sz w:val="20"/>
                <w:szCs w:val="20"/>
                <w:color w:val="auto"/>
              </w:rPr>
            </w:pPr>
            <w:r>
              <w:rPr>
                <w:rFonts w:ascii="Times New Roman" w:cs="Times New Roman" w:eastAsia="Times New Roman" w:hAnsi="Times New Roman"/>
                <w:sz w:val="17"/>
                <w:szCs w:val="17"/>
                <w:color w:val="0000FF"/>
              </w:rPr>
              <w:t>295,379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private sale of shares on the open market .</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201,679 shares held by Avery More, 50,000 shares held by More CRUT (More Charitable Remainder Unitrust), 40,000 shares held by More Family 2020 DT Investment LLC, 1,000 shares held by More Generations Trust, 1,000 shares held by Yaron Generations Trust and 1,700 shares held by Avery More's wife, Jerralyn Smith More, as to which Avery More disclaims any ownership interest.</w:t>
      </w:r>
    </w:p>
    <w:p>
      <w:pPr>
        <w:spacing w:after="0" w:line="18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Dalia Litay,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16156" TargetMode="External"/><Relationship Id="rId14"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2026-05-11T10:01:19Z</dcterms:created>
  <dcterms:modified xsi:type="dcterms:W3CDTF">2026-05-11T10:01:19Z</dcterms:modified>
</cp:coreProperties>
</file>